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31D7B" w14:textId="51846271" w:rsidR="00740B47" w:rsidRDefault="00740B47" w:rsidP="00740B47">
      <w:pPr>
        <w:spacing w:line="480" w:lineRule="auto"/>
        <w:jc w:val="center"/>
        <w:rPr>
          <w:rStyle w:val="gtfootnotemarks"/>
          <w:rFonts w:ascii="Times New Roman" w:hAnsi="Times New Roman" w:cs="Times New Roman"/>
          <w:b/>
          <w:iCs/>
          <w:color w:val="333333"/>
          <w:sz w:val="24"/>
          <w:szCs w:val="24"/>
          <w:shd w:val="clear" w:color="auto" w:fill="FFFFFF"/>
        </w:rPr>
      </w:pPr>
      <w:r w:rsidRPr="00575C91">
        <w:rPr>
          <w:rStyle w:val="gtfootnotemarks"/>
          <w:rFonts w:ascii="Times New Roman" w:hAnsi="Times New Roman" w:cs="Times New Roman"/>
          <w:b/>
          <w:iCs/>
          <w:color w:val="333333"/>
          <w:sz w:val="24"/>
          <w:szCs w:val="24"/>
          <w:shd w:val="clear" w:color="auto" w:fill="FFFFFF"/>
        </w:rPr>
        <w:t xml:space="preserve">Assessing Priority-based Health Behaviors for Chronic Diseases: A Cross-sectional Study at Slum Areas in </w:t>
      </w:r>
      <w:r w:rsidR="003D757C">
        <w:rPr>
          <w:rStyle w:val="gtfootnotemarks"/>
          <w:rFonts w:ascii="Times New Roman" w:hAnsi="Times New Roman" w:cs="Times New Roman"/>
          <w:b/>
          <w:iCs/>
          <w:color w:val="333333"/>
          <w:sz w:val="24"/>
          <w:szCs w:val="24"/>
          <w:shd w:val="clear" w:color="auto" w:fill="FFFFFF"/>
        </w:rPr>
        <w:t>Bangladesh</w:t>
      </w:r>
    </w:p>
    <w:p w14:paraId="49EAABE4" w14:textId="77777777" w:rsidR="003D757C" w:rsidRPr="007C6FAC" w:rsidRDefault="003D757C" w:rsidP="003D757C">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rPr>
        <w:t>Umma Motahara+</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sidRPr="008645D2">
        <w:rPr>
          <w:rFonts w:ascii="Times New Roman" w:hAnsi="Times New Roman" w:cs="Times New Roman"/>
          <w:sz w:val="24"/>
          <w:szCs w:val="24"/>
        </w:rPr>
        <w:t>Rezaul</w:t>
      </w:r>
      <w:proofErr w:type="spellEnd"/>
      <w:r w:rsidRPr="008645D2">
        <w:rPr>
          <w:rFonts w:ascii="Times New Roman" w:hAnsi="Times New Roman" w:cs="Times New Roman"/>
          <w:sz w:val="24"/>
          <w:szCs w:val="24"/>
        </w:rPr>
        <w:t xml:space="preserve"> Karim Ripon</w:t>
      </w:r>
      <w:r>
        <w:rPr>
          <w:rFonts w:ascii="Times New Roman" w:hAnsi="Times New Roman" w:cs="Times New Roman"/>
          <w:sz w:val="24"/>
          <w:szCs w:val="24"/>
        </w:rPr>
        <w:t>+</w:t>
      </w:r>
      <w:r>
        <w:rPr>
          <w:rFonts w:ascii="Times New Roman" w:hAnsi="Times New Roman" w:cs="Times New Roman"/>
          <w:sz w:val="24"/>
          <w:szCs w:val="24"/>
          <w:vertAlign w:val="superscript"/>
        </w:rPr>
        <w:t>2</w:t>
      </w:r>
      <w:r w:rsidRPr="008645D2">
        <w:rPr>
          <w:rFonts w:ascii="Times New Roman" w:hAnsi="Times New Roman" w:cs="Times New Roman"/>
          <w:sz w:val="24"/>
          <w:szCs w:val="24"/>
          <w:vertAlign w:val="superscript"/>
        </w:rPr>
        <w:t>*</w:t>
      </w:r>
      <w:r w:rsidRPr="008645D2">
        <w:rPr>
          <w:rFonts w:ascii="Times New Roman" w:hAnsi="Times New Roman" w:cs="Times New Roman"/>
          <w:sz w:val="24"/>
          <w:szCs w:val="24"/>
        </w:rPr>
        <w:t>, Md. Sharif Hossain</w:t>
      </w:r>
      <w:r w:rsidRPr="008645D2">
        <w:rPr>
          <w:rFonts w:ascii="Times New Roman" w:hAnsi="Times New Roman" w:cs="Times New Roman"/>
          <w:sz w:val="24"/>
          <w:szCs w:val="24"/>
          <w:vertAlign w:val="superscript"/>
        </w:rPr>
        <w:t>3</w:t>
      </w:r>
      <w:r>
        <w:rPr>
          <w:rFonts w:ascii="Times New Roman" w:hAnsi="Times New Roman" w:cs="Times New Roman"/>
          <w:sz w:val="24"/>
          <w:szCs w:val="24"/>
        </w:rPr>
        <w:t>,</w:t>
      </w:r>
      <w:r w:rsidRPr="008645D2">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Quazi </w:t>
      </w:r>
      <w:proofErr w:type="spellStart"/>
      <w:r>
        <w:rPr>
          <w:rFonts w:ascii="Times New Roman" w:hAnsi="Times New Roman" w:cs="Times New Roman"/>
          <w:sz w:val="24"/>
          <w:szCs w:val="24"/>
        </w:rPr>
        <w:t>Maksudur</w:t>
      </w:r>
      <w:proofErr w:type="spellEnd"/>
      <w:r>
        <w:rPr>
          <w:rFonts w:ascii="Times New Roman" w:hAnsi="Times New Roman" w:cs="Times New Roman"/>
          <w:sz w:val="24"/>
          <w:szCs w:val="24"/>
        </w:rPr>
        <w:t xml:space="preserve"> Rahman</w:t>
      </w:r>
      <w:r>
        <w:rPr>
          <w:rFonts w:ascii="Times New Roman" w:hAnsi="Times New Roman" w:cs="Times New Roman"/>
          <w:sz w:val="24"/>
          <w:szCs w:val="24"/>
          <w:vertAlign w:val="superscript"/>
        </w:rPr>
        <w:t>1</w:t>
      </w:r>
      <w:r>
        <w:rPr>
          <w:rFonts w:ascii="Times New Roman" w:hAnsi="Times New Roman" w:cs="Times New Roman"/>
          <w:sz w:val="24"/>
          <w:szCs w:val="24"/>
        </w:rPr>
        <w:t xml:space="preserve">, Md. </w:t>
      </w:r>
      <w:proofErr w:type="spellStart"/>
      <w:r>
        <w:rPr>
          <w:rFonts w:ascii="Times New Roman" w:hAnsi="Times New Roman" w:cs="Times New Roman"/>
          <w:sz w:val="24"/>
          <w:szCs w:val="24"/>
        </w:rPr>
        <w:t>Mosaraf</w:t>
      </w:r>
      <w:proofErr w:type="spellEnd"/>
      <w:r>
        <w:rPr>
          <w:rFonts w:ascii="Times New Roman" w:hAnsi="Times New Roman" w:cs="Times New Roman"/>
          <w:sz w:val="24"/>
          <w:szCs w:val="24"/>
        </w:rPr>
        <w:t xml:space="preserve"> Hossain</w:t>
      </w:r>
      <w:r>
        <w:rPr>
          <w:rFonts w:ascii="Times New Roman" w:hAnsi="Times New Roman" w:cs="Times New Roman"/>
          <w:sz w:val="24"/>
          <w:szCs w:val="24"/>
          <w:vertAlign w:val="superscript"/>
        </w:rPr>
        <w:t>1</w:t>
      </w:r>
      <w:r w:rsidRPr="008645D2">
        <w:rPr>
          <w:rFonts w:ascii="Times New Roman" w:hAnsi="Times New Roman" w:cs="Times New Roman"/>
          <w:sz w:val="24"/>
          <w:szCs w:val="24"/>
        </w:rPr>
        <w:t xml:space="preserve">, </w:t>
      </w:r>
      <w:r>
        <w:rPr>
          <w:rFonts w:ascii="Times New Roman" w:hAnsi="Times New Roman" w:cs="Times New Roman"/>
          <w:sz w:val="24"/>
          <w:szCs w:val="24"/>
        </w:rPr>
        <w:t>Jayanta Madhu</w:t>
      </w:r>
      <w:r>
        <w:rPr>
          <w:rFonts w:ascii="Times New Roman" w:hAnsi="Times New Roman" w:cs="Times New Roman"/>
          <w:sz w:val="24"/>
          <w:szCs w:val="24"/>
          <w:vertAlign w:val="superscript"/>
        </w:rPr>
        <w:t>4</w:t>
      </w:r>
      <w:r w:rsidRPr="00042286">
        <w:rPr>
          <w:rFonts w:ascii="Times New Roman" w:hAnsi="Times New Roman" w:cs="Times New Roman"/>
          <w:sz w:val="24"/>
          <w:szCs w:val="24"/>
        </w:rPr>
        <w:t xml:space="preserve">, </w:t>
      </w:r>
      <w:r>
        <w:rPr>
          <w:rFonts w:ascii="Times New Roman" w:hAnsi="Times New Roman" w:cs="Times New Roman"/>
          <w:sz w:val="24"/>
          <w:szCs w:val="24"/>
        </w:rPr>
        <w:t>Syed Akmal Ali</w:t>
      </w:r>
      <w:r>
        <w:rPr>
          <w:rFonts w:ascii="Times New Roman" w:hAnsi="Times New Roman" w:cs="Times New Roman"/>
          <w:sz w:val="24"/>
          <w:szCs w:val="24"/>
          <w:vertAlign w:val="superscript"/>
        </w:rPr>
        <w:t>5</w:t>
      </w:r>
      <w:r>
        <w:rPr>
          <w:rFonts w:ascii="Times New Roman" w:hAnsi="Times New Roman" w:cs="Times New Roman"/>
          <w:sz w:val="24"/>
          <w:szCs w:val="24"/>
        </w:rPr>
        <w:t>, Md. Tajuddin Sikder</w:t>
      </w:r>
      <w:r>
        <w:rPr>
          <w:rFonts w:ascii="Times New Roman" w:hAnsi="Times New Roman" w:cs="Times New Roman"/>
          <w:sz w:val="24"/>
          <w:szCs w:val="24"/>
          <w:vertAlign w:val="superscript"/>
        </w:rPr>
        <w:t>1</w:t>
      </w:r>
    </w:p>
    <w:p w14:paraId="4AD133C7" w14:textId="77777777" w:rsidR="003D757C" w:rsidRPr="007C6FAC" w:rsidRDefault="003D757C" w:rsidP="003D757C">
      <w:pPr>
        <w:spacing w:line="360" w:lineRule="auto"/>
        <w:jc w:val="both"/>
        <w:rPr>
          <w:rFonts w:ascii="Times New Roman" w:hAnsi="Times New Roman" w:cs="Times New Roman"/>
          <w:b/>
          <w:bCs/>
          <w:sz w:val="24"/>
          <w:szCs w:val="24"/>
        </w:rPr>
      </w:pPr>
    </w:p>
    <w:p w14:paraId="56BC2CFD" w14:textId="77777777" w:rsidR="003D757C" w:rsidRDefault="003D757C" w:rsidP="003D757C">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1</w:t>
      </w:r>
      <w:r w:rsidRPr="008645D2">
        <w:rPr>
          <w:rFonts w:ascii="Times New Roman" w:hAnsi="Times New Roman" w:cs="Times New Roman"/>
          <w:sz w:val="24"/>
          <w:szCs w:val="24"/>
        </w:rPr>
        <w:t>Department of Public Health and Informatics, Jahangirnagar University, Savar, Dhaka, Bangladesh</w:t>
      </w:r>
    </w:p>
    <w:p w14:paraId="0C16BBA2" w14:textId="77777777" w:rsidR="003D757C" w:rsidRPr="008645D2" w:rsidRDefault="003D757C" w:rsidP="003D757C">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sidRPr="008645D2">
        <w:rPr>
          <w:rFonts w:ascii="Times New Roman" w:hAnsi="Times New Roman" w:cs="Times New Roman"/>
          <w:sz w:val="24"/>
          <w:szCs w:val="24"/>
        </w:rPr>
        <w:t xml:space="preserve">Harvard T.H. Chan School of Public Health, </w:t>
      </w:r>
      <w:r w:rsidRPr="008645D2">
        <w:rPr>
          <w:rFonts w:ascii="Times New Roman" w:hAnsi="Times New Roman" w:cs="Times New Roman"/>
          <w:color w:val="202124"/>
          <w:sz w:val="24"/>
          <w:szCs w:val="24"/>
          <w:shd w:val="clear" w:color="auto" w:fill="FFFFFF"/>
        </w:rPr>
        <w:t>Boston, MA 02115, United States</w:t>
      </w:r>
    </w:p>
    <w:p w14:paraId="5F28E188" w14:textId="77777777" w:rsidR="003D757C" w:rsidRPr="008645D2" w:rsidRDefault="003D757C" w:rsidP="003D757C">
      <w:pPr>
        <w:spacing w:line="360" w:lineRule="auto"/>
        <w:jc w:val="both"/>
        <w:rPr>
          <w:rFonts w:ascii="Times New Roman" w:hAnsi="Times New Roman" w:cs="Times New Roman"/>
          <w:sz w:val="24"/>
          <w:szCs w:val="24"/>
        </w:rPr>
      </w:pPr>
      <w:r w:rsidRPr="008645D2">
        <w:rPr>
          <w:rFonts w:ascii="Times New Roman" w:hAnsi="Times New Roman" w:cs="Times New Roman"/>
          <w:sz w:val="24"/>
          <w:szCs w:val="24"/>
          <w:vertAlign w:val="superscript"/>
        </w:rPr>
        <w:t>3</w:t>
      </w:r>
      <w:r w:rsidRPr="008645D2">
        <w:rPr>
          <w:rFonts w:ascii="Times New Roman" w:hAnsi="Times New Roman" w:cs="Times New Roman"/>
          <w:sz w:val="24"/>
          <w:szCs w:val="24"/>
        </w:rPr>
        <w:t xml:space="preserve">Medical College of Wisconsin, </w:t>
      </w:r>
      <w:r w:rsidRPr="008645D2">
        <w:rPr>
          <w:rFonts w:ascii="Times New Roman" w:hAnsi="Times New Roman" w:cs="Times New Roman"/>
          <w:color w:val="202124"/>
          <w:sz w:val="24"/>
          <w:szCs w:val="24"/>
          <w:shd w:val="clear" w:color="auto" w:fill="FFFFFF"/>
        </w:rPr>
        <w:t>Milwaukee, WI 53226, United States</w:t>
      </w:r>
    </w:p>
    <w:p w14:paraId="3E611AA3" w14:textId="77777777" w:rsidR="003D757C" w:rsidRPr="007C6FAC" w:rsidRDefault="003D757C" w:rsidP="003D757C">
      <w:pPr>
        <w:spacing w:line="360" w:lineRule="auto"/>
        <w:jc w:val="both"/>
        <w:rPr>
          <w:rFonts w:ascii="Times New Roman" w:hAnsi="Times New Roman" w:cs="Times New Roman"/>
          <w:sz w:val="24"/>
          <w:szCs w:val="24"/>
        </w:rPr>
      </w:pPr>
      <w:r w:rsidRPr="008645D2">
        <w:rPr>
          <w:rFonts w:ascii="Times New Roman" w:hAnsi="Times New Roman" w:cs="Times New Roman"/>
          <w:color w:val="202124"/>
          <w:sz w:val="24"/>
          <w:szCs w:val="24"/>
          <w:shd w:val="clear" w:color="auto" w:fill="FFFFFF"/>
          <w:vertAlign w:val="superscript"/>
        </w:rPr>
        <w:t>4</w:t>
      </w:r>
      <w:r>
        <w:rPr>
          <w:rFonts w:ascii="Times New Roman" w:hAnsi="Times New Roman" w:cs="Times New Roman"/>
          <w:sz w:val="24"/>
          <w:szCs w:val="24"/>
        </w:rPr>
        <w:t>Department of Public Health, Anwar Khan Modern University, Dhaka, Bangladesh</w:t>
      </w:r>
    </w:p>
    <w:p w14:paraId="2E47BF33" w14:textId="77777777" w:rsidR="003D757C" w:rsidRDefault="003D757C" w:rsidP="003D757C">
      <w:pPr>
        <w:spacing w:line="360" w:lineRule="auto"/>
        <w:jc w:val="both"/>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Work And Rural Development (WARD), Dhaka, Bangladesh</w:t>
      </w:r>
    </w:p>
    <w:p w14:paraId="117ED528" w14:textId="77777777" w:rsidR="003D757C" w:rsidRDefault="003D757C" w:rsidP="003D757C">
      <w:pPr>
        <w:spacing w:line="360" w:lineRule="auto"/>
        <w:jc w:val="both"/>
        <w:rPr>
          <w:rFonts w:ascii="Times New Roman" w:hAnsi="Times New Roman" w:cs="Times New Roman"/>
          <w:sz w:val="24"/>
          <w:szCs w:val="24"/>
        </w:rPr>
      </w:pPr>
      <w:r>
        <w:rPr>
          <w:rFonts w:ascii="Times New Roman" w:hAnsi="Times New Roman" w:cs="Times New Roman"/>
          <w:sz w:val="24"/>
          <w:szCs w:val="24"/>
        </w:rPr>
        <w:t>+Equal contribution.</w:t>
      </w:r>
    </w:p>
    <w:p w14:paraId="49C419E6" w14:textId="77777777" w:rsidR="003D757C" w:rsidRDefault="003D757C" w:rsidP="003D757C">
      <w:pPr>
        <w:spacing w:line="360" w:lineRule="auto"/>
        <w:jc w:val="both"/>
        <w:rPr>
          <w:rFonts w:ascii="Times New Roman" w:hAnsi="Times New Roman" w:cs="Times New Roman"/>
          <w:sz w:val="24"/>
          <w:szCs w:val="24"/>
        </w:rPr>
      </w:pPr>
    </w:p>
    <w:p w14:paraId="03227981" w14:textId="77777777" w:rsidR="003D757C" w:rsidRPr="008645D2" w:rsidRDefault="003D757C" w:rsidP="003D757C">
      <w:pPr>
        <w:spacing w:line="360" w:lineRule="auto"/>
        <w:jc w:val="both"/>
        <w:rPr>
          <w:rFonts w:ascii="Times New Roman" w:hAnsi="Times New Roman" w:cs="Times New Roman"/>
          <w:sz w:val="24"/>
          <w:szCs w:val="24"/>
        </w:rPr>
      </w:pPr>
    </w:p>
    <w:p w14:paraId="5C9C0162" w14:textId="77777777" w:rsidR="003D757C" w:rsidRPr="008645D2" w:rsidRDefault="003D757C" w:rsidP="003D757C">
      <w:pPr>
        <w:spacing w:line="360" w:lineRule="auto"/>
        <w:jc w:val="both"/>
        <w:rPr>
          <w:rFonts w:ascii="Times New Roman" w:hAnsi="Times New Roman" w:cs="Times New Roman"/>
          <w:sz w:val="24"/>
          <w:szCs w:val="24"/>
        </w:rPr>
      </w:pPr>
      <w:r w:rsidRPr="008645D2">
        <w:rPr>
          <w:rFonts w:ascii="Times New Roman" w:hAnsi="Times New Roman" w:cs="Times New Roman"/>
          <w:sz w:val="24"/>
          <w:szCs w:val="24"/>
        </w:rPr>
        <w:t>*Corresponding Authors</w:t>
      </w:r>
    </w:p>
    <w:p w14:paraId="67EDFD4B" w14:textId="77777777" w:rsidR="003D757C" w:rsidRPr="008645D2" w:rsidRDefault="003D757C" w:rsidP="003D757C">
      <w:pPr>
        <w:spacing w:line="360" w:lineRule="auto"/>
        <w:jc w:val="both"/>
        <w:rPr>
          <w:rFonts w:ascii="Times New Roman" w:hAnsi="Times New Roman" w:cs="Times New Roman"/>
          <w:sz w:val="24"/>
          <w:szCs w:val="24"/>
        </w:rPr>
      </w:pPr>
      <w:proofErr w:type="spellStart"/>
      <w:r w:rsidRPr="008645D2">
        <w:rPr>
          <w:rFonts w:ascii="Times New Roman" w:hAnsi="Times New Roman" w:cs="Times New Roman"/>
          <w:sz w:val="24"/>
          <w:szCs w:val="24"/>
        </w:rPr>
        <w:t>Rezaul</w:t>
      </w:r>
      <w:proofErr w:type="spellEnd"/>
      <w:r w:rsidRPr="008645D2">
        <w:rPr>
          <w:rFonts w:ascii="Times New Roman" w:hAnsi="Times New Roman" w:cs="Times New Roman"/>
          <w:sz w:val="24"/>
          <w:szCs w:val="24"/>
        </w:rPr>
        <w:t xml:space="preserve"> Karim Ripon</w:t>
      </w:r>
    </w:p>
    <w:p w14:paraId="301B1E48" w14:textId="77777777" w:rsidR="003D757C" w:rsidRDefault="003D757C" w:rsidP="003D757C">
      <w:pPr>
        <w:spacing w:line="360" w:lineRule="auto"/>
        <w:jc w:val="both"/>
        <w:rPr>
          <w:rFonts w:ascii="Times New Roman" w:hAnsi="Times New Roman" w:cs="Times New Roman"/>
          <w:sz w:val="24"/>
          <w:szCs w:val="24"/>
        </w:rPr>
      </w:pPr>
      <w:r w:rsidRPr="008645D2">
        <w:rPr>
          <w:rFonts w:ascii="Times New Roman" w:hAnsi="Times New Roman" w:cs="Times New Roman"/>
          <w:sz w:val="24"/>
          <w:szCs w:val="24"/>
        </w:rPr>
        <w:t xml:space="preserve">Harvard T.H. Chan School of Public Health, </w:t>
      </w:r>
      <w:r w:rsidRPr="008645D2">
        <w:rPr>
          <w:rFonts w:ascii="Times New Roman" w:hAnsi="Times New Roman" w:cs="Times New Roman"/>
          <w:color w:val="202124"/>
          <w:sz w:val="24"/>
          <w:szCs w:val="24"/>
          <w:shd w:val="clear" w:color="auto" w:fill="FFFFFF"/>
        </w:rPr>
        <w:t>Boston, MA 02115, United States</w:t>
      </w:r>
      <w:r w:rsidRPr="008645D2">
        <w:rPr>
          <w:rFonts w:ascii="Times New Roman" w:hAnsi="Times New Roman" w:cs="Times New Roman"/>
          <w:sz w:val="24"/>
          <w:szCs w:val="24"/>
        </w:rPr>
        <w:t xml:space="preserve"> </w:t>
      </w:r>
    </w:p>
    <w:p w14:paraId="1B65898C" w14:textId="77777777" w:rsidR="003D757C" w:rsidRPr="008645D2" w:rsidRDefault="003D757C" w:rsidP="003D757C">
      <w:pPr>
        <w:spacing w:line="360" w:lineRule="auto"/>
        <w:jc w:val="both"/>
        <w:rPr>
          <w:rFonts w:ascii="Times New Roman" w:hAnsi="Times New Roman" w:cs="Times New Roman"/>
          <w:sz w:val="24"/>
          <w:szCs w:val="24"/>
        </w:rPr>
      </w:pPr>
      <w:r w:rsidRPr="008645D2">
        <w:rPr>
          <w:rFonts w:ascii="Times New Roman" w:hAnsi="Times New Roman" w:cs="Times New Roman"/>
          <w:sz w:val="24"/>
          <w:szCs w:val="24"/>
        </w:rPr>
        <w:t xml:space="preserve">Email: </w:t>
      </w:r>
      <w:hyperlink r:id="rId8" w:history="1">
        <w:r w:rsidRPr="000E7C76">
          <w:rPr>
            <w:rStyle w:val="Hyperlink"/>
            <w:rFonts w:ascii="Times New Roman" w:hAnsi="Times New Roman" w:cs="Times New Roman"/>
            <w:sz w:val="24"/>
            <w:szCs w:val="24"/>
          </w:rPr>
          <w:t>rripon@hsph.harvard.edu</w:t>
        </w:r>
      </w:hyperlink>
    </w:p>
    <w:p w14:paraId="2E212DE6" w14:textId="77777777" w:rsidR="003D757C" w:rsidRDefault="003D757C" w:rsidP="00740B47">
      <w:pPr>
        <w:spacing w:line="480" w:lineRule="auto"/>
        <w:jc w:val="center"/>
        <w:rPr>
          <w:rFonts w:ascii="Times New Roman" w:hAnsi="Times New Roman" w:cs="Times New Roman"/>
          <w:b/>
          <w:sz w:val="24"/>
          <w:szCs w:val="24"/>
        </w:rPr>
      </w:pPr>
    </w:p>
    <w:p w14:paraId="1E6A122D" w14:textId="19789BF1" w:rsidR="00232BAD" w:rsidRPr="006505CF" w:rsidRDefault="00544DEC" w:rsidP="006505CF">
      <w:pPr>
        <w:spacing w:line="480" w:lineRule="auto"/>
        <w:jc w:val="both"/>
        <w:rPr>
          <w:rFonts w:ascii="Times New Roman" w:hAnsi="Times New Roman" w:cs="Times New Roman"/>
          <w:b/>
          <w:sz w:val="24"/>
          <w:szCs w:val="24"/>
        </w:rPr>
      </w:pPr>
      <w:r w:rsidRPr="006505CF">
        <w:rPr>
          <w:rFonts w:ascii="Times New Roman" w:hAnsi="Times New Roman" w:cs="Times New Roman"/>
          <w:b/>
          <w:sz w:val="24"/>
          <w:szCs w:val="24"/>
        </w:rPr>
        <w:t>Abstract:</w:t>
      </w:r>
    </w:p>
    <w:p w14:paraId="664817D8" w14:textId="77777777" w:rsidR="00457955" w:rsidRPr="006505CF" w:rsidRDefault="00544DEC" w:rsidP="006505CF">
      <w:pPr>
        <w:spacing w:line="480" w:lineRule="auto"/>
        <w:jc w:val="both"/>
        <w:rPr>
          <w:rFonts w:ascii="Times New Roman" w:hAnsi="Times New Roman" w:cs="Times New Roman"/>
          <w:sz w:val="24"/>
          <w:szCs w:val="24"/>
        </w:rPr>
      </w:pPr>
      <w:r w:rsidRPr="006505CF">
        <w:rPr>
          <w:rFonts w:ascii="Times New Roman" w:hAnsi="Times New Roman" w:cs="Times New Roman"/>
          <w:b/>
          <w:sz w:val="24"/>
          <w:szCs w:val="24"/>
        </w:rPr>
        <w:t>Background:</w:t>
      </w:r>
      <w:r w:rsidRPr="006505CF">
        <w:rPr>
          <w:rFonts w:ascii="Times New Roman" w:hAnsi="Times New Roman" w:cs="Times New Roman"/>
          <w:sz w:val="24"/>
          <w:szCs w:val="24"/>
        </w:rPr>
        <w:t xml:space="preserve"> </w:t>
      </w:r>
      <w:r w:rsidR="00457955" w:rsidRPr="006505CF">
        <w:rPr>
          <w:rFonts w:ascii="Times New Roman" w:hAnsi="Times New Roman" w:cs="Times New Roman"/>
          <w:sz w:val="24"/>
          <w:szCs w:val="24"/>
        </w:rPr>
        <w:t xml:space="preserve">The development and management of chronic diseases are significantly influenced by health behavior. Around the world, chronic diseases are a major cause of morbidity and mortality, particularly in marginalized and low-income communities. Slums in urban areas are </w:t>
      </w:r>
      <w:r w:rsidR="00457955" w:rsidRPr="006505CF">
        <w:rPr>
          <w:rFonts w:ascii="Times New Roman" w:hAnsi="Times New Roman" w:cs="Times New Roman"/>
          <w:sz w:val="24"/>
          <w:szCs w:val="24"/>
        </w:rPr>
        <w:lastRenderedPageBreak/>
        <w:t>particularly vulnerable to the burden of chronic diseases because of the pervasive deplorable living conditions, the lack of access to healthcare services, and unhealthy lifestyle choices.</w:t>
      </w:r>
    </w:p>
    <w:p w14:paraId="76C7AEF4" w14:textId="01C1A7F8" w:rsidR="00544DEC" w:rsidRPr="006505CF" w:rsidRDefault="00544DEC" w:rsidP="006505CF">
      <w:pPr>
        <w:spacing w:line="480" w:lineRule="auto"/>
        <w:jc w:val="both"/>
        <w:rPr>
          <w:rFonts w:ascii="Times New Roman" w:hAnsi="Times New Roman" w:cs="Times New Roman"/>
          <w:sz w:val="24"/>
          <w:szCs w:val="24"/>
        </w:rPr>
      </w:pPr>
      <w:r w:rsidRPr="006505CF">
        <w:rPr>
          <w:rFonts w:ascii="Times New Roman" w:hAnsi="Times New Roman" w:cs="Times New Roman"/>
          <w:b/>
          <w:sz w:val="24"/>
          <w:szCs w:val="24"/>
        </w:rPr>
        <w:t>Methods:</w:t>
      </w:r>
      <w:r w:rsidRPr="006505CF">
        <w:rPr>
          <w:rFonts w:ascii="Times New Roman" w:hAnsi="Times New Roman" w:cs="Times New Roman"/>
          <w:sz w:val="24"/>
          <w:szCs w:val="24"/>
        </w:rPr>
        <w:t xml:space="preserve"> This cross-sectional study included 488 adults from three slum area in Bangladesh from </w:t>
      </w:r>
      <w:r w:rsidRPr="006505CF">
        <w:rPr>
          <w:rFonts w:ascii="Times New Roman" w:hAnsi="Times New Roman" w:cs="Times New Roman"/>
          <w:color w:val="000000"/>
          <w:sz w:val="24"/>
          <w:szCs w:val="24"/>
        </w:rPr>
        <w:t>25th February to 2023 to 6th May 2023</w:t>
      </w:r>
      <w:r w:rsidRPr="006505CF">
        <w:rPr>
          <w:rFonts w:ascii="Times New Roman" w:hAnsi="Times New Roman" w:cs="Times New Roman"/>
          <w:sz w:val="24"/>
          <w:szCs w:val="24"/>
        </w:rPr>
        <w:t xml:space="preserve">. </w:t>
      </w:r>
    </w:p>
    <w:p w14:paraId="658FBFA6" w14:textId="5A2ACBFB" w:rsidR="00544DEC" w:rsidRPr="006505CF" w:rsidRDefault="00544DEC" w:rsidP="006505CF">
      <w:pPr>
        <w:spacing w:line="480" w:lineRule="auto"/>
        <w:jc w:val="both"/>
        <w:rPr>
          <w:rFonts w:ascii="Times New Roman" w:hAnsi="Times New Roman" w:cs="Times New Roman"/>
          <w:sz w:val="24"/>
          <w:szCs w:val="24"/>
        </w:rPr>
      </w:pPr>
      <w:r w:rsidRPr="006505CF">
        <w:rPr>
          <w:rFonts w:ascii="Times New Roman" w:hAnsi="Times New Roman" w:cs="Times New Roman"/>
          <w:b/>
          <w:sz w:val="24"/>
          <w:szCs w:val="24"/>
        </w:rPr>
        <w:t>Results:</w:t>
      </w:r>
      <w:r w:rsidRPr="006505CF">
        <w:rPr>
          <w:rFonts w:ascii="Times New Roman" w:hAnsi="Times New Roman" w:cs="Times New Roman"/>
          <w:sz w:val="24"/>
          <w:szCs w:val="24"/>
        </w:rPr>
        <w:t xml:space="preserve"> According to structural equation modeling, the significant influence of chronic diseases on </w:t>
      </w:r>
      <w:r w:rsidR="00804500" w:rsidRPr="006505CF">
        <w:rPr>
          <w:rFonts w:ascii="Times New Roman" w:hAnsi="Times New Roman" w:cs="Times New Roman"/>
          <w:sz w:val="24"/>
          <w:szCs w:val="24"/>
        </w:rPr>
        <w:t>patient’s</w:t>
      </w:r>
      <w:r w:rsidRPr="006505CF">
        <w:rPr>
          <w:rFonts w:ascii="Times New Roman" w:hAnsi="Times New Roman" w:cs="Times New Roman"/>
          <w:sz w:val="24"/>
          <w:szCs w:val="24"/>
        </w:rPr>
        <w:t xml:space="preserve"> self-efficacy in managing their condition</w:t>
      </w:r>
      <w:r w:rsidR="00117B8C">
        <w:rPr>
          <w:rFonts w:ascii="Times New Roman" w:hAnsi="Times New Roman" w:cs="Times New Roman"/>
          <w:sz w:val="24"/>
          <w:szCs w:val="24"/>
        </w:rPr>
        <w:t xml:space="preserve"> </w:t>
      </w:r>
      <w:r w:rsidR="00117B8C" w:rsidRPr="006505CF">
        <w:rPr>
          <w:rFonts w:ascii="Times New Roman" w:hAnsi="Times New Roman" w:cs="Times New Roman"/>
          <w:sz w:val="24"/>
          <w:szCs w:val="24"/>
        </w:rPr>
        <w:t>(B=.593)</w:t>
      </w:r>
      <w:r w:rsidR="006505CF" w:rsidRPr="006505CF">
        <w:rPr>
          <w:rFonts w:ascii="Times New Roman" w:hAnsi="Times New Roman" w:cs="Times New Roman"/>
          <w:sz w:val="24"/>
          <w:szCs w:val="24"/>
        </w:rPr>
        <w:t>, d</w:t>
      </w:r>
      <w:r w:rsidRPr="006505CF">
        <w:rPr>
          <w:rFonts w:ascii="Times New Roman" w:hAnsi="Times New Roman" w:cs="Times New Roman"/>
          <w:sz w:val="24"/>
          <w:szCs w:val="24"/>
        </w:rPr>
        <w:t xml:space="preserve">iet (B=.118) and physical exercise (B=.116) also play a role, while access to healthcare, mental health, and </w:t>
      </w:r>
      <w:r w:rsidR="00A339FA" w:rsidRPr="006505CF">
        <w:rPr>
          <w:rFonts w:ascii="Times New Roman" w:hAnsi="Times New Roman" w:cs="Times New Roman"/>
          <w:sz w:val="24"/>
          <w:szCs w:val="24"/>
        </w:rPr>
        <w:t xml:space="preserve">exposure to freeway air pollution </w:t>
      </w:r>
      <w:r w:rsidRPr="006505CF">
        <w:rPr>
          <w:rFonts w:ascii="Times New Roman" w:hAnsi="Times New Roman" w:cs="Times New Roman"/>
          <w:sz w:val="24"/>
          <w:szCs w:val="24"/>
        </w:rPr>
        <w:t>show a negative association with chronic diseases.</w:t>
      </w:r>
      <w:r w:rsidR="00117B8C">
        <w:rPr>
          <w:rFonts w:ascii="Times New Roman" w:hAnsi="Times New Roman" w:cs="Times New Roman"/>
          <w:sz w:val="24"/>
          <w:szCs w:val="24"/>
        </w:rPr>
        <w:t xml:space="preserve"> </w:t>
      </w:r>
      <w:r w:rsidR="00A339FA">
        <w:rPr>
          <w:rFonts w:ascii="Times New Roman" w:hAnsi="Times New Roman" w:cs="Times New Roman"/>
          <w:sz w:val="24"/>
          <w:szCs w:val="24"/>
        </w:rPr>
        <w:t xml:space="preserve"> </w:t>
      </w:r>
    </w:p>
    <w:p w14:paraId="56B82AA1" w14:textId="77777777" w:rsidR="00544DEC" w:rsidRPr="006505CF" w:rsidRDefault="00544DEC" w:rsidP="006505CF">
      <w:pPr>
        <w:spacing w:line="480" w:lineRule="auto"/>
        <w:jc w:val="both"/>
        <w:rPr>
          <w:rFonts w:ascii="Times New Roman" w:hAnsi="Times New Roman" w:cs="Times New Roman"/>
          <w:sz w:val="24"/>
          <w:szCs w:val="24"/>
        </w:rPr>
      </w:pPr>
      <w:r w:rsidRPr="006505CF">
        <w:rPr>
          <w:rFonts w:ascii="Times New Roman" w:hAnsi="Times New Roman" w:cs="Times New Roman"/>
          <w:b/>
          <w:sz w:val="24"/>
          <w:szCs w:val="24"/>
        </w:rPr>
        <w:t>Conclusion:</w:t>
      </w:r>
      <w:r w:rsidRPr="006505CF">
        <w:rPr>
          <w:rFonts w:ascii="Times New Roman" w:hAnsi="Times New Roman" w:cs="Times New Roman"/>
          <w:sz w:val="24"/>
          <w:szCs w:val="24"/>
        </w:rPr>
        <w:t xml:space="preserve"> The findings emphasize the importance of promoting healthy lifestyles and implementing targeted interventions to encourage individuals to adopt favorable health behaviors. By addressing these modifiable factors, we can potentially reduce the burden of chronic diseases and improve the overall health outcomes of individuals and communities</w:t>
      </w:r>
    </w:p>
    <w:p w14:paraId="72484ED5" w14:textId="77777777" w:rsidR="00544DEC" w:rsidRPr="006505CF" w:rsidRDefault="00544DEC" w:rsidP="006505CF">
      <w:pPr>
        <w:spacing w:line="480" w:lineRule="auto"/>
        <w:jc w:val="both"/>
        <w:rPr>
          <w:rFonts w:ascii="Times New Roman" w:hAnsi="Times New Roman" w:cs="Times New Roman"/>
          <w:sz w:val="24"/>
          <w:szCs w:val="24"/>
        </w:rPr>
      </w:pPr>
      <w:r w:rsidRPr="006505CF">
        <w:rPr>
          <w:rFonts w:ascii="Times New Roman" w:hAnsi="Times New Roman" w:cs="Times New Roman"/>
          <w:b/>
          <w:sz w:val="24"/>
          <w:szCs w:val="24"/>
        </w:rPr>
        <w:t>Keywords:</w:t>
      </w:r>
      <w:r w:rsidRPr="006505CF">
        <w:rPr>
          <w:rFonts w:ascii="Times New Roman" w:hAnsi="Times New Roman" w:cs="Times New Roman"/>
          <w:sz w:val="24"/>
          <w:szCs w:val="24"/>
        </w:rPr>
        <w:t xml:space="preserve"> Health Behavior; Chronic Diseases; Adults; Slum; Bangladesh</w:t>
      </w:r>
    </w:p>
    <w:p w14:paraId="5B05343E" w14:textId="77777777" w:rsidR="00AF390E" w:rsidRPr="006505CF" w:rsidRDefault="00AF390E" w:rsidP="006505CF">
      <w:pPr>
        <w:spacing w:line="480" w:lineRule="auto"/>
        <w:jc w:val="both"/>
        <w:rPr>
          <w:rFonts w:ascii="Times New Roman" w:hAnsi="Times New Roman" w:cs="Times New Roman"/>
          <w:sz w:val="24"/>
          <w:szCs w:val="24"/>
        </w:rPr>
      </w:pPr>
    </w:p>
    <w:p w14:paraId="6589914E" w14:textId="1BC11102" w:rsidR="00AF390E" w:rsidRPr="006505CF" w:rsidRDefault="00AF390E" w:rsidP="006505CF">
      <w:pPr>
        <w:spacing w:line="480" w:lineRule="auto"/>
        <w:jc w:val="both"/>
        <w:rPr>
          <w:rFonts w:ascii="Times New Roman" w:hAnsi="Times New Roman" w:cs="Times New Roman"/>
          <w:b/>
          <w:sz w:val="24"/>
          <w:szCs w:val="24"/>
        </w:rPr>
      </w:pPr>
      <w:r w:rsidRPr="006505CF">
        <w:rPr>
          <w:rFonts w:ascii="Times New Roman" w:hAnsi="Times New Roman" w:cs="Times New Roman"/>
          <w:b/>
          <w:sz w:val="24"/>
          <w:szCs w:val="24"/>
        </w:rPr>
        <w:t>Background:</w:t>
      </w:r>
    </w:p>
    <w:p w14:paraId="69985CDD" w14:textId="5241DC7B" w:rsidR="00A02951" w:rsidRPr="006505CF" w:rsidRDefault="00E9360C" w:rsidP="006505CF">
      <w:pPr>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t>The</w:t>
      </w:r>
      <w:r w:rsidR="00A02951" w:rsidRPr="006505CF">
        <w:rPr>
          <w:rFonts w:ascii="Times New Roman" w:hAnsi="Times New Roman" w:cs="Times New Roman"/>
          <w:sz w:val="24"/>
          <w:szCs w:val="24"/>
        </w:rPr>
        <w:t xml:space="preserve"> chronic diseases are characterized by their extended duration and slow </w:t>
      </w:r>
      <w:r w:rsidRPr="006505CF">
        <w:rPr>
          <w:rFonts w:ascii="Times New Roman" w:hAnsi="Times New Roman" w:cs="Times New Roman"/>
          <w:sz w:val="24"/>
          <w:szCs w:val="24"/>
        </w:rPr>
        <w:t>progression has</w:t>
      </w:r>
      <w:r w:rsidR="00A02951" w:rsidRPr="006505CF">
        <w:rPr>
          <w:rFonts w:ascii="Times New Roman" w:hAnsi="Times New Roman" w:cs="Times New Roman"/>
          <w:sz w:val="24"/>
          <w:szCs w:val="24"/>
        </w:rPr>
        <w:t xml:space="preserve"> emerged as a significant worldwide health concern. They are responsible for a sizeable share of</w:t>
      </w:r>
      <w:r w:rsidRPr="006505CF">
        <w:rPr>
          <w:rFonts w:ascii="Times New Roman" w:hAnsi="Times New Roman" w:cs="Times New Roman"/>
          <w:sz w:val="24"/>
          <w:szCs w:val="24"/>
        </w:rPr>
        <w:t xml:space="preserve"> the illness burden, </w:t>
      </w:r>
      <w:r w:rsidR="00A02951" w:rsidRPr="006505CF">
        <w:rPr>
          <w:rFonts w:ascii="Times New Roman" w:hAnsi="Times New Roman" w:cs="Times New Roman"/>
          <w:sz w:val="24"/>
          <w:szCs w:val="24"/>
        </w:rPr>
        <w:t xml:space="preserve">morbidity and death, all over the world, particularly in communities that </w:t>
      </w:r>
      <w:r w:rsidRPr="006505CF">
        <w:rPr>
          <w:rFonts w:ascii="Times New Roman" w:hAnsi="Times New Roman" w:cs="Times New Roman"/>
          <w:sz w:val="24"/>
          <w:szCs w:val="24"/>
        </w:rPr>
        <w:t xml:space="preserve">have poor incomes and </w:t>
      </w:r>
      <w:r w:rsidR="00A02951" w:rsidRPr="006505CF">
        <w:rPr>
          <w:rFonts w:ascii="Times New Roman" w:hAnsi="Times New Roman" w:cs="Times New Roman"/>
          <w:sz w:val="24"/>
          <w:szCs w:val="24"/>
        </w:rPr>
        <w:t xml:space="preserve">marginalized </w:t>
      </w:r>
      <w:r w:rsidR="00A0295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{"citationItems":[{"id":"ITEM-1","itemData":{"DOI":"10.2471/BLT.17.206441","ISSN":"1564-0604 (Electronic)","PMID":"29904224","abstract":"Kidney disease has been described as the most neglected chronic disease. Reliable  estimates of the global burden of kidney disease require more population-based studies, but specific risks occur across the socioeconomic spectrum from poverty to affluence, from malnutrition to obesity, in agrarian to post-industrial settings, and along the life course from newborns to older people. A range of communicable and noncommunicable diseases result in renal complications and many people who have kidney disease lack access to care. The causes, consequences and costs of kidney diseases have implications for public health policy in all countries. The risks of kidney disease are also influenced by ethnicity, gender, location and lifestyle.  Increasing economic and health disparities, migration, demographic transition, unsafe working conditions and environmental threats, natural disasters and pollution may thwart attempts to reduce the morbidity and mortality from kidney disease. A multisectoral approach is needed to tackle the global burden of kidney disease. The sustainable development goals (SDGs) emphasize the importance of a multisectoral approach to health. We map the actions towards achieving all of the SDGs that have the potential to improve understanding, measurement, prevention and treatment of kidney disease in all age groups. These actions can also foster treatment innovations and reduce the burden of such disease in future generations.","author":[{"dropping-particle":"","family":"Luyckx","given":"Valerie A","non-dropping-particle":"","parse-names":false,"suffix":""},{"dropping-particle":"","family":"Tonelli","given":"Marcello","non-dropping-particle":"","parse-names":false,"suffix":""},{"dropping-particle":"","family":"Stanifer","given":"John W","non-dropping-particle":"","parse-names":false,"suffix":""}],"container-title":"Bulletin of the World Health Organization","id":"ITEM-1","issue":"6","issued":{"date-parts":[["2018","6"]]},"language":"eng","page":"414-422D","publisher-place":"Switzerland","title":"The global burden of kidney disease and the sustainable development goals.","type":"article-journal","volume":"96"},"uris":["http://www.mendeley.com/documents/?uuid=c675f4a7-9c7f-43ca-b621-e32de6498583"]}],"mendeley":{"formattedCitation":"(1)","plainTextFormattedCitation":"(1)","previouslyFormattedCitation":"(Luyckx et al., 2018)"},"properties":{"noteIndex":0},"schema":"https://github.com/citation-style-language/schema/raw/master/csl-citation.json"}</w:instrText>
      </w:r>
      <w:r w:rsidR="00A0295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(1)</w:t>
      </w:r>
      <w:r w:rsidR="00A02951" w:rsidRPr="006505CF">
        <w:rPr>
          <w:rFonts w:ascii="Times New Roman" w:hAnsi="Times New Roman" w:cs="Times New Roman"/>
          <w:sz w:val="24"/>
          <w:szCs w:val="24"/>
        </w:rPr>
        <w:fldChar w:fldCharType="end"/>
      </w:r>
      <w:r w:rsidR="00A02951" w:rsidRPr="006505CF">
        <w:rPr>
          <w:rFonts w:ascii="Times New Roman" w:hAnsi="Times New Roman" w:cs="Times New Roman"/>
          <w:sz w:val="24"/>
          <w:szCs w:val="24"/>
        </w:rPr>
        <w:t xml:space="preserve">. According to the United Nations Human Settlements Program (UN-Habitat), slums in urban regions are especially susceptible to the burden of chronic diseases due to the widespread poor living circumstances, limited access to healthcare services, and </w:t>
      </w:r>
      <w:r w:rsidR="00A02951" w:rsidRPr="006505CF">
        <w:rPr>
          <w:rFonts w:ascii="Times New Roman" w:hAnsi="Times New Roman" w:cs="Times New Roman"/>
          <w:sz w:val="24"/>
          <w:szCs w:val="24"/>
        </w:rPr>
        <w:lastRenderedPageBreak/>
        <w:t xml:space="preserve">unhealthy behaviors </w:t>
      </w:r>
      <w:r w:rsidR="00A0295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{"citationItems":[{"id":"ITEM-1","itemData":{"DOI":"10.1371/journal.pone.0233635","ISSN":"1932-6203 (Electronic)","PMID":"32542043","abstract":"INTRODUCTION: Accompanying rapid urbanization in Bangladesh are inequities in  health and healthcare which are most visibly manifested in slums or low-income settlements. This study examines socioeconomic, demographic and geographic patterns of self-reported chronic illness and healthcare seeking among adult slum dwellers in Bangladesh. Understanding these patterns is critical in designing more equitable urban health systems and in enabling the country's goal of Universal Health Coverage by 2030. METHODS: This descriptive cross-sectional study compares survey data from slum settlements located in two urban sites in Bangladesh, Tongi and Sylhet. Reported chronic illness symptoms and associated healthcare-seeking strategies are compared, and the catastrophic impact of household healthcare expenditures are assessed. RESULTS: Significant differences in healthcare-seeking for chronic illness were apparent both within and between slum settlements related to sex, wealth score (PPI), and location. Women were more likely to use private clinics than men. Compared to poorer residents, those from wealthier households sought care to a greater extent in private clinics, while poorer households relied more on drug shops and public hospitals. Chronic symptoms also differed. A greater prevalence of musculoskeletal, respiratory, digestive and neurological symptoms was reported among those with lower PPIs. In both slum sites, reliance on the private healthcare market was widespread, but greater in industrialized Tongi. Tongi also experienced a higher probability of catastrophic expenditure than Sylhet. CONCLUSIONS: Study results point to the value of understanding context-specific health-seeking patterns for chronic illness when designing delivery strategies to address the growing burden of NCDs in slum environments. Slums are complex social and geographic entities and cannot be generalized. Priority attention should be focused on developing chronic care services that meet the needs of the working poor in terms of proximity, opening hours, quality, and cost.","author":[{"dropping-particle":"","family":"Adams","given":"Alayne M","non-dropping-particle":"","parse-names":false,"suffix":""},{"dropping-particle":"","family":"Islam","given":"Rubana","non-dropping-particle":"","parse-names":false,"suffix":""},{"dropping-particle":"","family":"Yusuf","given":"Sifat Shahana","non-dropping-particle":"","parse-names":false,"suffix":""},{"dropping-particle":"","family":"Panasci","given":"Anthony","non-dropping-particle":"","parse-names":false,"suffix":""},{"dropping-particle":"","family":"Crowell","given":"Nancy","non-dropping-particle":"","parse-names":false,"suffix":""}],"container-title":"PloS one","id":"ITEM-1","issue":"6","issued":{"date-parts":[["2020"]]},"language":"eng","page":"e0233635","publisher-place":"United States","title":"Healthcare seeking for chronic illness among adult slum dwellers in Bangladesh: A  descriptive cross-sectional study in two urban settings.","type":"article-journal","volume":"15"},"uris":["http://www.mendeley.com/documents/?uuid=2c814318-b264-4342-82ac-056a3996d355"]}],"mendeley":{"formattedCitation":"(2)","plainTextFormattedCitation":"(2)","previouslyFormattedCitation":"(Adams et al., 2020)"},"properties":{"noteIndex":0},"schema":"https://github.com/citation-style-language/schema/raw/master/csl-citation.json"}</w:instrText>
      </w:r>
      <w:r w:rsidR="00A0295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w:t>
      </w:r>
      <w:r w:rsidR="00A02951" w:rsidRPr="006505CF">
        <w:rPr>
          <w:rFonts w:ascii="Times New Roman" w:hAnsi="Times New Roman" w:cs="Times New Roman"/>
          <w:sz w:val="24"/>
          <w:szCs w:val="24"/>
        </w:rPr>
        <w:fldChar w:fldCharType="end"/>
      </w:r>
      <w:r w:rsidR="00A02951" w:rsidRPr="006505CF">
        <w:rPr>
          <w:rFonts w:ascii="Times New Roman" w:hAnsi="Times New Roman" w:cs="Times New Roman"/>
          <w:sz w:val="24"/>
          <w:szCs w:val="24"/>
        </w:rPr>
        <w:t xml:space="preserve">. The physical health of a person or their capacity to recover from sickness may be affected by their behavior in relation to their health and approximately 40% of premature deaths are caused by unhealthy behaviors </w:t>
      </w:r>
      <w:r w:rsidR="00A0295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{"citationItems":[{"id":"ITEM-1","itemData":{"DOI":"10.3390/jcm9010121","ISSN":"20770383","abstract":"This study aimed to analyze the demographic characteristics and health behaviors related to chronic diseases and to identify factors that may affect chronic diseases. Data from the Seventh Korea National Health and Nutrition Examination Survey were used, and 3795 adults aged above 40 years were included. The following demographic variables were obtained: sex, age, education, income, type of health insurance, and private insurance. The following health behavior factors were also analyzed: medical checkup, drinking, smoking, exercise, obesity, and hypercholesterolemia. Participants with lower socioeconomic status had a higher risk of developing chronic diseases. Meanwhile, those with private health insurance had a lower risk of developing chronic diseases. In addition, participants who underwent medical checkups and performed exercises had a lower risk, while those with obesity and hypercholesterolemia had a higher risk of developing chronic diseases. It is necessary to manage chronic diseases through comprehensive programs, rather than managing these diseases individually, and through community primary care institutions to improve health behaviors.","author":[{"dropping-particle":"","family":"Lee","given":"Munjae","non-dropping-particle":"","parse-names":false,"suffix":""},{"dropping-particle":"","family":"Park","given":"Sewon","non-dropping-particle":"","parse-names":false,"suffix":""},{"dropping-particle":"","family":"Lee","given":"Kyu Sung","non-dropping-particle":"","parse-names":false,"suffix":""}],"container-title":"Journal of Clinical Medicine","id":"ITEM-1","issue":"1","issued":{"date-parts":[["2020"]]},"title":"Relationship between morbidity and health behavior in chronic diseases","type":"article-journal","volume":"9"},"uris":["http://www.mendeley.com/documents/?uuid=26c9d55a-c9da-4826-a3f5-db2a34c86067","http://www.mendeley.com/documents/?uuid=d42fee1e-31ff-418a-9458-f3f981fd850a"]}],"mendeley":{"formattedCitation":"(3)","plainTextFormattedCitation":"(3)","previouslyFormattedCitation":"(M. Lee et al., 2020)"},"properties":{"noteIndex":0},"schema":"https://github.com/citation-style-language/schema/raw/master/csl-citation.json"}</w:instrText>
      </w:r>
      <w:r w:rsidR="00A0295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(3)</w:t>
      </w:r>
      <w:r w:rsidR="00A02951" w:rsidRPr="006505CF">
        <w:rPr>
          <w:rFonts w:ascii="Times New Roman" w:hAnsi="Times New Roman" w:cs="Times New Roman"/>
          <w:sz w:val="24"/>
          <w:szCs w:val="24"/>
        </w:rPr>
        <w:fldChar w:fldCharType="end"/>
      </w:r>
      <w:r w:rsidR="00A02951" w:rsidRPr="006505CF">
        <w:rPr>
          <w:rFonts w:ascii="Times New Roman" w:hAnsi="Times New Roman" w:cs="Times New Roman"/>
          <w:sz w:val="24"/>
          <w:szCs w:val="24"/>
        </w:rPr>
        <w:t xml:space="preserve">. According to a previous research from 2022, smoking has a significant influence on the development of chronic diseases such as cardiovascular diseases, respiratory disorders, and cancer </w:t>
      </w:r>
      <w:r w:rsidR="00A0295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{"citationItems":[{"id":"ITEM-1","itemData":{"DOI":"10.5888/pcd19.220086","ISSN":"1545-1151 (Electronic)","PMID":"36173703","abstract":"INTRODUCTION: People who smoke cigarettes are at greater risk of developing  chronic diseases and related complications. Our study provides recent estimates and trends in cigarette smoking among people with respiratory and cardiovascular diseases, cancers, and diabetes. METHODS: Using data from the 2019 National Health Interview Survey, we calculated the prevalence of current and former cigarette smoking among adults aged 18 to 44 years, 45 to 64 years, and 65 years or older with chronic diseases. Those diseases were cancers associated with smoking, chronic obstructive pulmonary disease, diabetes, coronary heart disease, and/or stroke (N = 3,741). Using data from the 2010-2019 National Health Interview Surveys, we assessed trends in current cigarette smoking by chronic disease by using the National Cancer Institute's Joinpoint Regression Program. RESULTS: In 2019, current cigarette smoking prevalence among adults with chronic diseases associated with smoking ranged from 6.0% among adults aged 65 or older with diabetes to 51.9% among adults aged 18 to 44 years with 2 or more chronic diseases. During 2010 through 2019, a significant decrease occurred in current cigarette smoking among adults aged 45 to 64 years with diabetes. CONCLUSION: Overall, smoking prevalence remains high and relatively unchanged among people with chronic diseases associated with smoking, even as the overall prevalence of cigarette smoking in the US continues to decrease. The lack of progress in smoking cessation among adults with chronic diseases associated with smoking suggests that access, promotion, and integration of cessation treatment across the continuum of health care (ie, oncology, pulmonology, and cardiology settings) may be important in the success of smoking cessation in this population.","author":[{"dropping-particle":"","family":"Loretan","given":"Caitlin G","non-dropping-particle":"","parse-names":false,"suffix":""},{"dropping-particle":"","family":"Cornelius","given":"Monica E","non-dropping-particle":"","parse-names":false,"suffix":""},{"dropping-particle":"","family":"Jamal","given":"Ahmed","non-dropping-particle":"","parse-names":false,"suffix":""},{"dropping-particle":"","family":"Cheng","given":"Yiling J","non-dropping-particle":"","parse-names":false,"suffix":""},{"dropping-particle":"","family":"Homa","given":"David M","non-dropping-particle":"","parse-names":false,"suffix":""}],"container-title":"Preventing chronic disease","id":"ITEM-1","issued":{"date-parts":[["2022","9"]]},"language":"eng","page":"E62","publisher-place":"United States","title":"Cigarette Smoking Among US Adults With Selected Chronic Diseases Associated With  Smoking, 2010-2019.","type":"article-journal","volume":"19"},"uris":["http://www.mendeley.com/documents/?uuid=c2869380-72f3-4be8-aa48-1f1fe02f78f8"]}],"mendeley":{"formattedCitation":"(4)","plainTextFormattedCitation":"(4)","previouslyFormattedCitation":"(Loretan et al., 2022)"},"properties":{"noteIndex":0},"schema":"https://github.com/citation-style-language/schema/raw/master/csl-citation.json"}</w:instrText>
      </w:r>
      <w:r w:rsidR="00A0295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(4)</w:t>
      </w:r>
      <w:r w:rsidR="00A02951" w:rsidRPr="006505CF">
        <w:rPr>
          <w:rFonts w:ascii="Times New Roman" w:hAnsi="Times New Roman" w:cs="Times New Roman"/>
          <w:sz w:val="24"/>
          <w:szCs w:val="24"/>
        </w:rPr>
        <w:fldChar w:fldCharType="end"/>
      </w:r>
      <w:r w:rsidRPr="006505CF">
        <w:rPr>
          <w:rFonts w:ascii="Times New Roman" w:hAnsi="Times New Roman" w:cs="Times New Roman"/>
          <w:sz w:val="24"/>
          <w:szCs w:val="24"/>
        </w:rPr>
        <w:t xml:space="preserve">. In addition </w:t>
      </w:r>
      <w:r w:rsidR="00A02951" w:rsidRPr="006505CF">
        <w:rPr>
          <w:rFonts w:ascii="Times New Roman" w:hAnsi="Times New Roman" w:cs="Times New Roman"/>
          <w:sz w:val="24"/>
          <w:szCs w:val="24"/>
        </w:rPr>
        <w:t xml:space="preserve">, leading a sedentary lifestyle was linked to an increased likelihood of developing obesity, diabetes, and hypertension </w:t>
      </w:r>
      <w:r w:rsidR="00A0295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{"citationItems":[{"id":"ITEM-1","itemData":{"DOI":"10.4082/kjfm.20.0165","ISSN":"2005-6443 (Print)","PMID":"33242381","abstract":"One-third of the global population aged 15 years and older engages in  insufficient physical activities, which affects health. However, the health risks posed by sedentary behaviors are not well known. The mean daily duration of sedentary behavior is 8.3 hours among the Korean population and 7.7 hours among the American adult population. Sedentary lifestyles are spreading worldwide because of a lack of available spaces for exercise, increased occupational sedentary behaviors such as office work, and the increased penetration of television and video devices. Consequently, the associated health problems are on the rise. A sedentary lifestyle affects the human body through various mechanisms. Sedentary behaviors reduce lipoprotein lipase activity, muscle glucose, protein transporter activities, impair lipid metabolism, and diminish carbohydrate metabolism. Furthermore, it decreases cardiac output and systemic blood flow while activating the sympathetic nervous system, ultimately reducing insulin sensitivity and vascular function. It also alters the insulin-like growth factor axis and the circulation levels of sex hormones, which elevates the incidence of hormone-related cancers. Increased sedentary time impairs the gravitostat, the body's weight homeostat, and weight gain, adiposity, and elevated chronic inflammation caused by sedentary behavior are risk factors for cancer. Sedentary behaviors have wide-ranging adverse impacts on the human body including increased all-cause mortality, cardiovascular disease mortality, cancer risk, and risks of metabolic disorders such as diabetes mellitus, hypertension, and dyslipidemia; musculoskeletal disorders such as arthralgia and osteoporosis; depression; and, cognitive impairment. Therefore, reducing sedentary behaviors and increasing physical activity are both important to promote public health.","author":[{"dropping-particle":"","family":"Park","given":"Jung Ha","non-dropping-particle":"","parse-names":false,"suffix":""},{"dropping-particle":"","family":"Moon","given":"Ji Hyun","non-dropping-particle":"","parse-names":false,"suffix":""},{"dropping-particle":"","family":"Kim","given":"Hyeon Ju","non-dropping-particle":"","parse-names":false,"suffix":""},{"dropping-particle":"","family":"Kong","given":"Mi Hee","non-dropping-particle":"","parse-names":false,"suffix":""},{"dropping-particle":"","family":"Oh","given":"Yun Hwan","non-dropping-particle":"","parse-names":false,"suffix":""}],"container-title":"Korean journal of family medicine","id":"ITEM-1","issue":"6","issued":{"date-parts":[["2020","11"]]},"language":"eng","page":"365-373","publisher-place":"Korea (South)","title":"Sedentary Lifestyle: Overview of Updated Evidence of Potential Health Risks.","type":"article-journal","volume":"41"},"uris":["http://www.mendeley.com/documents/?uuid=c8aac5c6-9c27-4329-959c-c2c376a31df9"]}],"mendeley":{"formattedCitation":"(5)","plainTextFormattedCitation":"(5)","previouslyFormattedCitation":"(Park et al., 2020)"},"properties":{"noteIndex":0},"schema":"https://github.com/citation-style-language/schema/raw/master/csl-citation.json"}</w:instrText>
      </w:r>
      <w:r w:rsidR="00A0295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(5)</w:t>
      </w:r>
      <w:r w:rsidR="00A02951" w:rsidRPr="006505CF">
        <w:rPr>
          <w:rFonts w:ascii="Times New Roman" w:hAnsi="Times New Roman" w:cs="Times New Roman"/>
          <w:sz w:val="24"/>
          <w:szCs w:val="24"/>
        </w:rPr>
        <w:fldChar w:fldCharType="end"/>
      </w:r>
      <w:r w:rsidR="00A02951" w:rsidRPr="006505CF">
        <w:rPr>
          <w:rFonts w:ascii="Times New Roman" w:hAnsi="Times New Roman" w:cs="Times New Roman"/>
          <w:sz w:val="24"/>
          <w:szCs w:val="24"/>
        </w:rPr>
        <w:t xml:space="preserve"> . Unhealthy</w:t>
      </w:r>
      <w:r w:rsidRPr="006505CF">
        <w:rPr>
          <w:rFonts w:ascii="Times New Roman" w:hAnsi="Times New Roman" w:cs="Times New Roman"/>
          <w:sz w:val="24"/>
          <w:szCs w:val="24"/>
        </w:rPr>
        <w:t xml:space="preserve"> eating habits </w:t>
      </w:r>
      <w:r w:rsidR="00A02951" w:rsidRPr="006505CF">
        <w:rPr>
          <w:rFonts w:ascii="Times New Roman" w:hAnsi="Times New Roman" w:cs="Times New Roman"/>
          <w:sz w:val="24"/>
          <w:szCs w:val="24"/>
        </w:rPr>
        <w:t xml:space="preserve">characterized by the consumption of processed foods and a low intake of fruits and vegetables, increased the probability of developing chronic diseases such as obesity, cardiovascular diseases, and metabolic disorders </w:t>
      </w:r>
      <w:r w:rsidR="00A0295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{"citationItems":[{"id":"ITEM-1","itemData":{"DOI":"10.3389/fnut.2022.817808","ISSN":"2296-861X (Print)","PMID":"35369054","abstract":"There are 22 countries in the Eastern Mediterranean Region (EMR) expanding from  Morocco in the west to Pakistan and Afghanistan in the east, containing a population of 725,721 million in 2020. In the previous 30 years, the illness burden in the EMR has transmitted from communicable diseases to non-communicable diseases such as diabetes, cardiovascular diseases, and cancer. In 2019, cardiovascular mortality in the EMR was mostly attributed to ischemic heart disease, the first reason for mortality in 19 countries in the region. Stroke was the second reason for death in nine countries followed by diabetes, which was ranked as the second reason for death in two countries. The prominent nutrition-related NCDs risk factors in EMR include obesity, hypertension, high fasting plasma glucose, and upregulated unhealthy diet consumption. Most of the EMR population are unaware of their NCDs risk factor status. These risk factors, even if treated, are often poorly controlled, therefore, inhibiting their existence by changing the lifestyle to proper dietary habits and sufficient physical activity is mandatory. In this review, the epidemiology and nutrition-related risk factors of NCDs in the EMR will be discussed and illustrated, aiming to scale up action and support decision-makers in implementing cost effective strategies to address obesity and NCDs prevention and management in the region.","author":[{"dropping-particle":"","family":"Al-Jawaldeh","given":"Ayoub","non-dropping-particle":"","parse-names":false,"suffix":""},{"dropping-particle":"","family":"Abbass","given":"Marwa M S","non-dropping-particle":"","parse-names":false,"suffix":""}],"container-title":"Frontiers in nutrition","id":"ITEM-1","issued":{"date-parts":[["2022"]]},"language":"eng","page":"817808","publisher-place":"Switzerland","title":"Unhealthy Dietary Habits and Obesity: The Major Risk Factors Beyond  Non-Communicable Diseases in the Eastern Mediterranean Region.","type":"article-journal","volume":"9"},"uris":["http://www.mendeley.com/documents/?uuid=0d204eb6-eee7-4de7-883e-3e00f691e56a"]}],"mendeley":{"formattedCitation":"(6)","plainTextFormattedCitation":"(6)","previouslyFormattedCitation":"(Al-Jawaldeh &amp; Abbass, 2022)"},"properties":{"noteIndex":0},"schema":"https://github.com/citation-style-language/schema/raw/master/csl-citation.json"}</w:instrText>
      </w:r>
      <w:r w:rsidR="00A0295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(6)</w:t>
      </w:r>
      <w:r w:rsidR="00A02951" w:rsidRPr="006505CF">
        <w:rPr>
          <w:rFonts w:ascii="Times New Roman" w:hAnsi="Times New Roman" w:cs="Times New Roman"/>
          <w:sz w:val="24"/>
          <w:szCs w:val="24"/>
        </w:rPr>
        <w:fldChar w:fldCharType="end"/>
      </w:r>
      <w:r w:rsidR="00A02951" w:rsidRPr="006505CF">
        <w:rPr>
          <w:rFonts w:ascii="Times New Roman" w:hAnsi="Times New Roman" w:cs="Times New Roman"/>
          <w:sz w:val="24"/>
          <w:szCs w:val="24"/>
        </w:rPr>
        <w:t xml:space="preserve">. </w:t>
      </w:r>
      <w:r w:rsidRPr="006505CF">
        <w:rPr>
          <w:rFonts w:ascii="Times New Roman" w:hAnsi="Times New Roman" w:cs="Times New Roman"/>
          <w:sz w:val="24"/>
          <w:szCs w:val="24"/>
        </w:rPr>
        <w:t>A</w:t>
      </w:r>
      <w:r w:rsidR="00A02951" w:rsidRPr="006505CF">
        <w:rPr>
          <w:rFonts w:ascii="Times New Roman" w:hAnsi="Times New Roman" w:cs="Times New Roman"/>
          <w:sz w:val="24"/>
          <w:szCs w:val="24"/>
        </w:rPr>
        <w:t xml:space="preserve"> </w:t>
      </w:r>
      <w:r w:rsidR="00322CAD" w:rsidRPr="006505CF">
        <w:rPr>
          <w:rFonts w:ascii="Times New Roman" w:hAnsi="Times New Roman" w:cs="Times New Roman"/>
          <w:sz w:val="24"/>
          <w:szCs w:val="24"/>
        </w:rPr>
        <w:t>prior</w:t>
      </w:r>
      <w:r w:rsidR="00A02951" w:rsidRPr="006505CF">
        <w:rPr>
          <w:rFonts w:ascii="Times New Roman" w:hAnsi="Times New Roman" w:cs="Times New Roman"/>
          <w:sz w:val="24"/>
          <w:szCs w:val="24"/>
        </w:rPr>
        <w:t xml:space="preserve"> </w:t>
      </w:r>
      <w:r w:rsidR="00322CAD" w:rsidRPr="006505CF">
        <w:rPr>
          <w:rFonts w:ascii="Times New Roman" w:hAnsi="Times New Roman" w:cs="Times New Roman"/>
          <w:sz w:val="24"/>
          <w:szCs w:val="24"/>
        </w:rPr>
        <w:t>study</w:t>
      </w:r>
      <w:r w:rsidR="00A02951" w:rsidRPr="006505CF">
        <w:rPr>
          <w:rFonts w:ascii="Times New Roman" w:hAnsi="Times New Roman" w:cs="Times New Roman"/>
          <w:sz w:val="24"/>
          <w:szCs w:val="24"/>
        </w:rPr>
        <w:t xml:space="preserve"> </w:t>
      </w:r>
      <w:r w:rsidRPr="006505CF">
        <w:rPr>
          <w:rFonts w:ascii="Times New Roman" w:hAnsi="Times New Roman" w:cs="Times New Roman"/>
          <w:sz w:val="24"/>
          <w:szCs w:val="24"/>
        </w:rPr>
        <w:t>revealed</w:t>
      </w:r>
      <w:r w:rsidR="00A02951" w:rsidRPr="006505CF">
        <w:rPr>
          <w:rFonts w:ascii="Times New Roman" w:hAnsi="Times New Roman" w:cs="Times New Roman"/>
          <w:sz w:val="24"/>
          <w:szCs w:val="24"/>
        </w:rPr>
        <w:t xml:space="preserve"> a correlation between individuals' exposure to air pollution and an increased risk of developing chronic diseases such as diabetes, hypertension, and mental health disorders. In addition, socioeconomic factors played a substantial role, with those of lower socioeconomic class reporting a higher incidence of unhealthy behaviors and a larger susceptibility to chronic diseases </w:t>
      </w:r>
      <w:r w:rsidR="00A0295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{"citationItems":[{"id":"ITEM-1","itemData":{"DOI":"10.3389/fpubh.2020.00014","ISSN":"2296-2565 (Print)","PMID":"32154200","abstract":"One of our era's greatest scourges is air pollution, on account not only of its  impact on climate change but also its impact on public and individual health due to increasing morbidity and mortality. There are many pollutants that are major factors in disease in humans. Among them, Particulate Matter (PM), particles of variable but very small diameter, penetrate the respiratory system via inhalation, causing respiratory and cardiovascular diseases, reproductive and central nervous system dysfunctions, and cancer. Despite the fact that ozone in the stratosphere plays a protective role against ultraviolet irradiation, it is harmful when in high concentration at ground level, also affecting the respiratory and cardiovascular system. Furthermore, nitrogen oxide, sulfur dioxide, Volatile Organic Compounds (VOCs), dioxins, and polycyclic aromatic hydrocarbons (PAHs) are all considered air pollutants that are harmful to humans. Carbon monoxide can even provoke direct poisoning when breathed in at high levels. Heavy metals such as lead, when absorbed into the human body, can lead to direct poisoning or chronic intoxication, depending on exposure. Diseases occurring from the aforementioned substances include principally respiratory problems such as Chronic Obstructive Pulmonary Disease (COPD), asthma, bronchiolitis, and also lung cancer, cardiovascular events, central nervous system dysfunctions, and cutaneous diseases. Last but not least, climate change resulting from environmental pollution affects the geographical distribution of many infectious diseases, as do natural disasters. The only way to tackle this problem is through public awareness coupled with a multidisciplinary approach by scientific experts; national and international organizations must address the emergence of this threat and propose sustainable solutions.","author":[{"dropping-particle":"","family":"Manisalidis","given":"Ioannis","non-dropping-particle":"","parse-names":false,"suffix":""},{"dropping-particle":"","family":"Stavropoulou","given":"Elisavet","non-dropping-particle":"","parse-names":false,"suffix":""},{"dropping-particle":"","family":"Stavropoulos","given":"Agathangelos","non-dropping-particle":"","parse-names":false,"suffix":""},{"dropping-particle":"","family":"Bezirtzoglou","given":"Eugenia","non-dropping-particle":"","parse-names":false,"suffix":""}],"container-title":"Frontiers in public health","id":"ITEM-1","issued":{"date-parts":[["2020"]]},"language":"eng","page":"14","publisher-place":"Switzerland","title":"Environmental and Health Impacts of Air Pollution: A Review.","type":"article-journal","volume":"8"},"uris":["http://www.mendeley.com/documents/?uuid=516d2ca8-d340-4ccb-9fe6-9e76dc8cc039"]}],"mendeley":{"formattedCitation":"(7)","plainTextFormattedCitation":"(7)","previouslyFormattedCitation":"(Manisalidis et al., 2020)"},"properties":{"noteIndex":0},"schema":"https://github.com/citation-style-language/schema/raw/master/csl-citation.json"}</w:instrText>
      </w:r>
      <w:r w:rsidR="00A0295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(7)</w:t>
      </w:r>
      <w:r w:rsidR="00A02951" w:rsidRPr="006505CF">
        <w:rPr>
          <w:rFonts w:ascii="Times New Roman" w:hAnsi="Times New Roman" w:cs="Times New Roman"/>
          <w:sz w:val="24"/>
          <w:szCs w:val="24"/>
        </w:rPr>
        <w:fldChar w:fldCharType="end"/>
      </w:r>
      <w:r w:rsidR="00A02951" w:rsidRPr="006505CF">
        <w:rPr>
          <w:rFonts w:ascii="Times New Roman" w:hAnsi="Times New Roman" w:cs="Times New Roman"/>
          <w:sz w:val="24"/>
          <w:szCs w:val="24"/>
        </w:rPr>
        <w:t>.</w:t>
      </w:r>
      <w:r w:rsidR="00322CAD" w:rsidRPr="006505CF">
        <w:rPr>
          <w:rFonts w:ascii="Times New Roman" w:hAnsi="Times New Roman" w:cs="Times New Roman"/>
          <w:sz w:val="24"/>
          <w:szCs w:val="24"/>
        </w:rPr>
        <w:t xml:space="preserve"> The slum region in Dhaka, capital city of Bangladesh, is one of the most densely populated urban settlements in the world </w:t>
      </w:r>
      <w:r w:rsidR="00322CAD"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{"citationItems":[{"id":"ITEM-1","itemData":{"DOI":"10.1016/j.sbspro.2012.03.067","ISSN":"1877-0428","abstract":"Dhaka, capital city of Bangladesh, with a population of 12 million, receives 300,000 to 400,000 rural migrants annually. During the last three decades, while city population has grown over 7%, annually, bastee (slum and squatter) population of the city has grown from 1.0 million in 1990 to 3.4 million in 2005. Several policy approaches such as eviction, resettlement and upgrading, were adopted to deal with bastee settlements of Dhaka since 1975. These policies approaches were not very effective, because the scale of the problem is very large, which provides future challenges to deal with the bastee situation at a city-wide scale.","author":[{"dropping-particle":"","family":"Mohit","given":"Mohammad Abdul","non-dropping-particle":"","parse-names":false,"suffix":""}],"container-title":"Procedia-Social and Behavioral Sciences","id":"ITEM-1","issued":{"date-parts":[["2012"]]},"page":"15-17","title":"Bastee Settlements of Dhaka City, Bangladesh: A Review of Policy Approaches and Challenges Ahead-review under responsibility of Centre for Environment-Behaviour Studies (cE-Bs), Faculty of Architecture, Planning &amp; Surveying, Universiti Teknologi MARA, Mal","type":"article-journal","volume":"36"},"uris":["http://www.mendeley.com/documents/?uuid=e37f3917-eeb9-4e52-9805-354ea34dac19"]}],"mendeley":{"formattedCitation":"(8)","plainTextFormattedCitation":"(8)","previouslyFormattedCitation":"(Mohit, 2012)"},"properties":{"noteIndex":0},"schema":"https://github.com/citation-style-language/schema/raw/master/csl-citation.json"}</w:instrText>
      </w:r>
      <w:r w:rsidR="00322CAD"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(8)</w:t>
      </w:r>
      <w:r w:rsidR="00322CAD" w:rsidRPr="006505CF">
        <w:rPr>
          <w:rFonts w:ascii="Times New Roman" w:hAnsi="Times New Roman" w:cs="Times New Roman"/>
          <w:sz w:val="24"/>
          <w:szCs w:val="24"/>
        </w:rPr>
        <w:fldChar w:fldCharType="end"/>
      </w:r>
      <w:r w:rsidR="00322CAD" w:rsidRPr="006505CF">
        <w:rPr>
          <w:rFonts w:ascii="Times New Roman" w:hAnsi="Times New Roman" w:cs="Times New Roman"/>
          <w:sz w:val="24"/>
          <w:szCs w:val="24"/>
        </w:rPr>
        <w:t xml:space="preserve">. This settlement is also characterized by overcrowding, inadequate sanitation, and limited access to basic utilities </w:t>
      </w:r>
      <w:r w:rsidR="00322CAD"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{"citationItems":[{"id":"ITEM-1","itemData":{"DOI":"10.1016/j.cities.2020.102871","ISSN":"0264-2751 (Print)","PMID":"32921866","abstract":"•COVID-19 has exposed service gaps in Water, Sanitation and Hygiene (WASH) in  informal settlments in cities.•The vulnerability of informal settlements to COVID-19 is not accidental, but a result of the type of cities that were built.•The Sustainable Development Goals provide a framework for integrated actions in WASH benefitting other sectors.•Partnerships for interventions must consider scalar dynamics with different responses taken at different governance levels.","author":[{"dropping-particle":"","family":"Parikh","given":"Priti","non-dropping-particle":"","parse-names":false,"suffix":""},{"dropping-particle":"","family":"Diep","given":"Loan","non-dropping-particle":"","parse-names":false,"suffix":""},{"dropping-particle":"","family":"Gupte","given":"Jaideep","non-dropping-particle":"","parse-names":false,"suffix":""},{"dropping-particle":"","family":"Lakhanpaul","given":"Monica","non-dropping-particle":"","parse-names":false,"suffix":""}],"container-title":"Cities (London, England)","id":"ITEM-1","issued":{"date-parts":[["2020","12"]]},"language":"eng","page":"102871","publisher-place":"England","title":"COVID-19 challenges and WASH in informal settlements: Integrated action supported  by the sustainable development goals.","type":"article-journal","volume":"107"},"uris":["http://www.mendeley.com/documents/?uuid=0d0e8b8e-d1a0-4e16-966b-391ce098aef9"]}],"mendeley":{"formattedCitation":"(9)","plainTextFormattedCitation":"(9)","previouslyFormattedCitation":"(Parikh et al., 2020)"},"properties":{"noteIndex":0},"schema":"https://github.com/citation-style-language/schema/raw/master/csl-citation.json"}</w:instrText>
      </w:r>
      <w:r w:rsidR="00322CAD"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(9)</w:t>
      </w:r>
      <w:r w:rsidR="00322CAD" w:rsidRPr="006505CF">
        <w:rPr>
          <w:rFonts w:ascii="Times New Roman" w:hAnsi="Times New Roman" w:cs="Times New Roman"/>
          <w:sz w:val="24"/>
          <w:szCs w:val="24"/>
        </w:rPr>
        <w:fldChar w:fldCharType="end"/>
      </w:r>
      <w:r w:rsidR="00322CAD" w:rsidRPr="006505CF">
        <w:rPr>
          <w:rFonts w:ascii="Times New Roman" w:hAnsi="Times New Roman" w:cs="Times New Roman"/>
          <w:sz w:val="24"/>
          <w:szCs w:val="24"/>
        </w:rPr>
        <w:t xml:space="preserve">. In spite of the high incidence of chronic diseases among this group, there is a dearth of research that investigates the connection between healthy behaviors and chronic diseases, particularly in Dhaka's slum neighborhoods </w:t>
      </w:r>
      <w:r w:rsidR="00322CAD"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{"citationItems":[{"id":"ITEM-1","itemData":{"DOI":"10.1371/journal.pone.0233635","ISSN":"1932-6203 (Electronic)","PMID":"32542043","abstract":"INTRODUCTION: Accompanying rapid urbanization in Bangladesh are inequities in  health and healthcare which are most visibly manifested in slums or low-income settlements. This study examines socioeconomic, demographic and geographic patterns of self-reported chronic illness and healthcare seeking among adult slum dwellers in Bangladesh. Understanding these patterns is critical in designing more equitable urban health systems and in enabling the country's goal of Universal Health Coverage by 2030. METHODS: This descriptive cross-sectional study compares survey data from slum settlements located in two urban sites in Bangladesh, Tongi and Sylhet. Reported chronic illness symptoms and associated healthcare-seeking strategies are compared, and the catastrophic impact of household healthcare expenditures are assessed. RESULTS: Significant differences in healthcare-seeking for chronic illness were apparent both within and between slum settlements related to sex, wealth score (PPI), and location. Women were more likely to use private clinics than men. Compared to poorer residents, those from wealthier households sought care to a greater extent in private clinics, while poorer households relied more on drug shops and public hospitals. Chronic symptoms also differed. A greater prevalence of musculoskeletal, respiratory, digestive and neurological symptoms was reported among those with lower PPIs. In both slum sites, reliance on the private healthcare market was widespread, but greater in industrialized Tongi. Tongi also experienced a higher probability of catastrophic expenditure than Sylhet. CONCLUSIONS: Study results point to the value of understanding context-specific health-seeking patterns for chronic illness when designing delivery strategies to address the growing burden of NCDs in slum environments. Slums are complex social and geographic entities and cannot be generalized. Priority attention should be focused on developing chronic care services that meet the needs of the working poor in terms of proximity, opening hours, quality, and cost.","author":[{"dropping-particle":"","family":"Adams","given":"Alayne M","non-dropping-particle":"","parse-names":false,"suffix":""},{"dropping-particle":"","family":"Islam","given":"Rubana","non-dropping-particle":"","parse-names":false,"suffix":""},{"dropping-particle":"","family":"Yusuf","given":"Sifat Shahana","non-dropping-particle":"","parse-names":false,"suffix":""},{"dropping-particle":"","family":"Panasci","given":"Anthony","non-dropping-particle":"","parse-names":false,"suffix":""},{"dropping-particle":"","family":"Crowell","given":"Nancy","non-dropping-particle":"","parse-names":false,"suffix":""}],"container-title":"PloS one","id":"ITEM-1","issue":"6","issued":{"date-parts":[["2020"]]},"language":"eng","page":"e0233635","publisher-place":"United States","title":"Healthcare seeking for chronic illness among adult slum dwellers in Bangladesh: A  descriptive cross-sectional study in two urban settings.","type":"article-journal","volume":"15"},"uris":["http://www.mendeley.com/documents/?uuid=2c814318-b264-4342-82ac-056a3996d355"]}],"mendeley":{"formattedCitation":"(2)","plainTextFormattedCitation":"(2)","previouslyFormattedCitation":"(Adams et al., 2020)"},"properties":{"noteIndex":0},"schema":"https://github.com/citation-style-language/schema/raw/master/csl-citation.json"}</w:instrText>
      </w:r>
      <w:r w:rsidR="00322CAD"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w:t>
      </w:r>
      <w:r w:rsidR="00322CAD" w:rsidRPr="006505CF">
        <w:rPr>
          <w:rFonts w:ascii="Times New Roman" w:hAnsi="Times New Roman" w:cs="Times New Roman"/>
          <w:sz w:val="24"/>
          <w:szCs w:val="24"/>
        </w:rPr>
        <w:fldChar w:fldCharType="end"/>
      </w:r>
      <w:r w:rsidR="00322CAD" w:rsidRPr="006505CF">
        <w:rPr>
          <w:rFonts w:ascii="Times New Roman" w:hAnsi="Times New Roman" w:cs="Times New Roman"/>
          <w:sz w:val="24"/>
          <w:szCs w:val="24"/>
        </w:rPr>
        <w:t xml:space="preserve">.  </w:t>
      </w:r>
      <w:r w:rsidR="00A02951" w:rsidRPr="006505CF">
        <w:rPr>
          <w:rFonts w:ascii="Times New Roman" w:hAnsi="Times New Roman" w:cs="Times New Roman"/>
          <w:sz w:val="24"/>
          <w:szCs w:val="24"/>
        </w:rPr>
        <w:t xml:space="preserve">In order to effectively create interventions and policies to address this public health concern, it is essential to have a solid understanding of the connection between individuals' health behaviors and the development of chronic diseases in the context of urban slums </w:t>
      </w:r>
      <w:r w:rsidR="00A0295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{"citationItems":[{"id":"ITEM-1","itemData":{"DOI":"10.1503/cmaj.160177","ISSN":"1488-2329 (Electronic)","PMID":"27503870","author":[{"dropping-particle":"","family":"Andermann","given":"Anne","non-dropping-particle":"","parse-names":false,"suffix":""}],"container-title":"CMAJ : Canadian Medical Association journal = journal de l'Association medicale  canadienne","id":"ITEM-1","issue":"17-18","issued":{"date-parts":[["2016","12"]]},"language":"eng","page":"E474-E483","publisher-place":"Canada","title":"Taking action on the social determinants of health in clinical practice: a  framework for health professionals.","type":"article-journal","volume":"188"},"uris":["http://www.mendeley.com/documents/?uuid=2b71838c-4b70-4b02-850b-c0935f693bc8"]}],"mendeley":{"formattedCitation":"(10)","plainTextFormattedCitation":"(10)","previouslyFormattedCitation":"(Andermann, 2016)"},"properties":{"noteIndex":0},"schema":"https://github.com/citation-style-language/schema/raw/master/csl-citation.json"}</w:instrText>
      </w:r>
      <w:r w:rsidR="00A0295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(10)</w:t>
      </w:r>
      <w:r w:rsidR="00A02951" w:rsidRPr="006505CF">
        <w:rPr>
          <w:rFonts w:ascii="Times New Roman" w:hAnsi="Times New Roman" w:cs="Times New Roman"/>
          <w:sz w:val="24"/>
          <w:szCs w:val="24"/>
        </w:rPr>
        <w:fldChar w:fldCharType="end"/>
      </w:r>
      <w:r w:rsidR="00A02951" w:rsidRPr="006505CF">
        <w:rPr>
          <w:rFonts w:ascii="Times New Roman" w:hAnsi="Times New Roman" w:cs="Times New Roman"/>
          <w:sz w:val="24"/>
          <w:szCs w:val="24"/>
        </w:rPr>
        <w:t>.</w:t>
      </w:r>
      <w:r w:rsidR="00322CAD" w:rsidRPr="006505CF">
        <w:rPr>
          <w:rFonts w:ascii="Times New Roman" w:hAnsi="Times New Roman" w:cs="Times New Roman"/>
          <w:sz w:val="24"/>
          <w:szCs w:val="24"/>
        </w:rPr>
        <w:t xml:space="preserve"> As a consequence, this study has been planned to find out </w:t>
      </w:r>
      <w:bookmarkStart w:id="0" w:name="_Hlk143128273"/>
      <w:r w:rsidR="00322CAD" w:rsidRPr="006505CF">
        <w:rPr>
          <w:rFonts w:ascii="Times New Roman" w:hAnsi="Times New Roman" w:cs="Times New Roman"/>
          <w:sz w:val="24"/>
          <w:szCs w:val="24"/>
        </w:rPr>
        <w:t>connection that exists between healthy behaviors and the development of chronic diseases in a slum region of Bangladesh.</w:t>
      </w:r>
    </w:p>
    <w:bookmarkEnd w:id="0"/>
    <w:p w14:paraId="152F69F9" w14:textId="77777777" w:rsidR="00382539" w:rsidRPr="006505CF" w:rsidRDefault="00322CAD" w:rsidP="006505CF">
      <w:pPr>
        <w:spacing w:line="480" w:lineRule="auto"/>
        <w:jc w:val="both"/>
        <w:rPr>
          <w:rFonts w:ascii="Times New Roman" w:hAnsi="Times New Roman" w:cs="Times New Roman"/>
          <w:b/>
          <w:sz w:val="24"/>
          <w:szCs w:val="24"/>
        </w:rPr>
      </w:pPr>
      <w:r w:rsidRPr="006505CF">
        <w:rPr>
          <w:rFonts w:ascii="Times New Roman" w:hAnsi="Times New Roman" w:cs="Times New Roman"/>
          <w:b/>
          <w:sz w:val="24"/>
          <w:szCs w:val="24"/>
        </w:rPr>
        <w:lastRenderedPageBreak/>
        <w:t>Methodology:</w:t>
      </w:r>
      <w:bookmarkStart w:id="1" w:name="_Toc135740072"/>
    </w:p>
    <w:p w14:paraId="57012735" w14:textId="4782B589" w:rsidR="00382539" w:rsidRPr="006505CF" w:rsidRDefault="00382539" w:rsidP="006505CF">
      <w:pPr>
        <w:spacing w:line="480" w:lineRule="auto"/>
        <w:jc w:val="both"/>
        <w:rPr>
          <w:rFonts w:ascii="Times New Roman" w:hAnsi="Times New Roman" w:cs="Times New Roman"/>
          <w:b/>
          <w:sz w:val="24"/>
          <w:szCs w:val="24"/>
        </w:rPr>
      </w:pPr>
      <w:r w:rsidRPr="006505CF">
        <w:rPr>
          <w:rFonts w:ascii="Times New Roman" w:hAnsi="Times New Roman" w:cs="Times New Roman"/>
          <w:b/>
          <w:sz w:val="24"/>
          <w:szCs w:val="24"/>
        </w:rPr>
        <w:t>Study design</w:t>
      </w:r>
      <w:bookmarkEnd w:id="1"/>
      <w:r w:rsidRPr="006505CF">
        <w:rPr>
          <w:rFonts w:ascii="Times New Roman" w:hAnsi="Times New Roman" w:cs="Times New Roman"/>
          <w:b/>
          <w:sz w:val="24"/>
          <w:szCs w:val="24"/>
        </w:rPr>
        <w:t xml:space="preserve"> and setting</w:t>
      </w:r>
    </w:p>
    <w:p w14:paraId="6CC6C7CE" w14:textId="5FD63C37" w:rsidR="00E9360C" w:rsidRPr="006505CF" w:rsidRDefault="00382539" w:rsidP="006505CF">
      <w:pPr>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t xml:space="preserve">The cross-sectional study was conducted from </w:t>
      </w:r>
      <w:r w:rsidRPr="006505CF">
        <w:rPr>
          <w:rFonts w:ascii="Times New Roman" w:hAnsi="Times New Roman" w:cs="Times New Roman"/>
          <w:color w:val="000000"/>
          <w:sz w:val="24"/>
          <w:szCs w:val="24"/>
        </w:rPr>
        <w:t>25</w:t>
      </w:r>
      <w:r w:rsidRPr="006505CF">
        <w:rPr>
          <w:rFonts w:ascii="Times New Roman" w:hAnsi="Times New Roman" w:cs="Times New Roman"/>
          <w:color w:val="000000"/>
          <w:sz w:val="24"/>
          <w:szCs w:val="24"/>
          <w:vertAlign w:val="superscript"/>
        </w:rPr>
        <w:t>th</w:t>
      </w:r>
      <w:r w:rsidRPr="006505CF">
        <w:rPr>
          <w:rFonts w:ascii="Times New Roman" w:hAnsi="Times New Roman" w:cs="Times New Roman"/>
          <w:color w:val="000000"/>
          <w:sz w:val="24"/>
          <w:szCs w:val="24"/>
        </w:rPr>
        <w:t xml:space="preserve"> February to 2023 to 6</w:t>
      </w:r>
      <w:r w:rsidRPr="006505CF">
        <w:rPr>
          <w:rFonts w:ascii="Times New Roman" w:hAnsi="Times New Roman" w:cs="Times New Roman"/>
          <w:color w:val="000000"/>
          <w:sz w:val="24"/>
          <w:szCs w:val="24"/>
          <w:vertAlign w:val="superscript"/>
        </w:rPr>
        <w:t>th</w:t>
      </w:r>
      <w:r w:rsidRPr="006505CF">
        <w:rPr>
          <w:rFonts w:ascii="Times New Roman" w:hAnsi="Times New Roman" w:cs="Times New Roman"/>
          <w:color w:val="000000"/>
          <w:sz w:val="24"/>
          <w:szCs w:val="24"/>
        </w:rPr>
        <w:t xml:space="preserve"> May 2023 to collect eligible data among the adults from some selected slum areas of Dhaka city</w:t>
      </w:r>
      <w:r w:rsidRPr="006505CF">
        <w:rPr>
          <w:rFonts w:ascii="Times New Roman" w:hAnsi="Times New Roman" w:cs="Times New Roman"/>
          <w:sz w:val="24"/>
          <w:szCs w:val="24"/>
        </w:rPr>
        <w:t>. Those were age more than 18 years and reside in slum areas, Bangladeshi citizen and showed willingness to participate were included and who didn’t meet the criteria was excluded from this study</w:t>
      </w:r>
      <w:r w:rsidR="00650E59">
        <w:rPr>
          <w:rFonts w:ascii="Times New Roman" w:hAnsi="Times New Roman" w:cs="Times New Roman"/>
          <w:sz w:val="24"/>
          <w:szCs w:val="24"/>
        </w:rPr>
        <w:t xml:space="preserve"> </w:t>
      </w:r>
      <w:r w:rsidR="00650E59" w:rsidRPr="00650E59">
        <w:rPr>
          <w:rFonts w:ascii="Times New Roman" w:hAnsi="Times New Roman" w:cs="Times New Roman"/>
          <w:sz w:val="24"/>
          <w:szCs w:val="24"/>
        </w:rPr>
        <w:t>Before starting the survey informed consent was taken from the participant. The study ethically approved by Jahangirnagar University ethical committee</w:t>
      </w:r>
      <w:r w:rsidRPr="006505CF">
        <w:rPr>
          <w:rFonts w:ascii="Times New Roman" w:hAnsi="Times New Roman" w:cs="Times New Roman"/>
          <w:sz w:val="24"/>
          <w:szCs w:val="24"/>
        </w:rPr>
        <w:t>.</w:t>
      </w:r>
    </w:p>
    <w:p w14:paraId="611EE5BA" w14:textId="77777777" w:rsidR="00DB27AF" w:rsidRDefault="00DB27AF" w:rsidP="006505CF">
      <w:pPr>
        <w:pStyle w:val="NoSpacing"/>
        <w:spacing w:line="480" w:lineRule="auto"/>
        <w:jc w:val="both"/>
        <w:rPr>
          <w:rFonts w:ascii="Times New Roman" w:hAnsi="Times New Roman" w:cs="Times New Roman"/>
          <w:b/>
          <w:sz w:val="24"/>
          <w:szCs w:val="24"/>
        </w:rPr>
      </w:pPr>
    </w:p>
    <w:p w14:paraId="7148BD73" w14:textId="77777777" w:rsidR="00DB27AF" w:rsidRDefault="00DB27AF" w:rsidP="006505CF">
      <w:pPr>
        <w:pStyle w:val="NoSpacing"/>
        <w:spacing w:line="480" w:lineRule="auto"/>
        <w:jc w:val="both"/>
        <w:rPr>
          <w:rFonts w:ascii="Times New Roman" w:hAnsi="Times New Roman" w:cs="Times New Roman"/>
          <w:b/>
          <w:sz w:val="24"/>
          <w:szCs w:val="24"/>
        </w:rPr>
      </w:pPr>
    </w:p>
    <w:p w14:paraId="20EC1BF4" w14:textId="795FF50C" w:rsidR="00E9360C" w:rsidRPr="006505CF" w:rsidRDefault="00E9360C" w:rsidP="006505CF">
      <w:pPr>
        <w:pStyle w:val="NoSpacing"/>
        <w:spacing w:line="480" w:lineRule="auto"/>
        <w:jc w:val="both"/>
        <w:rPr>
          <w:rFonts w:ascii="Times New Roman" w:hAnsi="Times New Roman" w:cs="Times New Roman"/>
          <w:b/>
          <w:sz w:val="24"/>
          <w:szCs w:val="24"/>
        </w:rPr>
      </w:pPr>
      <w:r w:rsidRPr="006505CF">
        <w:rPr>
          <w:rFonts w:ascii="Times New Roman" w:hAnsi="Times New Roman" w:cs="Times New Roman"/>
          <w:b/>
          <w:sz w:val="24"/>
          <w:szCs w:val="24"/>
        </w:rPr>
        <w:t>Data collection tools and procedure</w:t>
      </w:r>
    </w:p>
    <w:p w14:paraId="1CF92BB2" w14:textId="77777777" w:rsidR="000B12BD" w:rsidRPr="006505CF" w:rsidRDefault="00E9360C" w:rsidP="006505CF">
      <w:pPr>
        <w:spacing w:line="480" w:lineRule="auto"/>
        <w:jc w:val="both"/>
        <w:rPr>
          <w:rFonts w:ascii="Times New Roman" w:hAnsi="Times New Roman" w:cs="Times New Roman"/>
          <w:color w:val="212121"/>
          <w:sz w:val="24"/>
          <w:szCs w:val="24"/>
          <w:shd w:val="clear" w:color="auto" w:fill="FFFFFF"/>
        </w:rPr>
      </w:pPr>
      <w:r w:rsidRPr="006505CF">
        <w:rPr>
          <w:rFonts w:ascii="Times New Roman" w:hAnsi="Times New Roman" w:cs="Times New Roman"/>
          <w:sz w:val="24"/>
          <w:szCs w:val="24"/>
        </w:rPr>
        <w:t>After reviewing important relevant literature, a structured questionnaire</w:t>
      </w:r>
      <w:r w:rsidR="000B12BD" w:rsidRPr="006505CF">
        <w:rPr>
          <w:rFonts w:ascii="Times New Roman" w:hAnsi="Times New Roman" w:cs="Times New Roman"/>
          <w:sz w:val="24"/>
          <w:szCs w:val="24"/>
        </w:rPr>
        <w:t xml:space="preserve"> based on participants' demographics, dietary habits, and self-reported chronic conditions were addressed for better understand the health behaviors and chronic illness burden of a group that is frequently overlooked and mistreated by focusing on a slum region in </w:t>
      </w:r>
      <w:r w:rsidR="003344C1" w:rsidRPr="006505CF">
        <w:rPr>
          <w:rFonts w:ascii="Times New Roman" w:hAnsi="Times New Roman" w:cs="Times New Roman"/>
          <w:sz w:val="24"/>
          <w:szCs w:val="24"/>
        </w:rPr>
        <w:t>Dhaka. The</w:t>
      </w:r>
      <w:r w:rsidRPr="006505CF">
        <w:rPr>
          <w:rFonts w:ascii="Times New Roman" w:hAnsi="Times New Roman" w:cs="Times New Roman"/>
          <w:sz w:val="24"/>
          <w:szCs w:val="24"/>
        </w:rPr>
        <w:t xml:space="preserve"> first page of the questionnaire had a summary of the background, goals, eligibility criteria, risks, and benefits of the study</w:t>
      </w:r>
      <w:r w:rsidR="000B12BD" w:rsidRPr="006505CF">
        <w:rPr>
          <w:rFonts w:ascii="Times New Roman" w:hAnsi="Times New Roman" w:cs="Times New Roman"/>
          <w:sz w:val="24"/>
          <w:szCs w:val="24"/>
        </w:rPr>
        <w:t xml:space="preserve">, and statement of confidentiality. In order to assure validity, we were committed as researcher to upholding the study's reliability at every stage of the data gathering and analysis process. Credibility was also increased by making sure that each respondent was aware of the questionnaire and its goal. Face-to-face interviews were used to collect data after the pre-testing phase. </w:t>
      </w:r>
      <w:r w:rsidR="000B12BD" w:rsidRPr="006505CF">
        <w:rPr>
          <w:rFonts w:ascii="Times New Roman" w:hAnsi="Times New Roman" w:cs="Times New Roman"/>
          <w:color w:val="212121"/>
          <w:sz w:val="24"/>
          <w:szCs w:val="24"/>
          <w:shd w:val="clear" w:color="auto" w:fill="FFFFFF"/>
        </w:rPr>
        <w:t>The study participants completed the self-administered questionnaire in their own language. The strictest ethical standards were u</w:t>
      </w:r>
      <w:bookmarkStart w:id="2" w:name="_Toc135740074"/>
      <w:r w:rsidR="000B12BD" w:rsidRPr="006505CF">
        <w:rPr>
          <w:rFonts w:ascii="Times New Roman" w:hAnsi="Times New Roman" w:cs="Times New Roman"/>
          <w:color w:val="212121"/>
          <w:sz w:val="24"/>
          <w:szCs w:val="24"/>
          <w:shd w:val="clear" w:color="auto" w:fill="FFFFFF"/>
        </w:rPr>
        <w:t xml:space="preserve">pheld during the entire study. The Declaration of Helsinki or its equivalent ethical principles were followed, as well as the Institutional Research Ethics. All study participants </w:t>
      </w:r>
      <w:r w:rsidR="000B12BD" w:rsidRPr="006505CF">
        <w:rPr>
          <w:rFonts w:ascii="Times New Roman" w:hAnsi="Times New Roman" w:cs="Times New Roman"/>
          <w:color w:val="212121"/>
          <w:sz w:val="24"/>
          <w:szCs w:val="24"/>
          <w:shd w:val="clear" w:color="auto" w:fill="FFFFFF"/>
        </w:rPr>
        <w:lastRenderedPageBreak/>
        <w:t>read the permission form and gave their consent after reading it. No incentives were given to study participants in exchange for their participation. At every level, data privacy and confidentiality were effectively preserved.</w:t>
      </w:r>
    </w:p>
    <w:bookmarkEnd w:id="2"/>
    <w:p w14:paraId="1E0E0D27" w14:textId="1EB751E7" w:rsidR="003344C1" w:rsidRPr="006505CF" w:rsidRDefault="003344C1" w:rsidP="006505CF">
      <w:pPr>
        <w:spacing w:line="480" w:lineRule="auto"/>
        <w:jc w:val="both"/>
        <w:rPr>
          <w:rFonts w:ascii="Times New Roman" w:hAnsi="Times New Roman" w:cs="Times New Roman"/>
          <w:b/>
          <w:sz w:val="24"/>
          <w:szCs w:val="24"/>
        </w:rPr>
      </w:pPr>
      <w:r w:rsidRPr="006505CF">
        <w:rPr>
          <w:rFonts w:ascii="Times New Roman" w:hAnsi="Times New Roman" w:cs="Times New Roman"/>
          <w:b/>
          <w:sz w:val="24"/>
          <w:szCs w:val="24"/>
        </w:rPr>
        <w:t>Measures</w:t>
      </w:r>
    </w:p>
    <w:p w14:paraId="1C1B6192" w14:textId="51EE17E0" w:rsidR="003344C1" w:rsidRPr="00804500" w:rsidRDefault="006E4FED" w:rsidP="006505CF">
      <w:pPr>
        <w:spacing w:line="480" w:lineRule="auto"/>
        <w:jc w:val="both"/>
        <w:rPr>
          <w:rFonts w:ascii="Times New Roman" w:eastAsia="Times New Roman" w:hAnsi="Times New Roman" w:cs="Times New Roman"/>
          <w:b/>
          <w:bCs/>
          <w:iCs/>
          <w:sz w:val="24"/>
          <w:szCs w:val="24"/>
        </w:rPr>
      </w:pPr>
      <w:r w:rsidRPr="00804500">
        <w:rPr>
          <w:rStyle w:val="Heading4Char"/>
          <w:rFonts w:ascii="Times New Roman" w:hAnsi="Times New Roman" w:cs="Times New Roman"/>
          <w:b/>
          <w:bCs/>
          <w:iCs w:val="0"/>
          <w:color w:val="auto"/>
          <w:sz w:val="24"/>
          <w:szCs w:val="24"/>
        </w:rPr>
        <w:t>Baseline</w:t>
      </w:r>
      <w:r w:rsidR="005B1DDD" w:rsidRPr="00804500">
        <w:rPr>
          <w:rStyle w:val="Heading4Char"/>
          <w:rFonts w:ascii="Times New Roman" w:hAnsi="Times New Roman" w:cs="Times New Roman"/>
          <w:b/>
          <w:bCs/>
          <w:iCs w:val="0"/>
          <w:color w:val="auto"/>
          <w:sz w:val="24"/>
          <w:szCs w:val="24"/>
        </w:rPr>
        <w:t xml:space="preserve"> characteristics</w:t>
      </w:r>
      <w:r w:rsidR="003344C1" w:rsidRPr="00804500">
        <w:rPr>
          <w:rStyle w:val="Heading4Char"/>
          <w:rFonts w:ascii="Times New Roman" w:hAnsi="Times New Roman" w:cs="Times New Roman"/>
          <w:b/>
          <w:bCs/>
          <w:iCs w:val="0"/>
          <w:color w:val="auto"/>
          <w:sz w:val="24"/>
          <w:szCs w:val="24"/>
        </w:rPr>
        <w:t>:</w:t>
      </w:r>
      <w:r w:rsidR="003344C1" w:rsidRPr="00804500">
        <w:rPr>
          <w:rFonts w:ascii="Times New Roman" w:eastAsia="Times New Roman" w:hAnsi="Times New Roman" w:cs="Times New Roman"/>
          <w:b/>
          <w:bCs/>
          <w:iCs/>
          <w:sz w:val="24"/>
          <w:szCs w:val="24"/>
        </w:rPr>
        <w:t xml:space="preserve"> </w:t>
      </w:r>
    </w:p>
    <w:p w14:paraId="617ACDB1" w14:textId="0C7307A6" w:rsidR="004B61C5" w:rsidRPr="006505CF" w:rsidRDefault="00246701" w:rsidP="006505CF">
      <w:pPr>
        <w:pStyle w:val="NoSpacing"/>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t xml:space="preserve">The number of 488 </w:t>
      </w:r>
      <w:r w:rsidR="004831E6" w:rsidRPr="006505CF">
        <w:rPr>
          <w:rFonts w:ascii="Times New Roman" w:hAnsi="Times New Roman" w:cs="Times New Roman"/>
          <w:sz w:val="24"/>
          <w:szCs w:val="24"/>
        </w:rPr>
        <w:t>p</w:t>
      </w:r>
      <w:r w:rsidR="004B61C5" w:rsidRPr="006505CF">
        <w:rPr>
          <w:rFonts w:ascii="Times New Roman" w:hAnsi="Times New Roman" w:cs="Times New Roman"/>
          <w:sz w:val="24"/>
          <w:szCs w:val="24"/>
        </w:rPr>
        <w:t>articipants complete</w:t>
      </w:r>
      <w:r w:rsidRPr="006505CF">
        <w:rPr>
          <w:rFonts w:ascii="Times New Roman" w:hAnsi="Times New Roman" w:cs="Times New Roman"/>
          <w:sz w:val="24"/>
          <w:szCs w:val="24"/>
        </w:rPr>
        <w:t>d</w:t>
      </w:r>
      <w:r w:rsidR="004B61C5" w:rsidRPr="006505CF">
        <w:rPr>
          <w:rFonts w:ascii="Times New Roman" w:hAnsi="Times New Roman" w:cs="Times New Roman"/>
          <w:sz w:val="24"/>
          <w:szCs w:val="24"/>
        </w:rPr>
        <w:t xml:space="preserve"> </w:t>
      </w:r>
      <w:r w:rsidRPr="006505CF">
        <w:rPr>
          <w:rFonts w:ascii="Times New Roman" w:hAnsi="Times New Roman" w:cs="Times New Roman"/>
          <w:sz w:val="24"/>
          <w:szCs w:val="24"/>
        </w:rPr>
        <w:t>the</w:t>
      </w:r>
      <w:r w:rsidR="004B61C5" w:rsidRPr="006505CF">
        <w:rPr>
          <w:rFonts w:ascii="Times New Roman" w:hAnsi="Times New Roman" w:cs="Times New Roman"/>
          <w:sz w:val="24"/>
          <w:szCs w:val="24"/>
        </w:rPr>
        <w:t xml:space="preserve"> survey that includes questions about demographic characteristics</w:t>
      </w:r>
      <w:r w:rsidR="004831E6" w:rsidRPr="006505CF">
        <w:rPr>
          <w:rFonts w:ascii="Times New Roman" w:hAnsi="Times New Roman" w:cs="Times New Roman"/>
          <w:sz w:val="24"/>
          <w:szCs w:val="24"/>
        </w:rPr>
        <w:t xml:space="preserve"> and health behavior related questions</w:t>
      </w:r>
      <w:r w:rsidR="004B61C5" w:rsidRPr="006505CF">
        <w:rPr>
          <w:rFonts w:ascii="Times New Roman" w:hAnsi="Times New Roman" w:cs="Times New Roman"/>
          <w:sz w:val="24"/>
          <w:szCs w:val="24"/>
        </w:rPr>
        <w:t>. Demographic variables we include: Gender, Education Level, Employment status, Monthly Income, Marital status, Religion. Behavior we define: Physical exercise (150 minutes per week), Smoking Status, Mental Health, Health Screenings, Access to Healthcare, BMI Category, Dietary habits of the community, Individual's exposure to freeway air pollution and health impacts, Level of community health promotion activities, Patient's self-efficacy in managing their chronic disease, and Patients' knowledge, skills, and confidence in managing their health and healthcare</w:t>
      </w:r>
    </w:p>
    <w:p w14:paraId="33F931AA" w14:textId="77777777" w:rsidR="004831E6" w:rsidRPr="006505CF" w:rsidRDefault="004831E6" w:rsidP="006505CF">
      <w:pPr>
        <w:pStyle w:val="NoSpacing"/>
        <w:spacing w:line="480" w:lineRule="auto"/>
        <w:jc w:val="both"/>
        <w:rPr>
          <w:rFonts w:ascii="Times New Roman" w:hAnsi="Times New Roman" w:cs="Times New Roman"/>
          <w:sz w:val="24"/>
          <w:szCs w:val="24"/>
        </w:rPr>
      </w:pPr>
    </w:p>
    <w:p w14:paraId="3F31ED39" w14:textId="2A5BBAA8" w:rsidR="003344C1" w:rsidRPr="00804500" w:rsidRDefault="00382539" w:rsidP="006505CF">
      <w:pPr>
        <w:spacing w:line="480" w:lineRule="auto"/>
        <w:jc w:val="both"/>
        <w:rPr>
          <w:rFonts w:ascii="Times New Roman" w:eastAsia="Times New Roman" w:hAnsi="Times New Roman" w:cs="Times New Roman"/>
          <w:b/>
          <w:bCs/>
          <w:iCs/>
          <w:sz w:val="24"/>
          <w:szCs w:val="24"/>
        </w:rPr>
      </w:pPr>
      <w:r w:rsidRPr="00804500">
        <w:rPr>
          <w:rStyle w:val="Heading4Char"/>
          <w:rFonts w:ascii="Times New Roman" w:hAnsi="Times New Roman" w:cs="Times New Roman"/>
          <w:b/>
          <w:bCs/>
          <w:iCs w:val="0"/>
          <w:color w:val="auto"/>
          <w:sz w:val="24"/>
          <w:szCs w:val="24"/>
        </w:rPr>
        <w:t>Community Healthy Eating Index (CHEI):</w:t>
      </w:r>
      <w:r w:rsidRPr="00804500">
        <w:rPr>
          <w:rFonts w:ascii="Times New Roman" w:eastAsia="Times New Roman" w:hAnsi="Times New Roman" w:cs="Times New Roman"/>
          <w:b/>
          <w:bCs/>
          <w:iCs/>
          <w:sz w:val="24"/>
          <w:szCs w:val="24"/>
        </w:rPr>
        <w:t xml:space="preserve"> </w:t>
      </w:r>
    </w:p>
    <w:p w14:paraId="79666916" w14:textId="51F306B8" w:rsidR="00382539" w:rsidRPr="006505CF" w:rsidRDefault="00382539" w:rsidP="006505CF">
      <w:pPr>
        <w:spacing w:line="480" w:lineRule="auto"/>
        <w:jc w:val="both"/>
        <w:rPr>
          <w:rFonts w:ascii="Times New Roman" w:hAnsi="Times New Roman" w:cs="Times New Roman"/>
          <w:b/>
          <w:bCs/>
          <w:sz w:val="24"/>
          <w:szCs w:val="24"/>
        </w:rPr>
      </w:pPr>
      <w:r w:rsidRPr="006505CF">
        <w:rPr>
          <w:rFonts w:ascii="Times New Roman" w:hAnsi="Times New Roman" w:cs="Times New Roman"/>
          <w:sz w:val="24"/>
          <w:szCs w:val="24"/>
        </w:rPr>
        <w:t xml:space="preserve">A community's eating habits can be evaluated with the help of the Community Healthy Eating Index (CHEI). The goal of the index is to determine how well a given area adheres to the dietary standards set forth by the USDA. The CHEI is based on seven items, each of which has two possible responses (one healthy and one less healthy). A value of 1 indicates that item is the healthier option. The final score, which can be anywhere from 0 to 7, is calculated by adding the points awarded for each item. If a community has a higher score, it means that its diet follows the USDA's recommendations for optimal health to a greater extent. There is no consensus on what </w:t>
      </w:r>
      <w:r w:rsidRPr="006505CF">
        <w:rPr>
          <w:rFonts w:ascii="Times New Roman" w:hAnsi="Times New Roman" w:cs="Times New Roman"/>
          <w:sz w:val="24"/>
          <w:szCs w:val="24"/>
        </w:rPr>
        <w:lastRenderedPageBreak/>
        <w:t>the optimal CHEI cutoff should be because it depends on the study population and the objectives of the intervention. However, a score of 4 or higher indicates a relatively healthy diet</w:t>
      </w:r>
      <w:r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{"citationItems":[{"id":"ITEM-1","itemData":{"DOI":"10.3390/nu9090977","ISSN":"2072-6643 (Electronic)","PMID":"28872591","abstract":"The objective of this study was to develop a Chinese Healthy Eating Index (CHEI)  based on the updated Dietary Guidelines for Chinese (DGC-2016) and to apply it in the 2011 China Health and Nutrition Survey (CHNS-2011) to assess diet quality and its association with typical sociodemographic/economic factors. Data from 14,584 participants (≥2 years) from the CHNS-2011, including three 24-h dietary recalls and additional variables, were used to develop the CHEI. The standard portion size was applied to quantify food consumption. The CHEI was designed as a continuous scoring system, comprising 17 components; the maximum total score is 100. The mean, 1st and 99th percentiles of the CHEI score were 52.4, 27.6 and 78.3, respectively. Young and middle-aged adults scored better than the elderly. Diet insufficiency was chiefly manifested in fruits, dairy, whole grains and poultry; diet excess was mainly reflected in red meat, cooking oils and sodium. The CHEI was positively associated with education and urbanization levels; current smokers and unmarried people obtained relative low CHEI scores. Occupation and body mass index (BMI) were also related to the CHEI. Our findings indicate that the CHEI is capable of recognizing differences in diet quality among the Chinese, and it is sensitive to typical sociodemographic/economic factors.","author":[{"dropping-particle":"","family":"Yuan","given":"Ya-Qun","non-dropping-particle":"","parse-names":false,"suffix":""},{"dropping-particle":"","family":"Li","given":"Fan","non-dropping-particle":"","parse-names":false,"suffix":""},{"dropping-particle":"","family":"Dong","given":"Rui-Hua","non-dropping-particle":"","parse-names":false,"suffix":""},{"dropping-particle":"","family":"Chen","given":"Jing-Si","non-dropping-particle":"","parse-names":false,"suffix":""},{"dropping-particle":"","family":"He","given":"Geng-Sheng","non-dropping-particle":"","parse-names":false,"suffix":""},{"dropping-particle":"","family":"Li","given":"Shu-Guang","non-dropping-particle":"","parse-names":false,"suffix":""},{"dropping-particle":"","family":"Chen","given":"Bo","non-dropping-particle":"","parse-names":false,"suffix":""}],"container-title":"Nutrients","id":"ITEM-1","issue":"9","issued":{"date-parts":[["2017","9"]]},"language":"eng","publisher-place":"Switzerland","title":"The Development of a Chinese Healthy Eating Index and Its Application in the  General Population.","type":"article-journal","volume":"9"},"uris":["http://www.mendeley.com/documents/?uuid=88f5e120-7ca6-4c04-8069-5e2ebca6671c"]}],"mendeley":{"formattedCitation":"(11)","plainTextFormattedCitation":"(11)","previouslyFormattedCitation":"(Yuan et al., 2017)"},"properties":{"noteIndex":0},"schema":"https://github.com/citation-style-language/schema/raw/master/csl-citation.json"}</w:instrText>
      </w:r>
      <w:r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(11)</w:t>
      </w:r>
      <w:r w:rsidRPr="006505CF">
        <w:rPr>
          <w:rFonts w:ascii="Times New Roman" w:hAnsi="Times New Roman" w:cs="Times New Roman"/>
          <w:sz w:val="24"/>
          <w:szCs w:val="24"/>
        </w:rPr>
        <w:fldChar w:fldCharType="end"/>
      </w:r>
      <w:r w:rsidR="00E91A9E"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{"citationItems":[{"id":"ITEM-1","itemData":{"DOI":"10.1016/j.jand.2023.05.015","ISSN":"2212-2672 (Print)","PMID":"37201748","abstract":"The purpose of this paper is to share the process for reviewing, updating, and  developing the most recent version of the Healthy Eating Index (HEI) for ages 2 and older, the HEI-2020, following the release of the Dietary Guidelines for Americans (DGA), 2020-2025. The overall review process included: 1) gathering information from the updated DGA, experts, and federal stakeholders; 2) considering substantive changes and needs for new development, keeping in mind the HEI's key features and guiding principles, the USDA Dietary Patterns that serve as the foundation for the HEI, and scoring considerations; and 3) completing evaluation analyses, including the examination of content validity. The review process led to the development of the HEI-2020; a separate HEI-Toddlers-2020 was developed for ages 12 through 23 months. The 13 components and scoring standards of the HEI-2020 fully align with the HEI-2015, though the index was renamed to clarify that it aligned with the most recent 2020-2025 DGA. As the evidence informing the DGA continues to evolve, various aspects of the HEI may need to evolve in the future as well. Further methodological research is encouraged to add to the scientific evidence base on dietary patterns, to examine needs specific to each life stage, and to model optimal trajectories of healthy dietary patterns over the lifespan.","author":[{"dropping-particle":"","family":"Shams-White","given":"Marissa M","non-dropping-particle":"","parse-names":false,"suffix":""},{"dropping-particle":"","family":"Pannucci","given":"TusaRebecca E","non-dropping-particle":"","parse-names":false,"suffix":""},{"dropping-particle":"","family":"Lerman","given":"Jennifer L","non-dropping-particle":"","parse-names":false,"suffix":""},{"dropping-particle":"","family":"Herrick","given":"Kirsten A","non-dropping-particle":"","parse-names":false,"suffix":""},{"dropping-particle":"","family":"Zimmer","given":"Meghan","non-dropping-particle":"","parse-names":false,"suffix":""},{"dropping-particle":"","family":"Meyers Mathieu","given":"Kevin","non-dropping-particle":"","parse-names":false,"suffix":""},{"dropping-particle":"","family":"Stoody","given":"Eve E","non-dropping-particle":"","parse-names":false,"suffix":""},{"dropping-particle":"","family":"Reedy","given":"Jill","non-dropping-particle":"","parse-names":false,"suffix":""}],"container-title":"Journal of the Academy of Nutrition and Dietetics","id":"ITEM-1","issued":{"date-parts":[["2023","5"]]},"language":"eng","publisher-place":"United States","title":"Healthy Eating Index-2020: Review and Update Process to Reflect the Dietary  Guidelines for Americans, 2020-2025.","type":"article-journal"},"uris":["http://www.mendeley.com/documents/?uuid=05dde450-8a7a-40f4-8e19-2df9f7630e99"]}],"mendeley":{"formattedCitation":"(12)","plainTextFormattedCitation":"(12)","previouslyFormattedCitation":"(Shams-White et al., 2023)"},"properties":{"noteIndex":0},"schema":"https://github.com/citation-style-language/schema/raw/master/csl-citation.json"}</w:instrText>
      </w:r>
      <w:r w:rsidR="00E91A9E"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(12)</w:t>
      </w:r>
      <w:r w:rsidR="00E91A9E" w:rsidRPr="006505CF">
        <w:rPr>
          <w:rFonts w:ascii="Times New Roman" w:hAnsi="Times New Roman" w:cs="Times New Roman"/>
          <w:sz w:val="24"/>
          <w:szCs w:val="24"/>
        </w:rPr>
        <w:fldChar w:fldCharType="end"/>
      </w:r>
      <w:r w:rsidR="00E91A9E"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{"citationItems":[{"id":"ITEM-1","itemData":{"DOI":"10.1016/j.appet.2016.02.160","ISSN":"1095-8304 (Electronic)","PMID":"26994739","abstract":"Family meals have been associated with higher diet quality and reduced risk of  obesity in children. Observational studies of the family meal have been employed with increasing frequency, yet there is currently no tool available for measuring the healthfulness of food served during the meal. Here we present the development and validation of the Healthy Meal Index (HMI), a novel tool for scoring the healthfulness of foods served to children during a meal, as well as sociodemographic predictors of meal scores. Parents of 233 children, aged 4-8 years, self-recorded three home dinners. A research assistant obtained a list of foods available during the meal (meal report) via phone call on the night of each video-recorded meal. This meal report was coded into component food groups. Subsequently, meals were scored based on the availability of more healthy \"Adequacy foods\" and the absence of \"Moderation foods\", (of which reduced consumption is recommended, according to pediatric dietary guidelines). Adjusted linear regression tested the association of sociodemographic characteristics with HMI scores. A validation study was conducted in a separate sample of 133 children with detailed meal data. In adjusted models, female children had higher HMI Moderation scores (p = 0.02), but did not differ in HMI Adequacy or Total scores. Parents with more education served meals with higher HMI Adequacy (p = 0.001) and Total scores (p = 0.001), though no significant difference was seen in HMI Moderation score (p = 0.21). The validation study demonstrated that the HMI was highly correlated with servings of foods and nutrients estimated from observations conducted by research staff. The HMI is a valuable tool for measuring the quality of meals served to children.","author":[{"dropping-particle":"","family":"Kasper","given":"Nicole","non-dropping-particle":"","parse-names":false,"suffix":""},{"dropping-particle":"","family":"Mandell","given":"Cami","non-dropping-particle":"","parse-names":false,"suffix":""},{"dropping-particle":"","family":"Ball","given":"Sarah","non-dropping-particle":"","parse-names":false,"suffix":""},{"dropping-particle":"","family":"Miller","given":"Alison L","non-dropping-particle":"","parse-names":false,"suffix":""},{"dropping-particle":"","family":"Lumeng","given":"Julie","non-dropping-particle":"","parse-names":false,"suffix":""},{"dropping-particle":"","family":"Peterson","given":"Karen E","non-dropping-particle":"","parse-names":false,"suffix":""}],"container-title":"Appetite","id":"ITEM-1","issued":{"date-parts":[["2016","8"]]},"language":"eng","page":"54-63","publisher-place":"England","title":"The Healthy Meal Index: A tool for measuring the healthfulness of meals served to  children.","type":"article-journal","volume":"103"},"uris":["http://www.mendeley.com/documents/?uuid=8796eed5-0e86-4429-af79-e5401616aaf4"]}],"mendeley":{"formattedCitation":"(13)","plainTextFormattedCitation":"(13)","previouslyFormattedCitation":"(Kasper et al., 2016)"},"properties":{"noteIndex":0},"schema":"https://github.com/citation-style-language/schema/raw/master/csl-citation.json"}</w:instrText>
      </w:r>
      <w:r w:rsidR="00E91A9E"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(13)</w:t>
      </w:r>
      <w:r w:rsidR="00E91A9E" w:rsidRPr="006505CF">
        <w:rPr>
          <w:rFonts w:ascii="Times New Roman" w:hAnsi="Times New Roman" w:cs="Times New Roman"/>
          <w:sz w:val="24"/>
          <w:szCs w:val="24"/>
        </w:rPr>
        <w:fldChar w:fldCharType="end"/>
      </w:r>
      <w:r w:rsidR="003344C1" w:rsidRPr="006505CF">
        <w:rPr>
          <w:rFonts w:ascii="Times New Roman" w:hAnsi="Times New Roman" w:cs="Times New Roman"/>
          <w:sz w:val="24"/>
          <w:szCs w:val="24"/>
        </w:rPr>
        <w:t>.</w:t>
      </w:r>
      <w:r w:rsidR="003344C1" w:rsidRPr="006505CF">
        <w:rPr>
          <w:rFonts w:ascii="Times New Roman" w:hAnsi="Times New Roman" w:cs="Times New Roman"/>
          <w:b/>
          <w:bCs/>
          <w:sz w:val="24"/>
          <w:szCs w:val="24"/>
        </w:rPr>
        <w:t xml:space="preserve"> </w:t>
      </w:r>
    </w:p>
    <w:p w14:paraId="68DA78D6" w14:textId="6F4EFD05" w:rsidR="003344C1" w:rsidRPr="00804500" w:rsidRDefault="00382539" w:rsidP="006505CF">
      <w:pPr>
        <w:spacing w:line="480" w:lineRule="auto"/>
        <w:jc w:val="both"/>
        <w:rPr>
          <w:rFonts w:ascii="Times New Roman" w:hAnsi="Times New Roman" w:cs="Times New Roman"/>
          <w:b/>
          <w:bCs/>
          <w:iCs/>
          <w:sz w:val="24"/>
          <w:szCs w:val="24"/>
        </w:rPr>
      </w:pPr>
      <w:r w:rsidRPr="00804500">
        <w:rPr>
          <w:rStyle w:val="Heading4Char"/>
          <w:rFonts w:ascii="Times New Roman" w:hAnsi="Times New Roman" w:cs="Times New Roman"/>
          <w:b/>
          <w:bCs/>
          <w:iCs w:val="0"/>
          <w:color w:val="auto"/>
          <w:sz w:val="24"/>
          <w:szCs w:val="24"/>
        </w:rPr>
        <w:t>Community Assessment of Freeway Exposure and Health (CAFEH</w:t>
      </w:r>
      <w:r w:rsidRPr="00804500">
        <w:rPr>
          <w:rStyle w:val="Heading4Char"/>
          <w:rFonts w:ascii="Times New Roman" w:hAnsi="Times New Roman" w:cs="Times New Roman"/>
          <w:iCs w:val="0"/>
          <w:color w:val="auto"/>
          <w:sz w:val="24"/>
          <w:szCs w:val="24"/>
        </w:rPr>
        <w:t>):</w:t>
      </w:r>
      <w:r w:rsidRPr="00804500">
        <w:rPr>
          <w:rFonts w:ascii="Times New Roman" w:hAnsi="Times New Roman" w:cs="Times New Roman"/>
          <w:b/>
          <w:bCs/>
          <w:iCs/>
          <w:sz w:val="24"/>
          <w:szCs w:val="24"/>
        </w:rPr>
        <w:t xml:space="preserve"> </w:t>
      </w:r>
    </w:p>
    <w:p w14:paraId="205A8FB9" w14:textId="65553FC2" w:rsidR="00382539" w:rsidRPr="006505CF" w:rsidRDefault="00382539" w:rsidP="006505CF">
      <w:pPr>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t xml:space="preserve">The CAFEH, or Community Assessment of Motorway Exposure and Health, is a questionnaire designed to assess the risks of breathing in pollution from motorways. It consists of six questions and has been used to pinpoint people whose proximity to motorways puts them at risk for certain health problems. On a scale from 0 to 3, with 3 being the highest, the greater the exposure to that item. A higher total score indicates more exposure to air pollution from motorways, which runs from 0 to 18. If a person's score is 8 or higher, they are considered to be at high risk for poor health consequences due to their proximity to motorways. However, the threshold value may change based on the study's population and the intervention's objectives </w:t>
      </w:r>
      <w:r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{"citationItems":[{"id":"ITEM-1","itemData":{"DOI":"10.3390/environments7060044","ISSN":"2076-3298 (Electronic)","PMID":"32905411","abstract":"Community-based participatory research (CBPR) aims to engage those traditionally  left out of the research process. Partnering with community stakeholders to design, plan, implement and disseminate research can facilitate translation into practice. Using qualitative research methods, we set out to explore the policy and practice implications of a CBPR partnership focused on reducing exposure to near-roadway pollution. Key Informant interviews (n = 13) were conducted with individuals from various entities (municipal, state and private) for whom partners to the Community Assessment of Freeway Exposure and Health (CAFEH) provided technical assistance between 2013 and 2017. The findings indicate community research partnerships may have the power to inform local planning efforts. Developers and planners who the partnership consulted indicated a greater awareness of the implications of near-roadway exposure. They also described making changes in their practice based on study findings. The CAFEH partnership has demonstrated active attention to translating knowledge can influence local planning and practice, albeit with some challenges.","author":[{"dropping-particle":"","family":"Martinez","given":"Linda S Sprague","non-dropping-particle":"","parse-names":false,"suffix":""},{"dropping-particle":"","family":"Zamore","given":"Wig","non-dropping-particle":"","parse-names":false,"suffix":""},{"dropping-particle":"","family":"Finley","given":"Alex","non-dropping-particle":"","parse-names":false,"suffix":""},{"dropping-particle":"","family":"Reisner","given":"Ellin","non-dropping-particle":"","parse-names":false,"suffix":""},{"dropping-particle":"","family":"Lowe","given":"Lydia","non-dropping-particle":"","parse-names":false,"suffix":""},{"dropping-particle":"","family":"Brugge","given":"Doug","non-dropping-particle":"","parse-names":false,"suffix":""}],"container-title":"Environments (Basel, Switzerland)","id":"ITEM-1","issue":"6","issued":{"date-parts":[["2020","6"]]},"language":"eng","publisher-place":"Switzerland","title":"CBPR Partnerships and Near-Roadway Pollution: A Promising Strategy to Influence  the Translation of Research into Practice.","type":"article-journal","volume":"7"},"uris":["http://www.mendeley.com/documents/?uuid=0fb96b5c-a190-480b-a155-9df4e033ecbb"]}],"mendeley":{"formattedCitation":"(14)","plainTextFormattedCitation":"(14)","previouslyFormattedCitation":"(Martinez et al., 2020)"},"properties":{"noteIndex":0},"schema":"https://github.com/citation-style-language/schema/raw/master/csl-citation.json"}</w:instrText>
      </w:r>
      <w:r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(14)</w:t>
      </w:r>
      <w:r w:rsidRPr="006505CF">
        <w:rPr>
          <w:rFonts w:ascii="Times New Roman" w:hAnsi="Times New Roman" w:cs="Times New Roman"/>
          <w:sz w:val="24"/>
          <w:szCs w:val="24"/>
        </w:rPr>
        <w:fldChar w:fldCharType="end"/>
      </w:r>
      <w:r w:rsidRPr="006505CF">
        <w:rPr>
          <w:rFonts w:ascii="Times New Roman" w:hAnsi="Times New Roman" w:cs="Times New Roman"/>
          <w:sz w:val="24"/>
          <w:szCs w:val="24"/>
        </w:rPr>
        <w:t xml:space="preserve"> to name a few sources</w:t>
      </w:r>
      <w:r w:rsidR="00E91A9E" w:rsidRPr="006505CF">
        <w:rPr>
          <w:rFonts w:ascii="Times New Roman" w:hAnsi="Times New Roman" w:cs="Times New Roman"/>
          <w:sz w:val="24"/>
          <w:szCs w:val="24"/>
        </w:rPr>
        <w:t xml:space="preserve"> </w:t>
      </w:r>
      <w:r w:rsidR="00E91A9E"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{"citationItems":[{"id":"ITEM-1","itemData":{"DOI":"10.33548/SCIENTIA837","abstract":"People who live close to busy roads and highways are exposed to high levels of traffic-related air pollution. This puts them at risk of significant health difficulties such as high blood pressure, heart attacks and cancer. The Community Assessment of Freeway Exposure and Health Studies led by Dr Doug Brugge from the University of Connecticut represent community-engaged research into the biological impact of high exposure to pollution and importantly, possible solutions to this. This work has shown that high-efficiency particulate arrestance filters are one promising intervention for minimising exposure to pollution and thus improving health.\n\n\nThe post Dr Doug Brugge | The Community Assessment of Freeway Exposure and Health Studies: Minimising Exposure to Traffic-related Air Pollution appeared first on scientia.global.","author":[{"dropping-particle":"","family":"Brugge","given":"Doug","non-dropping-particle":"","parse-names":false,"suffix":""}],"container-title":"Scientia","id":"ITEM-1","issued":{"date-parts":[["2022"]]},"publisher":"Science Diffusion Ltd","title":"The Community Assessment of Freeway Exposure and Health Studies: Minimising Exposure to Traffic-related Air Pollution","type":"article-journal"},"uris":["http://www.mendeley.com/documents/?uuid=5408d8ce-b798-4991-b628-55ac4cd60af1"]},{"id":"ITEM-2","itemData":{"author":[{"dropping-particle":"","family":"Brugge","given":"Doug","non-dropping-particle":"","parse-names":false,"suffix":""}],"id":"ITEM-2","issued":{"date-parts":[["0"]]},"title":"The Community Assessment of Freeway Exposure and Health Studies: Minimising Exposure to Traffic-related Air Pollution","type":"article"},"uris":["http://www.mendeley.com/documents/?uuid=367bcb34-e0e9-45f2-be5c-94baa9e8615f"]},{"id":"ITEM-3","itemData":{"DOI":"10.1161/HYPERTENSIONAHA.120.15580","ISSN":"15244563","PMID":"33486990","abstract":"Exposure to traffic-related air pollution (TRAP) may contribute to increased prevalence of hypertension and elevated blood pressure (BP) for residents of near-highway neighborhoods. Relatively few studies have investigated the effects of reducing TRAP exposure on short-term changes in BP. We assessed whether reducing indoor TRAP concentrations by using stand-alone high-efficiency particulate arrestance (HEPA) filters and limiting infiltration through doors and windows effectively prevented acute (ie, over a span of hours) increases in BP. Using a 3-period crossover design, 77 participants were randomized to attend three 2-hour-long exposure sessions separated by 1-week washout periods. Each participant was exposed to high, medium, and low TRAP concentrations in a room near an interstate highway. Particle number concentrations, black carbon concentrations, and temperature were monitored continuously. Systolic BP (SBP), diastolic BP, and heart rate were measured every 10 minutes. Outcomes were analyzed with a linear mixed model. The primary outcome was the change in SBP from 20 minutes from the start of exposure. SBP increased with exposure duration, and the amount of increase was related to the magnitude of exposure. The mean change in SBP was 0.6 mm Hg for low exposure (mean particle number and black carbon concentrations, 2500 particles/cm3 and 149 ng/m3), 1.3 mm Hg for medium exposure (mean particle number and black carbon concentrations, 11 000 particles/cm3 and 409 ng/m3), and 2.8 mm Hg for high exposure (mean particle number and black carbon concentrations, 30 000 particles/cm3 and 826 ng/m3; linear trend P=0.019). There were no statistically significant differences in the secondary outcomes, diastolic BP, or heart rate. In conclusion, reducing indoor concentrations of TRAP was effective in preventing acute increases in SBP.","author":[{"dropping-particle":"","family":"Hudda","given":"Neelakshi","non-dropping-particle":"","parse-names":false,"suffix":""},{"dropping-particle":"","family":"Eliasziw","given":"Misha","non-dropping-particle":"","parse-names":false,"suffix":""},{"dropping-particle":"","family":"Hersey","given":"Scott O","non-dropping-particle":"","parse-names":false,"suffix":""},{"dropping-particle":"","family":"Reisner","given":"Ellin","non-dropping-particle":"","parse-names":false,"suffix":""},{"dropping-particle":"","family":"Brook","given":"Robert D","non-dropping-particle":"","parse-names":false,"suffix":""},{"dropping-particle":"","family":"Zamore","given":"Wig","non-dropping-particle":"","parse-names":false,"suffix":""},{"dropping-particle":"","family":"Durant","given":"John L","non-dropping-particle":"","parse-names":false,"suffix":""},{"dropping-particle":"","family":"Brugge","given":"Doug","non-dropping-particle":"","parse-names":false,"suffix":""}],"container-title":"Hypertension","id":"ITEM-3","issue":"3","issued":{"date-parts":[["2021"]]},"page":"823-832","publisher":"Lippincott Williams and Wilkins","title":"Effect of Reducing Ambient Traffic-Related Air Pollution on Blood Pressure: A Randomized Crossover Trial","type":"article-journal","volume":"77"},"uris":["http://www.mendeley.com/documents/?uuid=2b855cd5-d969-4df5-91f0-e69a808223eb"]},{"id":"ITEM-4","itemData":{"DOI":"10.1016/j.cct.2021.106520","ISSN":"15592030","PMID":"34332159","abstract":"Background: Near highway residents are exposed to elevated levels of traffic-related air pollution (TRAP), including ultrafine particles, which are associated with adverse health effects. The efficacy of using in-home air filtration units that reduce exposure and potentially yield health benefits has not been tested in a randomized controlled trial. Methods: We will conduct a randomized double-blind crossover trial of portable air filtration units for 200 adults 30 years and older who live in near-highway homes in Somerville, MA, USA. We will recruit participants from 172 households. The intervention periods will be one month of true or sham filtration, followed by a one-month wash out period and then a month of the alternate intervention. The primary health outcome will be systolic blood pressure (BP); secondary outcome measures will include diastolic and central BP, C-Reactive Protein (CRP) and D-dimer. Reasons for success or failure of the intervention will be evaluated in a subset of homes using indoor/outdoor monitoring for particulate pollution, personal monitoring, size and composition of particulate pollution, tracking of time spent in the room with the filter, and interviews for qualitative feedback. Results: This trial has begun recruitment and is expected to take 2–3 years to be completed. Recruitment has been particularly challenging because of additional precautions required by the COVID-19 pandemic. Discussion: This study has the potential to shed light on the value of using portable air filtration in homes close to highways to reduce exposure to TRAP and whether doing so has benefits for cardiovascular health.","author":[{"dropping-particle":"","family":"Brugge","given":"Doug","non-dropping-particle":"","parse-names":false,"suffix":""},{"dropping-particle":"","family":"Ginzburg","given":"Shir Lerman","non-dropping-particle":"","parse-names":false,"suffix":""},{"dropping-particle":"","family":"Hudda","given":"Neelakshi","non-dropping-particle":"","parse-names":false,"suffix":""},{"dropping-particle":"","family":"Martinez","given":"Linda Sprague","non-dropping-particle":"","parse-names":false,"suffix":""},{"dropping-particle":"","family":"Meunier","given":"Leigh","non-dropping-particle":"","parse-names":false,"suffix":""},{"dropping-particle":"","family":"Hersey","given":"Scott P","non-dropping-particle":"","parse-names":false,"suffix":""},{"dropping-particle":"","family":"Hochman","given":"Ira","non-dropping-particle":"","parse-names":false,"suffix":""},{"dropping-particle":"","family":"Walker","given":"Douglas I","non-dropping-particle":"","parse-names":false,"suffix":""},{"dropping-particle":"","family":"Echevarria","given":"Ben","non-dropping-particle":"","parse-names":false,"suffix":""},{"dropping-particle":"","family":"Thanikachalam","given":"Mohan","non-dropping-particle":"","parse-names":false,"suffix":""},{"dropping-particle":"","family":"Durant","given":"John L","non-dropping-particle":"","parse-names":false,"suffix":""},{"dropping-particle":"","family":"Zamore","given":"Wig","non-dropping-particle":"","parse-names":false,"suffix":""},{"dropping-particle":"","family":"Eliasziw","given":"Misha","non-dropping-particle":"","parse-names":false,"suffix":""}],"container-title":"Contemporary Clinical Trials","id":"ITEM-4","issued":{"date-parts":[["2021"]]},"publisher":"Elsevier Inc.","title":"A randomized crossover trial of HEPA air filtration to reduce cardiovascular risk for near highway residents: Methods and approach","type":"article-journal","volume":"108"},"uris":["http://www.mendeley.com/documents/?uuid=4a245007-6ac1-46b8-b236-ddd1da21bda5"]}],"mendeley":{"formattedCitation":"(15–18)","manualFormatting":"(Brugge, 2022; Brugge et al., 2021; Hudda et al., 2021)","plainTextFormattedCitation":"(15–18)","previouslyFormattedCitation":"(Brugge, n.d., 2022; Brugge et al., 2021; Hudda et al., 2021)"},"properties":{"noteIndex":0},"schema":"https://github.com/citation-style-language/schema/raw/master/csl-citation.json"}</w:instrText>
      </w:r>
      <w:r w:rsidR="00E91A9E" w:rsidRPr="006505CF">
        <w:rPr>
          <w:rFonts w:ascii="Times New Roman" w:hAnsi="Times New Roman" w:cs="Times New Roman"/>
          <w:sz w:val="24"/>
          <w:szCs w:val="24"/>
        </w:rPr>
        <w:fldChar w:fldCharType="separate"/>
      </w:r>
      <w:r w:rsidR="00E91A9E" w:rsidRPr="006505CF">
        <w:rPr>
          <w:rFonts w:ascii="Times New Roman" w:hAnsi="Times New Roman" w:cs="Times New Roman"/>
          <w:noProof/>
          <w:sz w:val="24"/>
          <w:szCs w:val="24"/>
        </w:rPr>
        <w:t>(Brugge, 2022; Brugge et al., 2021; Hudda et al., 2021)</w:t>
      </w:r>
      <w:r w:rsidR="00E91A9E" w:rsidRPr="006505CF">
        <w:rPr>
          <w:rFonts w:ascii="Times New Roman" w:hAnsi="Times New Roman" w:cs="Times New Roman"/>
          <w:sz w:val="24"/>
          <w:szCs w:val="24"/>
        </w:rPr>
        <w:fldChar w:fldCharType="end"/>
      </w:r>
      <w:r w:rsidRPr="006505CF">
        <w:rPr>
          <w:rFonts w:ascii="Times New Roman" w:hAnsi="Times New Roman" w:cs="Times New Roman"/>
          <w:sz w:val="24"/>
          <w:szCs w:val="24"/>
        </w:rPr>
        <w:t>.</w:t>
      </w:r>
    </w:p>
    <w:p w14:paraId="4D4867D9" w14:textId="309D581E" w:rsidR="003344C1" w:rsidRPr="00804500" w:rsidRDefault="00382539" w:rsidP="006505CF">
      <w:pPr>
        <w:spacing w:line="480" w:lineRule="auto"/>
        <w:jc w:val="both"/>
        <w:rPr>
          <w:rFonts w:ascii="Times New Roman" w:hAnsi="Times New Roman" w:cs="Times New Roman"/>
          <w:b/>
          <w:bCs/>
          <w:iCs/>
          <w:sz w:val="24"/>
          <w:szCs w:val="24"/>
        </w:rPr>
      </w:pPr>
      <w:r w:rsidRPr="00804500">
        <w:rPr>
          <w:rStyle w:val="Heading4Char"/>
          <w:rFonts w:ascii="Times New Roman" w:hAnsi="Times New Roman" w:cs="Times New Roman"/>
          <w:b/>
          <w:bCs/>
          <w:iCs w:val="0"/>
          <w:color w:val="auto"/>
          <w:sz w:val="24"/>
          <w:szCs w:val="24"/>
        </w:rPr>
        <w:t>Community Health Promotion Activities Scale (CHPAS):</w:t>
      </w:r>
      <w:r w:rsidRPr="00804500">
        <w:rPr>
          <w:rFonts w:ascii="Times New Roman" w:hAnsi="Times New Roman" w:cs="Times New Roman"/>
          <w:b/>
          <w:bCs/>
          <w:iCs/>
          <w:sz w:val="24"/>
          <w:szCs w:val="24"/>
        </w:rPr>
        <w:t xml:space="preserve"> </w:t>
      </w:r>
    </w:p>
    <w:p w14:paraId="6DC4E026" w14:textId="36E497D2" w:rsidR="00382539" w:rsidRPr="006505CF" w:rsidRDefault="00382539" w:rsidP="006505CF">
      <w:pPr>
        <w:spacing w:line="480" w:lineRule="auto"/>
        <w:jc w:val="both"/>
        <w:rPr>
          <w:rFonts w:ascii="Times New Roman" w:hAnsi="Times New Roman" w:cs="Times New Roman"/>
          <w:b/>
          <w:bCs/>
          <w:sz w:val="24"/>
          <w:szCs w:val="24"/>
        </w:rPr>
      </w:pPr>
      <w:r w:rsidRPr="006505CF">
        <w:rPr>
          <w:rFonts w:ascii="Times New Roman" w:hAnsi="Times New Roman" w:cs="Times New Roman"/>
          <w:sz w:val="24"/>
          <w:szCs w:val="24"/>
        </w:rPr>
        <w:t xml:space="preserve">The amount of health promotion activities in a community can be measured with a 6-item scale called the Community Health Promotion Activities Scale (CHPAS). It uses a 4-point Likert scale ranging from "never" to "always" to gauge how often people engage in health promotion activities. Community health promotion programs have been studied with the help of the CHPAS. High scores on the CHPAS indicate extensive community health promotion efforts </w:t>
      </w:r>
      <w:r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{"citationItems":[{"id":"ITEM-1","itemData":{"DOI":"10.1016/j.techsoc.2022.102020","ISSN":"0160-791X (Print)","PMID":"35755131","abstract":"This research aims to explore the usage of social networking sites in the midst  of the COVID-19 pandemic. To achieve the objective, this study develops and validates a scale to measure the usage of social networking sites. Data was collected via a google form link through social networking sites in India viz. Facebook, Instagram, Twitter, Telegram and WhatsApp. A total of 204 responses were found accurate and useable for the study. The population of the study includes people residing in India. Data was analyzed applying SPSS 20 and AMOS 22.0. To design and validate the scale, both Exploratory Factor Analysis (EFA) and Confirmatory Factor Analysis (CFA) were used in conjunction with each other. The EFA results indicate a six-factor structure, explaining 73.43% of the cumulative variance, with all the items loading above 0.70. Thus, all the 20 items of six constructs meet this threshold limit. Therefore, this 20-items questionnaire emerges as an effective tool for assessing social networking usage. This study developed and validated the scale of usage of social networking sites to measure the six constructs informativeness, education, entertainment, shopping, socialization and social cause. Social media developers and analysts can use this scale from a technological standpoint to redesign and refine their websites for a better user interface. Since the research is primarily focused on India, extrapolating the results to other countries is difficult.","author":[{"dropping-particle":"","family":"Khan","given":"Nawab Ali","non-dropping-particle":"","parse-names":false,"suffix":""},{"dropping-particle":"","family":"Azhar","given":"Mohd","non-dropping-particle":"","parse-names":false,"suffix":""},{"dropping-particle":"","family":"Rahman","given":"Mohd Nayyer","non-dropping-particle":"","parse-names":false,"suffix":""},{"dropping-particle":"","family":"Akhtar","given":"Mohd Junaid","non-dropping-particle":"","parse-names":false,"suffix":""}],"container-title":"Technology in society","id":"ITEM-1","issued":{"date-parts":[["2022","8"]]},"language":"eng","page":"102020","publisher-place":"United States","title":"Scale development and validation for usage of social networking sites during  COVID-19.","type":"article-journal","volume":"70"},"uris":["http://www.mendeley.com/documents/?uuid=a50afa47-ce69-403e-98a2-64b7f88f6379"]}],"mendeley":{"formattedCitation":"(19)","plainTextFormattedCitation":"(19)","previouslyFormattedCitation":"(Khan et al., 2022)"},"properties":{"noteIndex":0},"schema":"https://github.com/citation-style-language/schema/raw/master/csl-citation.json"}</w:instrText>
      </w:r>
      <w:r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(19)</w:t>
      </w:r>
      <w:r w:rsidRPr="006505CF">
        <w:rPr>
          <w:rFonts w:ascii="Times New Roman" w:hAnsi="Times New Roman" w:cs="Times New Roman"/>
          <w:sz w:val="24"/>
          <w:szCs w:val="24"/>
        </w:rPr>
        <w:fldChar w:fldCharType="end"/>
      </w:r>
      <w:r w:rsidR="006505CF"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{"citationItems":[{"id":"ITEM-1","itemData":{"DOI":"10.1111/1440-1630.12137","ISSN":"1440-1630 (Electronic)","PMID":"25201148","abstract":"BACKGROUND/AIM: The Health Promoting Activities Scale (HPAS) measures the  frequency that mothers participate in self-selected leisure activities that promote health and wellbeing. The scale was originally validated on mothers of school-aged children with disabilities, and the current article extends this research using a comparative sample of mothers of typically developing school-aged children. METHOD: Australian mothers (N = 263) completed a questionnaire containing the HPAS, a measure of depression, anxiety and stress (DASS-21) and questions concerning their weight, height, sleep quality and demographics. Statistical analysis assessed the underlying structure, internal consistency and construct validity of the HPAS. Inferential statistics were utilised to investigate the construct validity. RESULTS: Exploratory factor analysis supported the unidimensionality of the HPAS. It showed good internal consistency (Cronbach's alpha = 0.78). Significantly lower HPAS scores were recorded for women who were obese; had elevated levels of depression, anxiety and stress; had poor quality sleep or had heavy caring commitments. The mean HPAS score in this sample (M = 32.2) was significantly higher than was previously reported for women of children with a disability (M = 21.6: P &lt; 0.001). CONCLUSIONS: Further psychometric evaluation of the HPAS continues to support the HPAS as a sound instrument that measures the frequency that women participate in meaningful occupation that is associated with differences in mental health and wellbeing and other health indicators.","author":[{"dropping-particle":"","family":"Bourke-Taylor","given":"Helen","non-dropping-particle":"","parse-names":false,"suffix":""},{"dropping-particle":"","family":"Lalor","given":"Aislinn","non-dropping-particle":"","parse-names":false,"suffix":""},{"dropping-particle":"","family":"Farnworth","given":"Louise","non-dropping-particle":"","parse-names":false,"suffix":""},{"dropping-particle":"","family":"Pallant","given":"Julie F","non-dropping-particle":"","parse-names":false,"suffix":""}],"container-title":"Australian occupational therapy journal","id":"ITEM-1","issue":"5","issued":{"date-parts":[["2014","10"]]},"language":"eng","page":"308-315","publisher-place":"Australia","title":"Further validation of the Health Promoting Activities Scale with mothers of  typically developing children.","type":"article-journal","volume":"61"},"uris":["http://www.mendeley.com/documents/?uuid=6392836f-1a62-4179-a677-4663883a6ad2"]}],"mendeley":{"formattedCitation":"(20)","plainTextFormattedCitation":"(20)","previouslyFormattedCitation":"(Bourke-Taylor et al., 2014)"},"properties":{"noteIndex":0},"schema":"https://github.com/citation-style-language/schema/raw/master/csl-citation.json"}</w:instrText>
      </w:r>
      <w:r w:rsidR="006505CF"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(20)</w:t>
      </w:r>
      <w:r w:rsidR="006505CF" w:rsidRPr="006505CF">
        <w:rPr>
          <w:rFonts w:ascii="Times New Roman" w:hAnsi="Times New Roman" w:cs="Times New Roman"/>
          <w:sz w:val="24"/>
          <w:szCs w:val="24"/>
        </w:rPr>
        <w:fldChar w:fldCharType="end"/>
      </w:r>
      <w:r w:rsidRPr="006505CF">
        <w:rPr>
          <w:rFonts w:ascii="Times New Roman" w:hAnsi="Times New Roman" w:cs="Times New Roman"/>
          <w:sz w:val="24"/>
          <w:szCs w:val="24"/>
        </w:rPr>
        <w:t>. The scale runs from 6 to 24</w:t>
      </w:r>
      <w:r w:rsidR="006505CF"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{"citationItems":[{"id":"ITEM-1","itemData":{"DOI":"10.1111/1440-1630.12137","ISSN":"1440-1630 (Electronic)","PMID":"25201148","abstract":"BACKGROUND/AIM: The Health Promoting Activities Scale (HPAS) measures the  frequency that mothers participate in self-selected leisure activities that promote health and wellbeing. The scale was originally validated on mothers of school-aged children with disabilities, and the current article extends this research using a comparative sample of mothers of typically developing school-aged children. METHOD: Australian mothers (N = 263) completed a questionnaire containing the HPAS, a measure of depression, anxiety and stress (DASS-21) and questions concerning their weight, height, sleep quality and demographics. Statistical analysis assessed the underlying structure, internal consistency and construct validity of the HPAS. Inferential statistics were utilised to investigate the construct validity. RESULTS: Exploratory factor analysis supported the unidimensionality of the HPAS. It showed good internal consistency (Cronbach's alpha = 0.78). Significantly lower HPAS scores were recorded for women who were obese; had elevated levels of depression, anxiety and stress; had poor quality sleep or had heavy caring commitments. The mean HPAS score in this sample (M = 32.2) was significantly higher than was previously reported for women of children with a disability (M = 21.6: P &lt; 0.001). CONCLUSIONS: Further psychometric evaluation of the HPAS continues to support the HPAS as a sound instrument that measures the frequency that women participate in meaningful occupation that is associated with differences in mental health and wellbeing and other health indicators.","author":[{"dropping-particle":"","family":"Bourke-Taylor","given":"Helen","non-dropping-particle":"","parse-names":false,"suffix":""},{"dropping-particle":"","family":"Lalor","given":"Aislinn","non-dropping-particle":"","parse-names":false,"suffix":""},{"dropping-particle":"","family":"Farnworth","given":"Louise","non-dropping-particle":"","parse-names":false,"suffix":""},{"dropping-particle":"","family":"Pallant","given":"Julie F","non-dropping-particle":"","parse-names":false,"suffix":""}],"container-title":"Australian occupational therapy journal","id":"ITEM-1","issue":"5","issued":{"date-parts":[["2014","10"]]},"language":"eng","page":"308-315","publisher-place":"Australia","title":"Further validation of the Health Promoting Activities Scale with mothers of  typically developing children.","type":"article-journal","volume":"61"},"uris":["http://www.mendeley.com/documents/?uuid=6392836f-1a62-4179-a677-4663883a6ad2"]}],"mendeley":{"formattedCitation":"(20)","plainTextFormattedCitation":"(20)","previouslyFormattedCitation":"(Bourke-Taylor et al., 2014)"},"properties":{"noteIndex":0},"schema":"https://github.com/citation-style-language/schema/raw/master/csl-citation.json"}</w:instrText>
      </w:r>
      <w:r w:rsidR="006505CF"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(20)</w:t>
      </w:r>
      <w:r w:rsidR="006505CF" w:rsidRPr="006505CF">
        <w:rPr>
          <w:rFonts w:ascii="Times New Roman" w:hAnsi="Times New Roman" w:cs="Times New Roman"/>
          <w:sz w:val="24"/>
          <w:szCs w:val="24"/>
        </w:rPr>
        <w:fldChar w:fldCharType="end"/>
      </w:r>
      <w:r w:rsidRPr="006505CF">
        <w:rPr>
          <w:rFonts w:ascii="Times New Roman" w:hAnsi="Times New Roman" w:cs="Times New Roman"/>
          <w:sz w:val="24"/>
          <w:szCs w:val="24"/>
        </w:rPr>
        <w:t>.</w:t>
      </w:r>
    </w:p>
    <w:p w14:paraId="34D7F65C" w14:textId="4EC9CB4B" w:rsidR="003344C1" w:rsidRPr="00804500" w:rsidRDefault="00382539" w:rsidP="006505CF">
      <w:pPr>
        <w:spacing w:line="480" w:lineRule="auto"/>
        <w:jc w:val="both"/>
        <w:rPr>
          <w:rFonts w:ascii="Times New Roman" w:hAnsi="Times New Roman" w:cs="Times New Roman"/>
          <w:b/>
          <w:bCs/>
          <w:iCs/>
          <w:sz w:val="24"/>
          <w:szCs w:val="24"/>
        </w:rPr>
      </w:pPr>
      <w:r w:rsidRPr="00804500">
        <w:rPr>
          <w:rStyle w:val="Heading4Char"/>
          <w:rFonts w:ascii="Times New Roman" w:hAnsi="Times New Roman" w:cs="Times New Roman"/>
          <w:b/>
          <w:bCs/>
          <w:iCs w:val="0"/>
          <w:color w:val="auto"/>
          <w:sz w:val="24"/>
          <w:szCs w:val="24"/>
        </w:rPr>
        <w:t>Chronic Disease Self-Efficacy Scales:</w:t>
      </w:r>
      <w:r w:rsidRPr="00804500">
        <w:rPr>
          <w:rFonts w:ascii="Times New Roman" w:hAnsi="Times New Roman" w:cs="Times New Roman"/>
          <w:b/>
          <w:bCs/>
          <w:iCs/>
          <w:sz w:val="24"/>
          <w:szCs w:val="24"/>
        </w:rPr>
        <w:t xml:space="preserve"> </w:t>
      </w:r>
    </w:p>
    <w:p w14:paraId="5C12F845" w14:textId="22B03491" w:rsidR="00382539" w:rsidRPr="006505CF" w:rsidRDefault="00382539" w:rsidP="006505CF">
      <w:pPr>
        <w:spacing w:line="480" w:lineRule="auto"/>
        <w:jc w:val="both"/>
        <w:rPr>
          <w:rFonts w:ascii="Times New Roman" w:hAnsi="Times New Roman" w:cs="Times New Roman"/>
          <w:b/>
          <w:bCs/>
          <w:sz w:val="24"/>
          <w:szCs w:val="24"/>
        </w:rPr>
      </w:pPr>
      <w:r w:rsidRPr="006505CF">
        <w:rPr>
          <w:rFonts w:ascii="Times New Roman" w:hAnsi="Times New Roman" w:cs="Times New Roman"/>
          <w:sz w:val="24"/>
          <w:szCs w:val="24"/>
        </w:rPr>
        <w:t xml:space="preserve">It is possible to gauge a patient's confidence in their ability to take charge of their health and make positive changes with the use of the Chronic Disease Self-Efficacy Scales. Providers and </w:t>
      </w:r>
      <w:r w:rsidRPr="006505CF">
        <w:rPr>
          <w:rFonts w:ascii="Times New Roman" w:hAnsi="Times New Roman" w:cs="Times New Roman"/>
          <w:sz w:val="24"/>
          <w:szCs w:val="24"/>
        </w:rPr>
        <w:lastRenderedPageBreak/>
        <w:t>researchers can gauge a patient's self-efficacy in treating a chronic condition using these scales, which in turn informs treatment decisions. Multiple Chronic Disease Self-Efficacy Scales exist, with each one focusing on a different chronic illness like diabetes, asthma, or heart disease. The self-efficacy in managing a chronic condition is assessed using a 6-item questionnaire. The scale goes from 0 to 60, with higher numbers reflecting greater confidence in one's abilities. Some researchers (Lorig et al., 2001), others (Chalmers et al., 1990), and yet others (Barlow et al., 2000) have proposed using a cut-off value of 30 to identify patients with low self-efficacy who may benefit from interventions to enhance their confidence in managing their chronic disease</w:t>
      </w:r>
      <w:r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{"citationItems":[{"id":"ITEM-1","itemData":{"DOI":"10.1002/nop2.382","ISSN":"2054-1058 (Print)","PMID":"31871689","abstract":"AIM: To examine barriers to self-efficacy and strategies beyond traditional  education that promote self-efficacy for patients living with chronic disease. The review questions were as follows: (a) What are barriers to self-efficacy in patients experiencing chronic disease? and (b) What non-traditional strategies and programmes can be implemented by healthcare leaders to promote self-efficacy in patients with chronic disease? DESIGN: Integrative review. METHOD: Data sources searched were CINAHL, Google Scholar, Health Source, Academic Search Complete and PsycARTICLES published between January 2014-January 2018. Synthesis and thematic analyses were conducted on 24 articles. RESULTS: Three themes were identified as barriers to self-efficacy: health literacy, access and support. Four prominent strategies were found to promote self-efficacy: self-management programmes, telehealth, mobile applications, gaming and social media. The findings indicate self-efficacy for patients with chronic conditions can improve with new interventions. Enhancing traditional education and boosting self-efficacy could increase treatment adherence and decrease cost.","author":[{"dropping-particle":"","family":"Farley","given":"Holly","non-dropping-particle":"","parse-names":false,"suffix":""}],"container-title":"Nursing open","id":"ITEM-1","issue":"1","issued":{"date-parts":[["2020","1"]]},"language":"eng","page":"30-41","publisher-place":"United States","title":"Promoting self-efficacy in patients with chronic disease beyond traditional  education: A literature review.","type":"article-journal","volume":"7"},"uris":["http://www.mendeley.com/documents/?uuid=97e7f8be-cee9-4134-b1dd-ccbb01a0d47d"]}],"mendeley":{"formattedCitation":"(21)","plainTextFormattedCitation":"(21)","previouslyFormattedCitation":"(Farley, 2020)"},"properties":{"noteIndex":0},"schema":"https://github.com/citation-style-language/schema/raw/master/csl-citation.json"}</w:instrText>
      </w:r>
      <w:r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(21)</w:t>
      </w:r>
      <w:r w:rsidRPr="006505CF">
        <w:rPr>
          <w:rFonts w:ascii="Times New Roman" w:hAnsi="Times New Roman" w:cs="Times New Roman"/>
          <w:sz w:val="24"/>
          <w:szCs w:val="24"/>
        </w:rPr>
        <w:fldChar w:fldCharType="end"/>
      </w:r>
      <w:r w:rsidRPr="006505CF">
        <w:rPr>
          <w:rFonts w:ascii="Times New Roman" w:hAnsi="Times New Roman" w:cs="Times New Roman"/>
          <w:sz w:val="24"/>
          <w:szCs w:val="24"/>
        </w:rPr>
        <w:t>.</w:t>
      </w:r>
    </w:p>
    <w:p w14:paraId="16F79179" w14:textId="77777777" w:rsidR="00CC3EAA" w:rsidRDefault="00CC3EAA" w:rsidP="006505CF">
      <w:pPr>
        <w:spacing w:line="480" w:lineRule="auto"/>
        <w:jc w:val="both"/>
        <w:rPr>
          <w:rStyle w:val="Heading4Char"/>
          <w:rFonts w:ascii="Times New Roman" w:hAnsi="Times New Roman" w:cs="Times New Roman"/>
          <w:b/>
          <w:bCs/>
          <w:iCs w:val="0"/>
          <w:color w:val="auto"/>
          <w:sz w:val="24"/>
          <w:szCs w:val="24"/>
        </w:rPr>
      </w:pPr>
    </w:p>
    <w:p w14:paraId="5ECB4887" w14:textId="320222A3" w:rsidR="003344C1" w:rsidRPr="00804500" w:rsidRDefault="00382539" w:rsidP="006505CF">
      <w:pPr>
        <w:spacing w:line="480" w:lineRule="auto"/>
        <w:jc w:val="both"/>
        <w:rPr>
          <w:rFonts w:ascii="Times New Roman" w:hAnsi="Times New Roman" w:cs="Times New Roman"/>
          <w:b/>
          <w:bCs/>
          <w:iCs/>
          <w:sz w:val="24"/>
          <w:szCs w:val="24"/>
        </w:rPr>
      </w:pPr>
      <w:r w:rsidRPr="00804500">
        <w:rPr>
          <w:rStyle w:val="Heading4Char"/>
          <w:rFonts w:ascii="Times New Roman" w:hAnsi="Times New Roman" w:cs="Times New Roman"/>
          <w:b/>
          <w:bCs/>
          <w:iCs w:val="0"/>
          <w:color w:val="auto"/>
          <w:sz w:val="24"/>
          <w:szCs w:val="24"/>
        </w:rPr>
        <w:t>The Patient Activation Measure (PAM):</w:t>
      </w:r>
      <w:r w:rsidRPr="00804500">
        <w:rPr>
          <w:rFonts w:ascii="Times New Roman" w:hAnsi="Times New Roman" w:cs="Times New Roman"/>
          <w:b/>
          <w:bCs/>
          <w:iCs/>
          <w:sz w:val="24"/>
          <w:szCs w:val="24"/>
        </w:rPr>
        <w:t xml:space="preserve"> </w:t>
      </w:r>
    </w:p>
    <w:p w14:paraId="37AA5E9A" w14:textId="6BA3FF4D" w:rsidR="00382539" w:rsidRPr="006505CF" w:rsidRDefault="00382539" w:rsidP="006505CF">
      <w:pPr>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t>The Patient Activation Measure (PAM) is a scientifically-validated survey of patient health literacy, self-efficacy, and healthcare engagement. The PAM contains 10 questions, each with four possible answers. Each answer choice receives a score from 1 to 4, with lower numbers suggesting less activation and higher numbers indicating more. The sum of these scores is a numeric value between 0 and 40. Activation levels are often assigned to patients based on the cut-off values for PAM scores, which range from 1 (lowest activation) to 4 (maximum activation). Specific cut-off levels may vary per study or environment, but one typical categorization is as follows: If your PAM score is below 19, your level is 2; if it's between 19 and 22, your level is 3; if it's between 22 and 27, your level is 4; and so on. These thresholds were determined by analyzing data from more than 30,000 patients in different health care systems in the United States (Hibbard et al., 2005; Hibbard et al., 2020). They have been shown to be predictive of a wide range of health outcomes, including service utilization, self-management, and clinical outcomes</w:t>
      </w:r>
      <w:r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{"citationItems":[{"id":"ITEM-1","itemData":{"DOI":"10.1111/j.1475-6773.2004.00269.x","ISSN":"0017-9124 (Print)","PMID":"15230939","abstract":"BACKGROUND: Controlling costs and achieving health care quality improvements  require the participation of activated and informed consumers and patients. OBJECTIVES: We describe a process for conceptualizing and operationalizing what it means to be \"activated\" and delineate the process we used to develop a measure for assessing \"activation,\" and the psychometric properties of that measure. METHODS: We used the convergence of the findings from a national expert consensus panel and patient focus groups to define the concept and identify the domains of activation. These domains were operationalized by constructing a large item pool. Items were pilot-tested and initial psychometric analysis performed using Rasch methodology. The third stage refined and extended the measure. The fourth stage used a national probability sample to assess the measure's psychometric performance overall and within different subpopulations. STUDY SAMPLE: Convenience samples of patients with and without chronic illness, and a national probability sample (N=1,515) are included at different stages in the research. CONCLUSIONS: The Patient Activation Measure is a valid, highly reliable, unidimensional, probabilistic Guttman-like scale that reflects a developmental model of activation. Activation appears to involve four stages: (1) believing the patient role is important, (2) having the confidence and knowledge necessary to take action, (3) actually taking action to maintain and improve one's health, and (4) staying the course even under stress. The measure has good psychometric properties indicating that it can be used at the individual patient level to tailor intervention and assess changes.","author":[{"dropping-particle":"","family":"Hibbard","given":"Judith H","non-dropping-particle":"","parse-names":false,"suffix":""},{"dropping-particle":"","family":"Stockard","given":"Jean","non-dropping-particle":"","parse-names":false,"suffix":""},{"dropping-particle":"","family":"Mahoney","given":"Eldon R","non-dropping-particle":"","parse-names":false,"suffix":""},{"dropping-particle":"","family":"Tusler","given":"Martin","non-dropping-particle":"","parse-names":false,"suffix":""}],"container-title":"Health services research","id":"ITEM-1","issue":"4 Pt 1","issued":{"date-parts":[["2004","8"]]},"language":"eng","page":"1005-1026","publisher-place":"United States","title":"Development of the Patient Activation Measure (PAM): conceptualizing and  measuring activation in patients and consumers.","type":"article-journal","volume":"39"},"uris":["http://www.mendeley.com/documents/?uuid=d82be3b7-e010-4b70-afc9-a31671a27bdc"]}],"mendeley":{"formattedCitation":"(22)","plainTextFormattedCitation":"(22)","previouslyFormattedCitation":"(Hibbard et al., 2004)"},"properties":{"noteIndex":0},"schema":"https://github.com/citation-style-language/schema/raw/master/csl-citation.json"}</w:instrText>
      </w:r>
      <w:r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(22)</w:t>
      </w:r>
      <w:r w:rsidRPr="006505CF">
        <w:rPr>
          <w:rFonts w:ascii="Times New Roman" w:hAnsi="Times New Roman" w:cs="Times New Roman"/>
          <w:sz w:val="24"/>
          <w:szCs w:val="24"/>
        </w:rPr>
        <w:fldChar w:fldCharType="end"/>
      </w:r>
      <w:r w:rsidRPr="006505CF">
        <w:rPr>
          <w:rFonts w:ascii="Times New Roman" w:hAnsi="Times New Roman" w:cs="Times New Roman"/>
          <w:sz w:val="24"/>
          <w:szCs w:val="24"/>
        </w:rPr>
        <w:t>.</w:t>
      </w:r>
    </w:p>
    <w:p w14:paraId="1DFC0194" w14:textId="7AAA9371" w:rsidR="00382539" w:rsidRPr="006505CF" w:rsidRDefault="00382539" w:rsidP="006505CF">
      <w:pPr>
        <w:pStyle w:val="Heading3"/>
        <w:spacing w:line="480" w:lineRule="auto"/>
        <w:jc w:val="both"/>
        <w:rPr>
          <w:rFonts w:ascii="Times New Roman" w:hAnsi="Times New Roman" w:cs="Times New Roman"/>
          <w:b/>
          <w:color w:val="auto"/>
        </w:rPr>
      </w:pPr>
      <w:bookmarkStart w:id="3" w:name="_Toc135740076"/>
      <w:bookmarkStart w:id="4" w:name="_Hlk143109771"/>
      <w:r w:rsidRPr="006505CF">
        <w:rPr>
          <w:rFonts w:ascii="Times New Roman" w:hAnsi="Times New Roman" w:cs="Times New Roman"/>
          <w:b/>
          <w:color w:val="auto"/>
        </w:rPr>
        <w:lastRenderedPageBreak/>
        <w:t xml:space="preserve">Data </w:t>
      </w:r>
      <w:r w:rsidR="00350631" w:rsidRPr="006505CF">
        <w:rPr>
          <w:rFonts w:ascii="Times New Roman" w:hAnsi="Times New Roman" w:cs="Times New Roman"/>
          <w:b/>
          <w:color w:val="auto"/>
        </w:rPr>
        <w:t xml:space="preserve">management and </w:t>
      </w:r>
      <w:r w:rsidRPr="006505CF">
        <w:rPr>
          <w:rFonts w:ascii="Times New Roman" w:hAnsi="Times New Roman" w:cs="Times New Roman"/>
          <w:b/>
          <w:color w:val="auto"/>
        </w:rPr>
        <w:t>analysis</w:t>
      </w:r>
      <w:bookmarkEnd w:id="3"/>
    </w:p>
    <w:p w14:paraId="67D5571E" w14:textId="0C66925F" w:rsidR="00382539" w:rsidRDefault="00350631" w:rsidP="006505CF">
      <w:pPr>
        <w:spacing w:after="0" w:line="480" w:lineRule="auto"/>
        <w:jc w:val="both"/>
        <w:rPr>
          <w:rFonts w:ascii="Times New Roman" w:hAnsi="Times New Roman" w:cs="Times New Roman"/>
          <w:sz w:val="24"/>
          <w:szCs w:val="24"/>
        </w:rPr>
      </w:pPr>
      <w:bookmarkStart w:id="5" w:name="_Hlk143109959"/>
      <w:bookmarkEnd w:id="4"/>
      <w:r w:rsidRPr="006505CF">
        <w:rPr>
          <w:rFonts w:ascii="Times New Roman" w:hAnsi="Times New Roman" w:cs="Times New Roman"/>
          <w:sz w:val="24"/>
          <w:szCs w:val="24"/>
        </w:rPr>
        <w:t xml:space="preserve">Using Microsoft Excel 2010, data were cleaned, sorted, and coded. </w:t>
      </w:r>
      <w:r w:rsidR="00382539" w:rsidRPr="006505CF">
        <w:rPr>
          <w:rFonts w:ascii="Times New Roman" w:hAnsi="Times New Roman" w:cs="Times New Roman"/>
          <w:sz w:val="24"/>
          <w:szCs w:val="24"/>
        </w:rPr>
        <w:t xml:space="preserve">Descriptive statistics are used to summarize the demographic and characteristics of the sample. </w:t>
      </w:r>
      <w:bookmarkStart w:id="6" w:name="_Hlk143110252"/>
      <w:bookmarkEnd w:id="5"/>
      <w:r w:rsidR="00382539" w:rsidRPr="006505CF">
        <w:rPr>
          <w:rFonts w:ascii="Times New Roman" w:hAnsi="Times New Roman" w:cs="Times New Roman"/>
          <w:sz w:val="24"/>
          <w:szCs w:val="24"/>
        </w:rPr>
        <w:t xml:space="preserve">Bivariate and multivariate regression analyses were conducted to examine the relationship between health behavior, and chronic diseases. </w:t>
      </w:r>
      <w:bookmarkEnd w:id="6"/>
      <w:r w:rsidR="00382539" w:rsidRPr="006505CF">
        <w:rPr>
          <w:rFonts w:ascii="Times New Roman" w:hAnsi="Times New Roman" w:cs="Times New Roman"/>
          <w:sz w:val="24"/>
          <w:szCs w:val="24"/>
        </w:rPr>
        <w:t xml:space="preserve">Then a structural equation model is fitted for </w:t>
      </w:r>
      <w:r w:rsidR="00F468E8" w:rsidRPr="006505CF">
        <w:rPr>
          <w:rFonts w:ascii="Times New Roman" w:hAnsi="Times New Roman" w:cs="Times New Roman"/>
          <w:sz w:val="24"/>
          <w:szCs w:val="24"/>
        </w:rPr>
        <w:t xml:space="preserve">chronic diseases relating health </w:t>
      </w:r>
      <w:r w:rsidR="00117B8C" w:rsidRPr="006505CF">
        <w:rPr>
          <w:rFonts w:ascii="Times New Roman" w:hAnsi="Times New Roman" w:cs="Times New Roman"/>
          <w:sz w:val="24"/>
          <w:szCs w:val="24"/>
        </w:rPr>
        <w:t>behavior</w:t>
      </w:r>
      <w:r w:rsidR="00382539" w:rsidRPr="006505CF">
        <w:rPr>
          <w:rFonts w:ascii="Times New Roman" w:hAnsi="Times New Roman" w:cs="Times New Roman"/>
          <w:sz w:val="24"/>
          <w:szCs w:val="24"/>
        </w:rPr>
        <w:t xml:space="preserve">. </w:t>
      </w:r>
      <w:bookmarkStart w:id="7" w:name="_Hlk143127674"/>
      <w:r w:rsidR="00382539" w:rsidRPr="006505CF">
        <w:rPr>
          <w:rFonts w:ascii="Times New Roman" w:hAnsi="Times New Roman" w:cs="Times New Roman"/>
          <w:sz w:val="24"/>
          <w:szCs w:val="24"/>
        </w:rPr>
        <w:t xml:space="preserve">All analysis is conducted in the </w:t>
      </w:r>
      <w:r w:rsidRPr="006505CF">
        <w:rPr>
          <w:rFonts w:ascii="Times New Roman" w:hAnsi="Times New Roman" w:cs="Times New Roman"/>
          <w:sz w:val="24"/>
          <w:szCs w:val="24"/>
        </w:rPr>
        <w:t xml:space="preserve">Statistical </w:t>
      </w:r>
      <w:r w:rsidR="00E9360C" w:rsidRPr="006505CF">
        <w:rPr>
          <w:rFonts w:ascii="Times New Roman" w:hAnsi="Times New Roman" w:cs="Times New Roman"/>
          <w:sz w:val="24"/>
          <w:szCs w:val="24"/>
        </w:rPr>
        <w:t>Package</w:t>
      </w:r>
      <w:r w:rsidRPr="006505CF">
        <w:rPr>
          <w:rFonts w:ascii="Times New Roman" w:hAnsi="Times New Roman" w:cs="Times New Roman"/>
          <w:sz w:val="24"/>
          <w:szCs w:val="24"/>
        </w:rPr>
        <w:t xml:space="preserve"> for </w:t>
      </w:r>
      <w:r w:rsidR="00E9360C" w:rsidRPr="006505CF">
        <w:rPr>
          <w:rFonts w:ascii="Times New Roman" w:hAnsi="Times New Roman" w:cs="Times New Roman"/>
          <w:sz w:val="24"/>
          <w:szCs w:val="24"/>
        </w:rPr>
        <w:t xml:space="preserve">the </w:t>
      </w:r>
      <w:r w:rsidRPr="006505CF">
        <w:rPr>
          <w:rFonts w:ascii="Times New Roman" w:hAnsi="Times New Roman" w:cs="Times New Roman"/>
          <w:sz w:val="24"/>
          <w:szCs w:val="24"/>
        </w:rPr>
        <w:t>Social Sciences (</w:t>
      </w:r>
      <w:r w:rsidR="00382539" w:rsidRPr="006505CF">
        <w:rPr>
          <w:rFonts w:ascii="Times New Roman" w:hAnsi="Times New Roman" w:cs="Times New Roman"/>
          <w:sz w:val="24"/>
          <w:szCs w:val="24"/>
        </w:rPr>
        <w:t>SPSS</w:t>
      </w:r>
      <w:r w:rsidRPr="006505CF">
        <w:rPr>
          <w:rFonts w:ascii="Times New Roman" w:hAnsi="Times New Roman" w:cs="Times New Roman"/>
          <w:sz w:val="24"/>
          <w:szCs w:val="24"/>
        </w:rPr>
        <w:t>)</w:t>
      </w:r>
      <w:r w:rsidR="00382539" w:rsidRPr="006505CF">
        <w:rPr>
          <w:rFonts w:ascii="Times New Roman" w:hAnsi="Times New Roman" w:cs="Times New Roman"/>
          <w:sz w:val="24"/>
          <w:szCs w:val="24"/>
        </w:rPr>
        <w:t xml:space="preserve"> and Smart-PLS software.</w:t>
      </w:r>
      <w:r w:rsidRPr="006505CF">
        <w:rPr>
          <w:rFonts w:ascii="Times New Roman" w:hAnsi="Times New Roman" w:cs="Times New Roman"/>
          <w:sz w:val="24"/>
          <w:szCs w:val="24"/>
        </w:rPr>
        <w:t xml:space="preserve"> </w:t>
      </w:r>
      <w:bookmarkEnd w:id="7"/>
    </w:p>
    <w:p w14:paraId="03FE4167" w14:textId="77777777" w:rsidR="00804500" w:rsidRPr="006505CF" w:rsidRDefault="00804500" w:rsidP="006505CF">
      <w:pPr>
        <w:spacing w:after="0" w:line="480" w:lineRule="auto"/>
        <w:jc w:val="both"/>
        <w:rPr>
          <w:rFonts w:ascii="Times New Roman" w:hAnsi="Times New Roman" w:cs="Times New Roman"/>
          <w:sz w:val="24"/>
          <w:szCs w:val="24"/>
        </w:rPr>
      </w:pPr>
    </w:p>
    <w:p w14:paraId="7E7BF741" w14:textId="77777777" w:rsidR="005B1DDD" w:rsidRPr="006505CF" w:rsidRDefault="005B1DDD" w:rsidP="006505CF">
      <w:pPr>
        <w:spacing w:after="0" w:line="480" w:lineRule="auto"/>
        <w:jc w:val="both"/>
        <w:rPr>
          <w:rFonts w:ascii="Times New Roman" w:hAnsi="Times New Roman" w:cs="Times New Roman"/>
          <w:sz w:val="24"/>
          <w:szCs w:val="24"/>
        </w:rPr>
      </w:pPr>
    </w:p>
    <w:p w14:paraId="7049E25B" w14:textId="77777777" w:rsidR="005E185C" w:rsidRDefault="005E185C" w:rsidP="006505CF">
      <w:pPr>
        <w:spacing w:after="0" w:line="480" w:lineRule="auto"/>
        <w:jc w:val="both"/>
        <w:rPr>
          <w:rFonts w:ascii="Times New Roman" w:hAnsi="Times New Roman" w:cs="Times New Roman"/>
          <w:b/>
          <w:sz w:val="24"/>
          <w:szCs w:val="24"/>
        </w:rPr>
      </w:pPr>
    </w:p>
    <w:p w14:paraId="74C98540" w14:textId="2D4FFA81" w:rsidR="005B1DDD" w:rsidRPr="006505CF" w:rsidRDefault="005B1DDD" w:rsidP="006505CF">
      <w:pPr>
        <w:spacing w:after="0" w:line="480" w:lineRule="auto"/>
        <w:jc w:val="both"/>
        <w:rPr>
          <w:rFonts w:ascii="Times New Roman" w:hAnsi="Times New Roman" w:cs="Times New Roman"/>
          <w:b/>
          <w:sz w:val="24"/>
          <w:szCs w:val="24"/>
        </w:rPr>
      </w:pPr>
      <w:r w:rsidRPr="006505CF">
        <w:rPr>
          <w:rFonts w:ascii="Times New Roman" w:hAnsi="Times New Roman" w:cs="Times New Roman"/>
          <w:b/>
          <w:sz w:val="24"/>
          <w:szCs w:val="24"/>
        </w:rPr>
        <w:t>Results</w:t>
      </w:r>
    </w:p>
    <w:p w14:paraId="7209E634" w14:textId="16641F9C" w:rsidR="00487E5C" w:rsidRPr="00804500" w:rsidRDefault="00487E5C" w:rsidP="006505CF">
      <w:pPr>
        <w:pStyle w:val="Heading3"/>
        <w:spacing w:line="480" w:lineRule="auto"/>
        <w:jc w:val="both"/>
        <w:rPr>
          <w:rFonts w:ascii="Times New Roman" w:hAnsi="Times New Roman" w:cs="Times New Roman"/>
          <w:b/>
          <w:i/>
          <w:color w:val="auto"/>
        </w:rPr>
      </w:pPr>
      <w:bookmarkStart w:id="8" w:name="_Toc135740081"/>
      <w:bookmarkStart w:id="9" w:name="_Hlk143097162"/>
      <w:r w:rsidRPr="00804500">
        <w:rPr>
          <w:rFonts w:ascii="Times New Roman" w:hAnsi="Times New Roman" w:cs="Times New Roman"/>
          <w:b/>
          <w:i/>
          <w:color w:val="auto"/>
        </w:rPr>
        <w:t>Baseline characteristics</w:t>
      </w:r>
      <w:bookmarkEnd w:id="8"/>
    </w:p>
    <w:bookmarkEnd w:id="9"/>
    <w:p w14:paraId="00D13FC5" w14:textId="77777777" w:rsidR="00487E5C" w:rsidRPr="006505CF" w:rsidRDefault="00487E5C" w:rsidP="006505CF">
      <w:pPr>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t xml:space="preserve">The descriptive analysis provides insights into various aspects of the population under study. The gender distribution shows that 71.1% of participants were female; the majority (44.7%) had a primary education. Housewives formed the largest group among employment statuses, accounting for 45.5%. In terms of monthly income, 78.3% earned less than 15,000. The marital status of the community was predominantly married, comprising 84.6%. Religion-wise, 90.0% identified as Islam. Around 70.3% of individuals reported not engaging in 150 minutes of physical exercise per week. Regarding smoking status, 75.8% were never smokers. Mental health analysis revealed that the largest group (67.0%) experienced mild symptoms of depression or anxiety. Moreover, 62.1% were not up-to-date on recommended health screenings, and 89.1% lacked access to affordable and high-quality healthcare. Evaluating BMI, 64.3% were of normal weight, 19.5% were underweight. When it came to dietary habits, 40.8% had an unhealthy diet. Furthermore, 84.6% of </w:t>
      </w:r>
      <w:r w:rsidRPr="006505CF">
        <w:rPr>
          <w:rFonts w:ascii="Times New Roman" w:hAnsi="Times New Roman" w:cs="Times New Roman"/>
          <w:sz w:val="24"/>
          <w:szCs w:val="24"/>
        </w:rPr>
        <w:lastRenderedPageBreak/>
        <w:t>individuals were at an increased risk for adverse health outcomes due to exposure to freeway air pollution. Community health promotion activities were at a lower level for 96.1% of the population. Among patients, 78.5% exhibited high self-efficacy in managing their chronic disease. Lastly, in terms of knowledge, skills, and confidence in managing health and healthcare, the highest percentage (37.5%) achieved Level 4 proficiency [Table 1].</w:t>
      </w:r>
    </w:p>
    <w:p w14:paraId="76882B2D" w14:textId="7ADD712B" w:rsidR="00487E5C" w:rsidRPr="00804500" w:rsidRDefault="00487E5C" w:rsidP="006505CF">
      <w:pPr>
        <w:pStyle w:val="Heading3"/>
        <w:spacing w:line="480" w:lineRule="auto"/>
        <w:jc w:val="both"/>
        <w:rPr>
          <w:rFonts w:ascii="Times New Roman" w:hAnsi="Times New Roman" w:cs="Times New Roman"/>
          <w:i/>
        </w:rPr>
      </w:pPr>
      <w:bookmarkStart w:id="10" w:name="_Toc135740082"/>
      <w:bookmarkStart w:id="11" w:name="_Hlk143109129"/>
      <w:r w:rsidRPr="00804500">
        <w:rPr>
          <w:rFonts w:ascii="Times New Roman" w:hAnsi="Times New Roman" w:cs="Times New Roman"/>
          <w:b/>
          <w:bCs/>
          <w:i/>
          <w:color w:val="auto"/>
        </w:rPr>
        <w:t xml:space="preserve">Chi square </w:t>
      </w:r>
      <w:r w:rsidR="00804500">
        <w:rPr>
          <w:rFonts w:ascii="Times New Roman" w:hAnsi="Times New Roman" w:cs="Times New Roman"/>
          <w:b/>
          <w:bCs/>
          <w:i/>
          <w:color w:val="auto"/>
        </w:rPr>
        <w:t>a</w:t>
      </w:r>
      <w:r w:rsidRPr="00804500">
        <w:rPr>
          <w:rFonts w:ascii="Times New Roman" w:hAnsi="Times New Roman" w:cs="Times New Roman"/>
          <w:b/>
          <w:bCs/>
          <w:i/>
          <w:color w:val="auto"/>
        </w:rPr>
        <w:t>ssociation between health behavior and chronic diseases</w:t>
      </w:r>
      <w:bookmarkEnd w:id="10"/>
    </w:p>
    <w:bookmarkEnd w:id="11"/>
    <w:p w14:paraId="60ED498B" w14:textId="5A0BEF68" w:rsidR="00487E5C" w:rsidRPr="006505CF" w:rsidRDefault="00487E5C" w:rsidP="006505CF">
      <w:pPr>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t>Chronic diseases have a significant association with education level (p = .001), employment status (p = .001), marital stat</w:t>
      </w:r>
      <w:r w:rsidR="002159F1">
        <w:rPr>
          <w:rFonts w:ascii="Times New Roman" w:hAnsi="Times New Roman" w:cs="Times New Roman"/>
          <w:sz w:val="24"/>
          <w:szCs w:val="24"/>
        </w:rPr>
        <w:t>us (p = .031)</w:t>
      </w:r>
      <w:r w:rsidRPr="006505CF">
        <w:rPr>
          <w:rFonts w:ascii="Times New Roman" w:hAnsi="Times New Roman" w:cs="Times New Roman"/>
          <w:sz w:val="24"/>
          <w:szCs w:val="24"/>
        </w:rPr>
        <w:t>, physical exercise (p = .008), Mental health (p = .001), dietary habits (p = .011), exposure to freeway air pollution (p = .001), level of community health promotion activities (p = .009), and patients' self-efficacy in managing th</w:t>
      </w:r>
      <w:r w:rsidR="004671D7" w:rsidRPr="006505CF">
        <w:rPr>
          <w:rFonts w:ascii="Times New Roman" w:hAnsi="Times New Roman" w:cs="Times New Roman"/>
          <w:sz w:val="24"/>
          <w:szCs w:val="24"/>
        </w:rPr>
        <w:t xml:space="preserve">eir chronic disease (p = .011) </w:t>
      </w:r>
      <w:r w:rsidRPr="006505CF">
        <w:rPr>
          <w:rFonts w:ascii="Times New Roman" w:hAnsi="Times New Roman" w:cs="Times New Roman"/>
          <w:sz w:val="24"/>
          <w:szCs w:val="24"/>
        </w:rPr>
        <w:t xml:space="preserve">[Table:2].  </w:t>
      </w:r>
    </w:p>
    <w:p w14:paraId="0A2B49F8" w14:textId="663283D1" w:rsidR="00487E5C" w:rsidRPr="00804500" w:rsidRDefault="00487E5C" w:rsidP="006505CF">
      <w:pPr>
        <w:tabs>
          <w:tab w:val="left" w:pos="8172"/>
        </w:tabs>
        <w:spacing w:after="0" w:line="480" w:lineRule="auto"/>
        <w:jc w:val="both"/>
        <w:rPr>
          <w:rFonts w:ascii="Times New Roman" w:hAnsi="Times New Roman" w:cs="Times New Roman"/>
          <w:b/>
          <w:i/>
          <w:sz w:val="24"/>
          <w:szCs w:val="24"/>
        </w:rPr>
      </w:pPr>
      <w:r w:rsidRPr="00804500">
        <w:rPr>
          <w:rFonts w:ascii="Times New Roman" w:hAnsi="Times New Roman" w:cs="Times New Roman"/>
          <w:b/>
          <w:i/>
          <w:sz w:val="24"/>
          <w:szCs w:val="24"/>
        </w:rPr>
        <w:t xml:space="preserve">Regression </w:t>
      </w:r>
      <w:r w:rsidR="00804500" w:rsidRPr="00804500">
        <w:rPr>
          <w:rFonts w:ascii="Times New Roman" w:hAnsi="Times New Roman" w:cs="Times New Roman"/>
          <w:b/>
          <w:i/>
          <w:sz w:val="24"/>
          <w:szCs w:val="24"/>
        </w:rPr>
        <w:t>analysis</w:t>
      </w:r>
      <w:r w:rsidRPr="00804500">
        <w:rPr>
          <w:rFonts w:ascii="Times New Roman" w:hAnsi="Times New Roman" w:cs="Times New Roman"/>
          <w:b/>
          <w:i/>
          <w:sz w:val="24"/>
          <w:szCs w:val="24"/>
        </w:rPr>
        <w:t xml:space="preserve"> between health behavior and chronic diseases</w:t>
      </w:r>
    </w:p>
    <w:p w14:paraId="39C154DC" w14:textId="07479C31" w:rsidR="00487E5C" w:rsidRPr="00A011B7" w:rsidRDefault="00487E5C" w:rsidP="006505CF">
      <w:pPr>
        <w:spacing w:line="480" w:lineRule="auto"/>
        <w:jc w:val="both"/>
        <w:rPr>
          <w:rFonts w:ascii="Times New Roman" w:hAnsi="Times New Roman" w:cs="Times New Roman"/>
          <w:sz w:val="24"/>
          <w:szCs w:val="24"/>
        </w:rPr>
      </w:pPr>
      <w:bookmarkStart w:id="12" w:name="_Hlk135739404"/>
      <w:r w:rsidRPr="006505CF">
        <w:rPr>
          <w:rFonts w:ascii="Times New Roman" w:hAnsi="Times New Roman" w:cs="Times New Roman"/>
          <w:sz w:val="24"/>
          <w:szCs w:val="24"/>
        </w:rPr>
        <w:t xml:space="preserve">Every unit increase in age, the probability of having a chronic disease increase by 3.8% (OR = 1.038, p = 0.001). After adjusting for other variables, the </w:t>
      </w:r>
      <w:proofErr w:type="spellStart"/>
      <w:r w:rsidRPr="006505CF">
        <w:rPr>
          <w:rFonts w:ascii="Times New Roman" w:hAnsi="Times New Roman" w:cs="Times New Roman"/>
          <w:sz w:val="24"/>
          <w:szCs w:val="24"/>
        </w:rPr>
        <w:t>aOR</w:t>
      </w:r>
      <w:proofErr w:type="spellEnd"/>
      <w:r w:rsidRPr="006505CF">
        <w:rPr>
          <w:rFonts w:ascii="Times New Roman" w:hAnsi="Times New Roman" w:cs="Times New Roman"/>
          <w:sz w:val="24"/>
          <w:szCs w:val="24"/>
        </w:rPr>
        <w:t xml:space="preserve"> remains significant, indicating that age is a significant predictor of chronic disease (</w:t>
      </w:r>
      <w:proofErr w:type="spellStart"/>
      <w:r w:rsidRPr="006505CF">
        <w:rPr>
          <w:rFonts w:ascii="Times New Roman" w:hAnsi="Times New Roman" w:cs="Times New Roman"/>
          <w:sz w:val="24"/>
          <w:szCs w:val="24"/>
        </w:rPr>
        <w:t>aOR</w:t>
      </w:r>
      <w:proofErr w:type="spellEnd"/>
      <w:r w:rsidRPr="006505CF">
        <w:rPr>
          <w:rFonts w:ascii="Times New Roman" w:hAnsi="Times New Roman" w:cs="Times New Roman"/>
          <w:sz w:val="24"/>
          <w:szCs w:val="24"/>
        </w:rPr>
        <w:t xml:space="preserve"> = 1.036, p = 0.004).  </w:t>
      </w:r>
      <w:r w:rsidRPr="00117B8C">
        <w:rPr>
          <w:rFonts w:ascii="Times New Roman" w:hAnsi="Times New Roman" w:cs="Times New Roman"/>
          <w:sz w:val="24"/>
          <w:szCs w:val="24"/>
        </w:rPr>
        <w:t>Not engaging in physical exercise is associated with a higher likelihood of having a chronic disease (</w:t>
      </w:r>
      <w:proofErr w:type="spellStart"/>
      <w:r w:rsidRPr="00117B8C">
        <w:rPr>
          <w:rFonts w:ascii="Times New Roman" w:hAnsi="Times New Roman" w:cs="Times New Roman"/>
          <w:sz w:val="24"/>
          <w:szCs w:val="24"/>
        </w:rPr>
        <w:t>aOR</w:t>
      </w:r>
      <w:proofErr w:type="spellEnd"/>
      <w:r w:rsidRPr="00117B8C">
        <w:rPr>
          <w:rFonts w:ascii="Times New Roman" w:hAnsi="Times New Roman" w:cs="Times New Roman"/>
          <w:sz w:val="24"/>
          <w:szCs w:val="24"/>
        </w:rPr>
        <w:t xml:space="preserve"> = </w:t>
      </w:r>
      <w:r w:rsidR="00117B8C" w:rsidRPr="00117B8C">
        <w:rPr>
          <w:rFonts w:ascii="Times New Roman" w:hAnsi="Times New Roman" w:cs="Times New Roman"/>
          <w:sz w:val="24"/>
          <w:szCs w:val="24"/>
        </w:rPr>
        <w:t>1</w:t>
      </w:r>
      <w:r w:rsidRPr="00117B8C">
        <w:rPr>
          <w:rFonts w:ascii="Times New Roman" w:hAnsi="Times New Roman" w:cs="Times New Roman"/>
          <w:sz w:val="24"/>
          <w:szCs w:val="24"/>
        </w:rPr>
        <w:t>.372, p = 0.019).  Having mild symptoms of depression or anxiety is significantly associated with a lower likelihood of having a chronic disease (</w:t>
      </w:r>
      <w:proofErr w:type="spellStart"/>
      <w:r w:rsidRPr="00117B8C">
        <w:rPr>
          <w:rFonts w:ascii="Times New Roman" w:hAnsi="Times New Roman" w:cs="Times New Roman"/>
          <w:sz w:val="24"/>
          <w:szCs w:val="24"/>
        </w:rPr>
        <w:t>aOR</w:t>
      </w:r>
      <w:proofErr w:type="spellEnd"/>
      <w:r w:rsidRPr="00117B8C">
        <w:rPr>
          <w:rFonts w:ascii="Times New Roman" w:hAnsi="Times New Roman" w:cs="Times New Roman"/>
          <w:sz w:val="24"/>
          <w:szCs w:val="24"/>
        </w:rPr>
        <w:t xml:space="preserve"> = 0.132, p = 0.001).  Individuals at increased risk for adverse health outcomes due to air pollution have significantly 3 times higher risk of having a chronic disease (</w:t>
      </w:r>
      <w:proofErr w:type="spellStart"/>
      <w:r w:rsidRPr="00117B8C">
        <w:rPr>
          <w:rFonts w:ascii="Times New Roman" w:hAnsi="Times New Roman" w:cs="Times New Roman"/>
          <w:sz w:val="24"/>
          <w:szCs w:val="24"/>
        </w:rPr>
        <w:t>aOR</w:t>
      </w:r>
      <w:proofErr w:type="spellEnd"/>
      <w:r w:rsidRPr="00117B8C">
        <w:rPr>
          <w:rFonts w:ascii="Times New Roman" w:hAnsi="Times New Roman" w:cs="Times New Roman"/>
          <w:sz w:val="24"/>
          <w:szCs w:val="24"/>
        </w:rPr>
        <w:t xml:space="preserve"> = 3.012, p = 0.016) than others. </w:t>
      </w:r>
      <w:r w:rsidRPr="00CE5B7C">
        <w:rPr>
          <w:rFonts w:ascii="Times New Roman" w:hAnsi="Times New Roman" w:cs="Times New Roman"/>
          <w:color w:val="C00000"/>
          <w:sz w:val="24"/>
          <w:szCs w:val="24"/>
        </w:rPr>
        <w:t xml:space="preserve"> </w:t>
      </w:r>
      <w:r w:rsidRPr="00A011B7">
        <w:rPr>
          <w:rFonts w:ascii="Times New Roman" w:hAnsi="Times New Roman" w:cs="Times New Roman"/>
          <w:sz w:val="24"/>
          <w:szCs w:val="24"/>
        </w:rPr>
        <w:t xml:space="preserve">Patients with </w:t>
      </w:r>
      <w:r w:rsidR="00A011B7" w:rsidRPr="00A011B7">
        <w:rPr>
          <w:rFonts w:ascii="Times New Roman" w:hAnsi="Times New Roman" w:cs="Times New Roman"/>
          <w:sz w:val="24"/>
          <w:szCs w:val="24"/>
        </w:rPr>
        <w:t>higher</w:t>
      </w:r>
      <w:r w:rsidRPr="00A011B7">
        <w:rPr>
          <w:rFonts w:ascii="Times New Roman" w:hAnsi="Times New Roman" w:cs="Times New Roman"/>
          <w:sz w:val="24"/>
          <w:szCs w:val="24"/>
        </w:rPr>
        <w:t xml:space="preserve"> self-efficacy have significantly </w:t>
      </w:r>
      <w:r w:rsidR="00A011B7" w:rsidRPr="00A011B7">
        <w:rPr>
          <w:rFonts w:ascii="Times New Roman" w:hAnsi="Times New Roman" w:cs="Times New Roman"/>
          <w:sz w:val="24"/>
          <w:szCs w:val="24"/>
        </w:rPr>
        <w:t xml:space="preserve">lower </w:t>
      </w:r>
      <w:r w:rsidRPr="00A011B7">
        <w:rPr>
          <w:rFonts w:ascii="Times New Roman" w:hAnsi="Times New Roman" w:cs="Times New Roman"/>
          <w:sz w:val="24"/>
          <w:szCs w:val="24"/>
        </w:rPr>
        <w:t xml:space="preserve">odds of having a chronic disease compared to those with </w:t>
      </w:r>
      <w:r w:rsidR="00A011B7" w:rsidRPr="00A011B7">
        <w:rPr>
          <w:rFonts w:ascii="Times New Roman" w:hAnsi="Times New Roman" w:cs="Times New Roman"/>
          <w:sz w:val="24"/>
          <w:szCs w:val="24"/>
        </w:rPr>
        <w:t xml:space="preserve">lower </w:t>
      </w:r>
      <w:r w:rsidRPr="00A011B7">
        <w:rPr>
          <w:rFonts w:ascii="Times New Roman" w:hAnsi="Times New Roman" w:cs="Times New Roman"/>
          <w:sz w:val="24"/>
          <w:szCs w:val="24"/>
        </w:rPr>
        <w:t>self-efficacy (</w:t>
      </w:r>
      <w:proofErr w:type="spellStart"/>
      <w:r w:rsidRPr="00A011B7">
        <w:rPr>
          <w:rFonts w:ascii="Times New Roman" w:hAnsi="Times New Roman" w:cs="Times New Roman"/>
          <w:sz w:val="24"/>
          <w:szCs w:val="24"/>
        </w:rPr>
        <w:t>aOR</w:t>
      </w:r>
      <w:proofErr w:type="spellEnd"/>
      <w:r w:rsidRPr="00A011B7">
        <w:rPr>
          <w:rFonts w:ascii="Times New Roman" w:hAnsi="Times New Roman" w:cs="Times New Roman"/>
          <w:sz w:val="24"/>
          <w:szCs w:val="24"/>
        </w:rPr>
        <w:t xml:space="preserve"> = </w:t>
      </w:r>
      <w:r w:rsidR="00117B8C" w:rsidRPr="00A011B7">
        <w:rPr>
          <w:rFonts w:ascii="Times New Roman" w:hAnsi="Times New Roman" w:cs="Times New Roman"/>
          <w:sz w:val="24"/>
          <w:szCs w:val="24"/>
        </w:rPr>
        <w:t>.001</w:t>
      </w:r>
      <w:r w:rsidRPr="00A011B7">
        <w:rPr>
          <w:rFonts w:ascii="Times New Roman" w:hAnsi="Times New Roman" w:cs="Times New Roman"/>
          <w:sz w:val="24"/>
          <w:szCs w:val="24"/>
        </w:rPr>
        <w:t>, p = 0.001)</w:t>
      </w:r>
      <w:bookmarkEnd w:id="12"/>
      <w:r w:rsidRPr="00A011B7">
        <w:rPr>
          <w:rFonts w:ascii="Times New Roman" w:hAnsi="Times New Roman" w:cs="Times New Roman"/>
          <w:sz w:val="24"/>
          <w:szCs w:val="24"/>
        </w:rPr>
        <w:t xml:space="preserve"> [Table 3].</w:t>
      </w:r>
    </w:p>
    <w:p w14:paraId="48E14461" w14:textId="366585DB" w:rsidR="00487E5C" w:rsidRPr="00804500" w:rsidRDefault="00487E5C" w:rsidP="006505CF">
      <w:pPr>
        <w:pStyle w:val="Heading3"/>
        <w:spacing w:line="480" w:lineRule="auto"/>
        <w:rPr>
          <w:rFonts w:ascii="Times New Roman" w:hAnsi="Times New Roman" w:cs="Times New Roman"/>
          <w:b/>
          <w:bCs/>
          <w:i/>
        </w:rPr>
      </w:pPr>
      <w:bookmarkStart w:id="13" w:name="_Toc135740083"/>
      <w:r w:rsidRPr="00804500">
        <w:rPr>
          <w:rFonts w:ascii="Times New Roman" w:hAnsi="Times New Roman" w:cs="Times New Roman"/>
          <w:b/>
          <w:bCs/>
          <w:i/>
          <w:color w:val="auto"/>
        </w:rPr>
        <w:lastRenderedPageBreak/>
        <w:t xml:space="preserve">Structural </w:t>
      </w:r>
      <w:r w:rsidR="0090045B" w:rsidRPr="00804500">
        <w:rPr>
          <w:rFonts w:ascii="Times New Roman" w:hAnsi="Times New Roman" w:cs="Times New Roman"/>
          <w:b/>
          <w:bCs/>
          <w:i/>
          <w:color w:val="auto"/>
        </w:rPr>
        <w:t>Equation</w:t>
      </w:r>
      <w:r w:rsidRPr="00804500">
        <w:rPr>
          <w:rFonts w:ascii="Times New Roman" w:hAnsi="Times New Roman" w:cs="Times New Roman"/>
          <w:b/>
          <w:bCs/>
          <w:i/>
          <w:color w:val="auto"/>
        </w:rPr>
        <w:t xml:space="preserve"> </w:t>
      </w:r>
      <w:bookmarkEnd w:id="13"/>
      <w:r w:rsidRPr="00804500">
        <w:rPr>
          <w:rFonts w:ascii="Times New Roman" w:hAnsi="Times New Roman" w:cs="Times New Roman"/>
          <w:b/>
          <w:bCs/>
          <w:i/>
          <w:color w:val="auto"/>
        </w:rPr>
        <w:t xml:space="preserve">Modeling </w:t>
      </w:r>
    </w:p>
    <w:p w14:paraId="05090985" w14:textId="77777777" w:rsidR="00402B28" w:rsidRPr="006505CF" w:rsidRDefault="00487E5C" w:rsidP="006505CF">
      <w:pPr>
        <w:spacing w:line="480" w:lineRule="auto"/>
        <w:jc w:val="both"/>
        <w:rPr>
          <w:rFonts w:ascii="Times New Roman" w:hAnsi="Times New Roman" w:cs="Times New Roman"/>
          <w:b/>
          <w:sz w:val="24"/>
          <w:szCs w:val="24"/>
        </w:rPr>
      </w:pPr>
      <w:r w:rsidRPr="006505CF">
        <w:rPr>
          <w:rFonts w:ascii="Times New Roman" w:hAnsi="Times New Roman" w:cs="Times New Roman"/>
          <w:sz w:val="24"/>
          <w:szCs w:val="24"/>
        </w:rPr>
        <w:t xml:space="preserve">Several fit indices were used to compare the estimated model to the saturated model. The estimated model has a better fit in terms of standardized root mean square residual, as seen by lower values for SRMR (0.089 compared to 0.127 in the saturated model). The estimated model also showed higher </w:t>
      </w:r>
      <w:proofErr w:type="spellStart"/>
      <w:r w:rsidRPr="006505CF">
        <w:rPr>
          <w:rFonts w:ascii="Times New Roman" w:hAnsi="Times New Roman" w:cs="Times New Roman"/>
          <w:sz w:val="24"/>
          <w:szCs w:val="24"/>
        </w:rPr>
        <w:t>d_ULS</w:t>
      </w:r>
      <w:proofErr w:type="spellEnd"/>
      <w:r w:rsidRPr="006505CF">
        <w:rPr>
          <w:rFonts w:ascii="Times New Roman" w:hAnsi="Times New Roman" w:cs="Times New Roman"/>
          <w:sz w:val="24"/>
          <w:szCs w:val="24"/>
        </w:rPr>
        <w:t xml:space="preserve"> (3.06 vs. 1.497 in the saturated model) and </w:t>
      </w:r>
      <w:proofErr w:type="spellStart"/>
      <w:r w:rsidRPr="006505CF">
        <w:rPr>
          <w:rFonts w:ascii="Times New Roman" w:hAnsi="Times New Roman" w:cs="Times New Roman"/>
          <w:sz w:val="24"/>
          <w:szCs w:val="24"/>
        </w:rPr>
        <w:t>d_G</w:t>
      </w:r>
      <w:proofErr w:type="spellEnd"/>
      <w:r w:rsidRPr="006505CF">
        <w:rPr>
          <w:rFonts w:ascii="Times New Roman" w:hAnsi="Times New Roman" w:cs="Times New Roman"/>
          <w:sz w:val="24"/>
          <w:szCs w:val="24"/>
        </w:rPr>
        <w:t xml:space="preserve"> (0.577 vs. 0.327 in the saturated model) values, which pointed to a wider disparity between the observed and calculated covariance matrices. Additionally, the estimated model's chi-square score was higher (1389.626 as opposed to 765.139 in the saturated model), demonstrating a good fit. Additionally demonstrating a decent match, the estimated model's NFI (normed fit index) was significantly lower (0.216 compared to 0.568 in the saturated model). Overall, compared to the saturated model, the estimated model showed good fit indices, indicating that it accurately represented the data</w:t>
      </w:r>
      <w:r w:rsidR="0090045B" w:rsidRPr="006505CF">
        <w:rPr>
          <w:rFonts w:ascii="Times New Roman" w:hAnsi="Times New Roman" w:cs="Times New Roman"/>
          <w:sz w:val="24"/>
          <w:szCs w:val="24"/>
        </w:rPr>
        <w:t xml:space="preserve"> </w:t>
      </w:r>
      <w:r w:rsidR="0090045B" w:rsidRPr="006505CF">
        <w:rPr>
          <w:rFonts w:ascii="Times New Roman" w:hAnsi="Times New Roman" w:cs="Times New Roman"/>
          <w:color w:val="000000" w:themeColor="text1"/>
          <w:sz w:val="24"/>
          <w:szCs w:val="24"/>
        </w:rPr>
        <w:t>[Table 4]</w:t>
      </w:r>
      <w:r w:rsidRPr="006505CF">
        <w:rPr>
          <w:rFonts w:ascii="Times New Roman" w:hAnsi="Times New Roman" w:cs="Times New Roman"/>
          <w:sz w:val="24"/>
          <w:szCs w:val="24"/>
        </w:rPr>
        <w:t>.</w:t>
      </w:r>
      <w:r w:rsidR="004671D7" w:rsidRPr="006505CF">
        <w:rPr>
          <w:rFonts w:ascii="Times New Roman" w:hAnsi="Times New Roman" w:cs="Times New Roman"/>
          <w:sz w:val="24"/>
          <w:szCs w:val="24"/>
        </w:rPr>
        <w:t xml:space="preserve"> </w:t>
      </w:r>
      <w:r w:rsidRPr="006505CF">
        <w:rPr>
          <w:rFonts w:ascii="Times New Roman" w:hAnsi="Times New Roman" w:cs="Times New Roman"/>
          <w:sz w:val="24"/>
          <w:szCs w:val="24"/>
        </w:rPr>
        <w:t xml:space="preserve">Based on structural equation chronic diseases most significant impact on </w:t>
      </w:r>
      <w:r w:rsidRPr="006505CF">
        <w:rPr>
          <w:rFonts w:ascii="Times New Roman" w:hAnsi="Times New Roman" w:cs="Times New Roman"/>
          <w:color w:val="000000" w:themeColor="text1"/>
          <w:sz w:val="24"/>
          <w:szCs w:val="24"/>
        </w:rPr>
        <w:t xml:space="preserve">Patient's self-efficacy in managing their chronic disease (B=.593), then </w:t>
      </w:r>
      <w:r w:rsidR="004671D7" w:rsidRPr="006505CF">
        <w:rPr>
          <w:rFonts w:ascii="Times New Roman" w:hAnsi="Times New Roman" w:cs="Times New Roman"/>
          <w:color w:val="000000" w:themeColor="text1"/>
          <w:sz w:val="24"/>
          <w:szCs w:val="24"/>
        </w:rPr>
        <w:t>diet (</w:t>
      </w:r>
      <w:r w:rsidRPr="006505CF">
        <w:rPr>
          <w:rFonts w:ascii="Times New Roman" w:hAnsi="Times New Roman" w:cs="Times New Roman"/>
          <w:color w:val="000000" w:themeColor="text1"/>
          <w:sz w:val="24"/>
          <w:szCs w:val="24"/>
        </w:rPr>
        <w:t>B=.118), and then physical exercise (B=.116). And access to healthcare, mental health and air pollution had a negative associatio</w:t>
      </w:r>
      <w:r w:rsidR="0090045B" w:rsidRPr="006505CF">
        <w:rPr>
          <w:rFonts w:ascii="Times New Roman" w:hAnsi="Times New Roman" w:cs="Times New Roman"/>
          <w:color w:val="000000" w:themeColor="text1"/>
          <w:sz w:val="24"/>
          <w:szCs w:val="24"/>
        </w:rPr>
        <w:t>n with chronic diseases [Figure 1</w:t>
      </w:r>
      <w:r w:rsidRPr="006505CF">
        <w:rPr>
          <w:rFonts w:ascii="Times New Roman" w:hAnsi="Times New Roman" w:cs="Times New Roman"/>
          <w:color w:val="000000" w:themeColor="text1"/>
          <w:sz w:val="24"/>
          <w:szCs w:val="24"/>
        </w:rPr>
        <w:t xml:space="preserve">]. </w:t>
      </w:r>
    </w:p>
    <w:p w14:paraId="46BEE358" w14:textId="77777777" w:rsidR="005B1DDD" w:rsidRPr="006505CF" w:rsidRDefault="005B1DDD" w:rsidP="006505CF">
      <w:pPr>
        <w:spacing w:line="480" w:lineRule="auto"/>
        <w:jc w:val="both"/>
        <w:rPr>
          <w:rFonts w:ascii="Times New Roman" w:hAnsi="Times New Roman" w:cs="Times New Roman"/>
          <w:b/>
          <w:sz w:val="24"/>
          <w:szCs w:val="24"/>
        </w:rPr>
      </w:pPr>
      <w:r w:rsidRPr="006505CF">
        <w:rPr>
          <w:rFonts w:ascii="Times New Roman" w:hAnsi="Times New Roman" w:cs="Times New Roman"/>
          <w:b/>
          <w:sz w:val="24"/>
          <w:szCs w:val="24"/>
        </w:rPr>
        <w:t>Discussion</w:t>
      </w:r>
    </w:p>
    <w:p w14:paraId="3EE42FA1" w14:textId="3AF7CFBA" w:rsidR="000C1E5A" w:rsidRPr="006505CF" w:rsidRDefault="002F38DE" w:rsidP="006505CF">
      <w:pPr>
        <w:pStyle w:val="NoSpacing"/>
        <w:spacing w:line="480" w:lineRule="auto"/>
        <w:jc w:val="both"/>
        <w:rPr>
          <w:rFonts w:ascii="Times New Roman" w:hAnsi="Times New Roman" w:cs="Times New Roman"/>
          <w:color w:val="000000" w:themeColor="text1"/>
          <w:sz w:val="24"/>
          <w:szCs w:val="24"/>
        </w:rPr>
      </w:pPr>
      <w:r w:rsidRPr="006505CF">
        <w:rPr>
          <w:rFonts w:ascii="Times New Roman" w:hAnsi="Times New Roman" w:cs="Times New Roman"/>
          <w:sz w:val="24"/>
          <w:szCs w:val="24"/>
        </w:rPr>
        <w:t xml:space="preserve">This study explored to give a complete examination of the numerous aspects associated to health behavior and their association with chronic diseases. </w:t>
      </w:r>
      <w:r w:rsidR="000C1E5A" w:rsidRPr="006505CF">
        <w:rPr>
          <w:rFonts w:ascii="Times New Roman" w:hAnsi="Times New Roman" w:cs="Times New Roman"/>
          <w:sz w:val="24"/>
          <w:szCs w:val="24"/>
        </w:rPr>
        <w:t xml:space="preserve">The prevalence’s of chronic diseases was </w:t>
      </w:r>
      <w:r w:rsidR="000C1E5A" w:rsidRPr="006505CF">
        <w:rPr>
          <w:rFonts w:ascii="Times New Roman" w:hAnsi="Times New Roman" w:cs="Times New Roman"/>
          <w:color w:val="000000" w:themeColor="text1"/>
          <w:sz w:val="24"/>
          <w:szCs w:val="24"/>
        </w:rPr>
        <w:t xml:space="preserve">35.2% slum area in Bangladesh. </w:t>
      </w:r>
      <w:r w:rsidR="0084082D" w:rsidRPr="006505CF">
        <w:rPr>
          <w:rFonts w:ascii="Times New Roman" w:hAnsi="Times New Roman" w:cs="Times New Roman"/>
          <w:sz w:val="24"/>
          <w:szCs w:val="24"/>
        </w:rPr>
        <w:t>E</w:t>
      </w:r>
      <w:r w:rsidR="000C1E5A" w:rsidRPr="006505CF">
        <w:rPr>
          <w:rFonts w:ascii="Times New Roman" w:hAnsi="Times New Roman" w:cs="Times New Roman"/>
          <w:sz w:val="24"/>
          <w:szCs w:val="24"/>
        </w:rPr>
        <w:t>ducation level, employment status, marital status, employment status, physical exercise, mental health, dietary habits, exposure to freeway air pollution, level of community health promotion activities, and patients' self-efficacy in managing their chronic disease</w:t>
      </w:r>
      <w:r w:rsidR="0084082D" w:rsidRPr="006505CF">
        <w:rPr>
          <w:rFonts w:ascii="Times New Roman" w:hAnsi="Times New Roman" w:cs="Times New Roman"/>
          <w:sz w:val="24"/>
          <w:szCs w:val="24"/>
        </w:rPr>
        <w:t xml:space="preserve"> was a </w:t>
      </w:r>
      <w:r w:rsidR="00BE36F2" w:rsidRPr="006505CF">
        <w:rPr>
          <w:rFonts w:ascii="Times New Roman" w:hAnsi="Times New Roman" w:cs="Times New Roman"/>
          <w:sz w:val="24"/>
          <w:szCs w:val="24"/>
        </w:rPr>
        <w:t>significant factor</w:t>
      </w:r>
      <w:r w:rsidR="0084082D" w:rsidRPr="006505CF">
        <w:rPr>
          <w:rFonts w:ascii="Times New Roman" w:hAnsi="Times New Roman" w:cs="Times New Roman"/>
          <w:sz w:val="24"/>
          <w:szCs w:val="24"/>
        </w:rPr>
        <w:t xml:space="preserve"> for chronic diseases.</w:t>
      </w:r>
    </w:p>
    <w:p w14:paraId="13ABDA54" w14:textId="4F09231F" w:rsidR="00BE36F2" w:rsidRPr="006505CF" w:rsidRDefault="00BE36F2" w:rsidP="006505CF">
      <w:pPr>
        <w:pStyle w:val="NoSpacing"/>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lastRenderedPageBreak/>
        <w:t xml:space="preserve">According to our </w:t>
      </w:r>
      <w:r w:rsidR="004831E6" w:rsidRPr="006505CF">
        <w:rPr>
          <w:rFonts w:ascii="Times New Roman" w:hAnsi="Times New Roman" w:cs="Times New Roman"/>
          <w:sz w:val="24"/>
          <w:szCs w:val="24"/>
        </w:rPr>
        <w:t xml:space="preserve">structural modelling </w:t>
      </w:r>
      <w:r w:rsidRPr="006505CF">
        <w:rPr>
          <w:rFonts w:ascii="Times New Roman" w:hAnsi="Times New Roman" w:cs="Times New Roman"/>
          <w:sz w:val="24"/>
          <w:szCs w:val="24"/>
        </w:rPr>
        <w:t xml:space="preserve">finding chronic diseases most significant impact on </w:t>
      </w:r>
      <w:r w:rsidRPr="006505CF">
        <w:rPr>
          <w:rFonts w:ascii="Times New Roman" w:hAnsi="Times New Roman" w:cs="Times New Roman"/>
          <w:color w:val="000000" w:themeColor="text1"/>
          <w:sz w:val="24"/>
          <w:szCs w:val="24"/>
        </w:rPr>
        <w:t>patient's self-efficacy in managing their chronic disease, then diet, and then physical exercise that align with others studies</w:t>
      </w:r>
      <w:r w:rsidR="004A6049" w:rsidRPr="006505CF">
        <w:rPr>
          <w:rFonts w:ascii="Times New Roman" w:hAnsi="Times New Roman" w:cs="Times New Roman"/>
          <w:color w:val="000000" w:themeColor="text1"/>
          <w:sz w:val="24"/>
          <w:szCs w:val="24"/>
        </w:rPr>
        <w:fldChar w:fldCharType="begin" w:fldLock="1"/>
      </w:r>
      <w:r w:rsidR="006E009B">
        <w:rPr>
          <w:rFonts w:ascii="Times New Roman" w:hAnsi="Times New Roman" w:cs="Times New Roman"/>
          <w:color w:val="000000" w:themeColor="text1"/>
          <w:sz w:val="24"/>
          <w:szCs w:val="24"/>
        </w:rPr>
        <w:instrText>ADDIN CSL_CITATION {"citationItems":[{"id":"ITEM-1","itemData":{"DOI":"10.1097/JNR.0000000000000422","ISSN":"1948-965X (Electronic)","PMID":"33427791","author":[{"dropping-particle":"","family":"Chan","given":"Sally Wai-Chi","non-dropping-particle":"","parse-names":false,"suffix":""}],"container-title":"The journal of nursing research : JNR","id":"ITEM-1","issue":"1","issued":{"date-parts":[["2021","2"]]},"language":"eng","page":"e129","publisher-place":"China (Republic : 1949- )","title":"Chronic Disease Management, Self-Efficacy and Quality of Life.","type":"article-journal","volume":"29"},"uris":["http://www.mendeley.com/documents/?uuid=34eb2465-98e9-44b4-b478-c1b0c4a2b765"]}],"mendeley":{"formattedCitation":"(23)","plainTextFormattedCitation":"(23)","previouslyFormattedCitation":"(Chan, 2021)"},"properties":{"noteIndex":0},"schema":"https://github.com/citation-style-language/schema/raw/master/csl-citation.json"}</w:instrText>
      </w:r>
      <w:r w:rsidR="004A6049" w:rsidRPr="006505CF">
        <w:rPr>
          <w:rFonts w:ascii="Times New Roman" w:hAnsi="Times New Roman" w:cs="Times New Roman"/>
          <w:color w:val="000000" w:themeColor="text1"/>
          <w:sz w:val="24"/>
          <w:szCs w:val="24"/>
        </w:rPr>
        <w:fldChar w:fldCharType="separate"/>
      </w:r>
      <w:r w:rsidR="006E009B" w:rsidRPr="006E009B">
        <w:rPr>
          <w:rFonts w:ascii="Times New Roman" w:hAnsi="Times New Roman" w:cs="Times New Roman"/>
          <w:noProof/>
          <w:color w:val="000000" w:themeColor="text1"/>
          <w:sz w:val="24"/>
          <w:szCs w:val="24"/>
        </w:rPr>
        <w:t>(23)</w:t>
      </w:r>
      <w:r w:rsidR="004A6049" w:rsidRPr="006505CF">
        <w:rPr>
          <w:rFonts w:ascii="Times New Roman" w:hAnsi="Times New Roman" w:cs="Times New Roman"/>
          <w:color w:val="000000" w:themeColor="text1"/>
          <w:sz w:val="24"/>
          <w:szCs w:val="24"/>
        </w:rPr>
        <w:fldChar w:fldCharType="end"/>
      </w:r>
      <w:r w:rsidR="004A6049" w:rsidRPr="006505CF">
        <w:rPr>
          <w:rFonts w:ascii="Times New Roman" w:hAnsi="Times New Roman" w:cs="Times New Roman"/>
          <w:color w:val="000000" w:themeColor="text1"/>
          <w:sz w:val="24"/>
          <w:szCs w:val="24"/>
        </w:rPr>
        <w:t xml:space="preserve"> </w:t>
      </w:r>
      <w:r w:rsidR="004A6049" w:rsidRPr="006505CF">
        <w:rPr>
          <w:rFonts w:ascii="Times New Roman" w:hAnsi="Times New Roman" w:cs="Times New Roman"/>
          <w:color w:val="000000" w:themeColor="text1"/>
          <w:sz w:val="24"/>
          <w:szCs w:val="24"/>
        </w:rPr>
        <w:fldChar w:fldCharType="begin" w:fldLock="1"/>
      </w:r>
      <w:r w:rsidR="006E009B">
        <w:rPr>
          <w:rFonts w:ascii="Times New Roman" w:hAnsi="Times New Roman" w:cs="Times New Roman"/>
          <w:color w:val="000000" w:themeColor="text1"/>
          <w:sz w:val="24"/>
          <w:szCs w:val="24"/>
        </w:rPr>
        <w:instrText>ADDIN CSL_CITATION {"citationItems":[{"id":"ITEM-1","itemData":{"DOI":"10.1002/nop2.382","ISSN":"2054-1058 (Print)","PMID":"31871689","abstract":"AIM: To examine barriers to self-efficacy and strategies beyond traditional  education that promote self-efficacy for patients living with chronic disease. The review questions were as follows: (a) What are barriers to self-efficacy in patients experiencing chronic disease? and (b) What non-traditional strategies and programmes can be implemented by healthcare leaders to promote self-efficacy in patients with chronic disease? DESIGN: Integrative review. METHOD: Data sources searched were CINAHL, Google Scholar, Health Source, Academic Search Complete and PsycARTICLES published between January 2014-January 2018. Synthesis and thematic analyses were conducted on 24 articles. RESULTS: Three themes were identified as barriers to self-efficacy: health literacy, access and support. Four prominent strategies were found to promote self-efficacy: self-management programmes, telehealth, mobile applications, gaming and social media. The findings indicate self-efficacy for patients with chronic conditions can improve with new interventions. Enhancing traditional education and boosting self-efficacy could increase treatment adherence and decrease cost.","author":[{"dropping-particle":"","family":"Farley","given":"Holly","non-dropping-particle":"","parse-names":false,"suffix":""}],"container-title":"Nursing open","id":"ITEM-1","issue":"1","issued":{"date-parts":[["2020","1"]]},"language":"eng","page":"30-41","publisher-place":"United States","title":"Promoting self-efficacy in patients with chronic disease beyond traditional  education: A literature review.","type":"article-journal","volume":"7"},"uris":["http://www.mendeley.com/documents/?uuid=97e7f8be-cee9-4134-b1dd-ccbb01a0d47d"]}],"mendeley":{"formattedCitation":"(21)","plainTextFormattedCitation":"(21)","previouslyFormattedCitation":"(Farley, 2020)"},"properties":{"noteIndex":0},"schema":"https://github.com/citation-style-language/schema/raw/master/csl-citation.json"}</w:instrText>
      </w:r>
      <w:r w:rsidR="004A6049" w:rsidRPr="006505CF">
        <w:rPr>
          <w:rFonts w:ascii="Times New Roman" w:hAnsi="Times New Roman" w:cs="Times New Roman"/>
          <w:color w:val="000000" w:themeColor="text1"/>
          <w:sz w:val="24"/>
          <w:szCs w:val="24"/>
        </w:rPr>
        <w:fldChar w:fldCharType="separate"/>
      </w:r>
      <w:r w:rsidR="006E009B" w:rsidRPr="006E009B">
        <w:rPr>
          <w:rFonts w:ascii="Times New Roman" w:hAnsi="Times New Roman" w:cs="Times New Roman"/>
          <w:noProof/>
          <w:color w:val="000000" w:themeColor="text1"/>
          <w:sz w:val="24"/>
          <w:szCs w:val="24"/>
        </w:rPr>
        <w:t>(21)</w:t>
      </w:r>
      <w:r w:rsidR="004A6049" w:rsidRPr="006505CF">
        <w:rPr>
          <w:rFonts w:ascii="Times New Roman" w:hAnsi="Times New Roman" w:cs="Times New Roman"/>
          <w:color w:val="000000" w:themeColor="text1"/>
          <w:sz w:val="24"/>
          <w:szCs w:val="24"/>
        </w:rPr>
        <w:fldChar w:fldCharType="end"/>
      </w:r>
      <w:r w:rsidR="004A6049" w:rsidRPr="006505CF">
        <w:rPr>
          <w:rFonts w:ascii="Times New Roman" w:hAnsi="Times New Roman" w:cs="Times New Roman"/>
          <w:color w:val="000000" w:themeColor="text1"/>
          <w:sz w:val="24"/>
          <w:szCs w:val="24"/>
        </w:rPr>
        <w:fldChar w:fldCharType="begin" w:fldLock="1"/>
      </w:r>
      <w:r w:rsidR="006E009B">
        <w:rPr>
          <w:rFonts w:ascii="Times New Roman" w:hAnsi="Times New Roman" w:cs="Times New Roman"/>
          <w:color w:val="000000" w:themeColor="text1"/>
          <w:sz w:val="24"/>
          <w:szCs w:val="24"/>
        </w:rPr>
        <w:instrText>ADDIN CSL_CITATION {"citationItems":[{"id":"ITEM-1","itemData":{"DOI":"10.3390/jcm7110411","ISSN":"2077-0383 (Print)","PMID":"30400316","abstract":"BACKGROUND: Given the increasing prevalence of chronic illnesses and their  complications, supporting and empowering chronically ill patients seems crucial. Self-efficacy is considered as a predictor for empowerment. The purpose of this study to explore of different aspects of self-efficacy among persons with chronic physical conditions based on the Family-Centered Empowerment Model (FCEM). METHODS: this qualitative study is part of a larger study; sequential exploratory mixed-method for designing an instrument for the FCEM was conducted from May 2015 to March 2016 in two university hospitals. The sample was 22 participants, including chronically ill patients, family caregivers, and nurses. Data were collected through personal semi-structured interviews. Data analysis was performed concurrently with data collection through directed qualitative content analysis. RESULTS: after determining the self-efficacy attributes in the family-center empowerment model, a category matrix was developed and the codes are placed in subcategories of the matrix. Most participants were female (58.0%), with a mean age of 49.50 years. The final analysis yielded a total of 247 units of analysis dispersed in eight subcategories belonging to four generic-categories. CONCLUSIONS: the findings of this study represent the dimensions of chronically-ill individuals' self-efficacy that can be used to develop and implement programs for empowering chronic ill patients.","author":[{"dropping-particle":"","family":"Ebrahimi Belil","given":"Fatemeh","non-dropping-particle":"","parse-names":false,"suffix":""},{"dropping-particle":"","family":"Alhani","given":"Fatemeh","non-dropping-particle":"","parse-names":false,"suffix":""},{"dropping-particle":"","family":"Ebadi","given":"Abbas","non-dropping-particle":"","parse-names":false,"suffix":""},{"dropping-particle":"","family":"Kazemnejad","given":"Anooshirvan","non-dropping-particle":"","parse-names":false,"suffix":""}],"container-title":"Journal of clinical medicine","id":"ITEM-1","issue":"11","issued":{"date-parts":[["2018","11"]]},"language":"eng","publisher-place":"Switzerland","title":"Self-Efficacy of People with Chronic Conditions: A Qualitative Directed Content  Analysis.","type":"article-journal","volume":"7"},"uris":["http://www.mendeley.com/documents/?uuid=a5496fad-2955-43b4-ad16-93a2196d6563"]}],"mendeley":{"formattedCitation":"(24)","plainTextFormattedCitation":"(24)","previouslyFormattedCitation":"(Ebrahimi Belil et al., 2018)"},"properties":{"noteIndex":0},"schema":"https://github.com/citation-style-language/schema/raw/master/csl-citation.json"}</w:instrText>
      </w:r>
      <w:r w:rsidR="004A6049" w:rsidRPr="006505CF">
        <w:rPr>
          <w:rFonts w:ascii="Times New Roman" w:hAnsi="Times New Roman" w:cs="Times New Roman"/>
          <w:color w:val="000000" w:themeColor="text1"/>
          <w:sz w:val="24"/>
          <w:szCs w:val="24"/>
        </w:rPr>
        <w:fldChar w:fldCharType="separate"/>
      </w:r>
      <w:r w:rsidR="006E009B" w:rsidRPr="006E009B">
        <w:rPr>
          <w:rFonts w:ascii="Times New Roman" w:hAnsi="Times New Roman" w:cs="Times New Roman"/>
          <w:noProof/>
          <w:color w:val="000000" w:themeColor="text1"/>
          <w:sz w:val="24"/>
          <w:szCs w:val="24"/>
        </w:rPr>
        <w:t>(24)</w:t>
      </w:r>
      <w:r w:rsidR="004A6049" w:rsidRPr="006505CF">
        <w:rPr>
          <w:rFonts w:ascii="Times New Roman" w:hAnsi="Times New Roman" w:cs="Times New Roman"/>
          <w:color w:val="000000" w:themeColor="text1"/>
          <w:sz w:val="24"/>
          <w:szCs w:val="24"/>
        </w:rPr>
        <w:fldChar w:fldCharType="end"/>
      </w:r>
      <w:r w:rsidRPr="006505CF">
        <w:rPr>
          <w:rFonts w:ascii="Times New Roman" w:hAnsi="Times New Roman" w:cs="Times New Roman"/>
          <w:color w:val="000000" w:themeColor="text1"/>
          <w:sz w:val="24"/>
          <w:szCs w:val="24"/>
        </w:rPr>
        <w:t xml:space="preserve">. </w:t>
      </w:r>
      <w:r w:rsidRPr="006505CF">
        <w:rPr>
          <w:rFonts w:ascii="Times New Roman" w:hAnsi="Times New Roman" w:cs="Times New Roman"/>
          <w:sz w:val="24"/>
          <w:szCs w:val="24"/>
        </w:rPr>
        <w:t xml:space="preserve">A study highlighted the impact that chronic diseases </w:t>
      </w:r>
      <w:r w:rsidR="0031556E" w:rsidRPr="006505CF">
        <w:rPr>
          <w:rFonts w:ascii="Times New Roman" w:hAnsi="Times New Roman" w:cs="Times New Roman"/>
          <w:sz w:val="24"/>
          <w:szCs w:val="24"/>
        </w:rPr>
        <w:t xml:space="preserve">management related to </w:t>
      </w:r>
      <w:r w:rsidRPr="006505CF">
        <w:rPr>
          <w:rFonts w:ascii="Times New Roman" w:hAnsi="Times New Roman" w:cs="Times New Roman"/>
          <w:sz w:val="24"/>
          <w:szCs w:val="24"/>
        </w:rPr>
        <w:t>one's sense of self-efficacy</w:t>
      </w:r>
      <w:r w:rsidR="0031556E"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{"citationItems":[{"id":"ITEM-1","itemData":{"DOI":"10.1186/1471-2458-13-452","ISSN":"1471-2458","abstract":"There currently exists a vast amount of literature concerning chronic illness self-management, however the developmental patterns and sustainability of self-management over time remain largely unknown. This paper aims to describe the patterns by which different chronic illness self-management behaviors develop and are maintained over time.","author":[{"dropping-particle":"","family":"Audulv","given":"Åsa","non-dropping-particle":"","parse-names":false,"suffix":""}],"container-title":"BMC Public Health","id":"ITEM-1","issue":"1","issued":{"date-parts":[["2013"]]},"page":"452","title":"The over time development of chronic illness self-management patterns: a longitudinal qualitative study","type":"article-journal","volume":"13"},"uris":["http://www.mendeley.com/documents/?uuid=ec503fe0-72c6-4501-bd5e-8b5f6775d11e"]}],"mendeley":{"formattedCitation":"(25)","plainTextFormattedCitation":"(25)","previouslyFormattedCitation":"(Audulv, 2013)"},"properties":{"noteIndex":0},"schema":"https://github.com/citation-style-language/schema/raw/master/csl-citation.json"}</w:instrText>
      </w:r>
      <w:r w:rsidR="0031556E"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(25)</w:t>
      </w:r>
      <w:r w:rsidR="0031556E" w:rsidRPr="006505CF">
        <w:rPr>
          <w:rFonts w:ascii="Times New Roman" w:hAnsi="Times New Roman" w:cs="Times New Roman"/>
          <w:sz w:val="24"/>
          <w:szCs w:val="24"/>
        </w:rPr>
        <w:fldChar w:fldCharType="end"/>
      </w:r>
      <w:r w:rsidRPr="006505CF">
        <w:rPr>
          <w:rFonts w:ascii="Times New Roman" w:hAnsi="Times New Roman" w:cs="Times New Roman"/>
          <w:sz w:val="24"/>
          <w:szCs w:val="24"/>
        </w:rPr>
        <w:t xml:space="preserve">. According to the findings of </w:t>
      </w:r>
      <w:r w:rsidR="0031556E" w:rsidRPr="006505CF">
        <w:rPr>
          <w:rFonts w:ascii="Times New Roman" w:hAnsi="Times New Roman" w:cs="Times New Roman"/>
          <w:sz w:val="24"/>
          <w:szCs w:val="24"/>
        </w:rPr>
        <w:t>a</w:t>
      </w:r>
      <w:r w:rsidRPr="006505CF">
        <w:rPr>
          <w:rFonts w:ascii="Times New Roman" w:hAnsi="Times New Roman" w:cs="Times New Roman"/>
          <w:sz w:val="24"/>
          <w:szCs w:val="24"/>
        </w:rPr>
        <w:t xml:space="preserve"> study, people who have chronic diseases frequently have to deal with persistent health issues, which can have an influence on their confidence in their capacity to properly manage their symptoms</w:t>
      </w:r>
      <w:r w:rsidR="0031556E"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{"citationItems":[{"id":"ITEM-1","itemData":{"ISSN":"1715-5258 (Electronic)","PMID":"25642490","abstract":"OBJECTIVE: To explore the perspectives of patients who live with multiple chronic  conditions as they relate to the challenges of self-management. DATA SOURCES: On September 30, 2013, we searched MEDLINE, EMBASE, and CINAHL using relevant key words including chronic disease, comorbidity, multimorbidity, multiple chronic conditions, self-care, self-management, perspective, and perception. STUDY SELECTION: Three reviewers assessed and extracted the data from the included studies after study quality was rated. Qualitative thematic synthesis method was then used to identify common themes. Twenty-three articles met the inclusion criteria, with most coming from the United States. SYNTHESIS: Important themes raised by people living with multiple chronic conditions related to their ability to self-manage included living with undesirable physical and emotional symptoms, with pain and depression highlighted. Issues with conflicting knowledge, access to care, and communication with health care providers were raised. The use of cognitive strategies, including reframing, prioritizing, and changing beliefs, was reported to improve people's ability to self-manage their multiple chronic conditions. CONCLUSION: This study provides a unique view into patients' perspectives of living with multiple chronic conditions, which are clearly linked to common functional challenges as opposed to specific diseases. Future policy and programming in self-management support should be better aligned with patients' perspectives on living with multiple chronic conditions. This might be achieved by ensuring a more patient-centred approach is adopted by providers and health service organizations.","author":[{"dropping-particle":"","family":"Liddy","given":"Clare","non-dropping-particle":"","parse-names":false,"suffix":""},{"dropping-particle":"","family":"Blazkho","given":"Valerie","non-dropping-particle":"","parse-names":false,"suffix":""},{"dropping-particle":"","family":"Mill","given":"Karina","non-dropping-particle":"","parse-names":false,"suffix":""}],"container-title":"Canadian family physician Medecin de famille canadien","id":"ITEM-1","issue":"12","issued":{"date-parts":[["2014","12"]]},"language":"eng","page":"1123-1133","publisher-place":"Canada","title":"Challenges of self-management when living with multiple chronic conditions:  systematic review of the qualitative literature.","type":"article-journal","volume":"60"},"uris":["http://www.mendeley.com/documents/?uuid=bdfc69fe-4d95-4c0d-8ee3-3e6e7ca9c121"]}],"mendeley":{"formattedCitation":"(26)","plainTextFormattedCitation":"(26)","previouslyFormattedCitation":"(Liddy et al., 2014)"},"properties":{"noteIndex":0},"schema":"https://github.com/citation-style-language/schema/raw/master/csl-citation.json"}</w:instrText>
      </w:r>
      <w:r w:rsidR="0031556E"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(26)</w:t>
      </w:r>
      <w:r w:rsidR="0031556E" w:rsidRPr="006505CF">
        <w:rPr>
          <w:rFonts w:ascii="Times New Roman" w:hAnsi="Times New Roman" w:cs="Times New Roman"/>
          <w:sz w:val="24"/>
          <w:szCs w:val="24"/>
        </w:rPr>
        <w:fldChar w:fldCharType="end"/>
      </w:r>
      <w:r w:rsidRPr="006505CF">
        <w:rPr>
          <w:rFonts w:ascii="Times New Roman" w:hAnsi="Times New Roman" w:cs="Times New Roman"/>
          <w:sz w:val="24"/>
          <w:szCs w:val="24"/>
        </w:rPr>
        <w:t>. This lends credence to the idea that chronic diseases can have a major impact on a person's sense of their own ability</w:t>
      </w:r>
      <w:r w:rsidR="0031556E"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{"citationItems":[{"id":"ITEM-1","itemData":{"DOI":"10.1136/ewjm.172.2.124","ISSN":"0093-0415 (Print)","PMID":"10693376","author":[{"dropping-particle":"","family":"Turner","given":"J","non-dropping-particle":"","parse-names":false,"suffix":""},{"dropping-particle":"","family":"Kelly","given":"B","non-dropping-particle":"","parse-names":false,"suffix":""}],"container-title":"The Western journal of medicine","id":"ITEM-1","issue":"2","issued":{"date-parts":[["2000","2"]]},"language":"eng","page":"124-128","publisher-place":"United States","title":"Emotional dimensions of chronic disease.","type":"article-journal","volume":"172"},"uris":["http://www.mendeley.com/documents/?uuid=8936c5e5-305a-44d8-8e8a-6bb18184e194"]}],"mendeley":{"formattedCitation":"(27)","plainTextFormattedCitation":"(27)","previouslyFormattedCitation":"(Turner &amp; Kelly, 2000)"},"properties":{"noteIndex":0},"schema":"https://github.com/citation-style-language/schema/raw/master/csl-citation.json"}</w:instrText>
      </w:r>
      <w:r w:rsidR="0031556E"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(27)</w:t>
      </w:r>
      <w:r w:rsidR="0031556E" w:rsidRPr="006505CF">
        <w:rPr>
          <w:rFonts w:ascii="Times New Roman" w:hAnsi="Times New Roman" w:cs="Times New Roman"/>
          <w:sz w:val="24"/>
          <w:szCs w:val="24"/>
        </w:rPr>
        <w:fldChar w:fldCharType="end"/>
      </w:r>
      <w:r w:rsidR="00EA6294"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{"citationItems":[{"id":"ITEM-1","itemData":{"DOI":"10.1093/geronb/gbt036","ISSN":"1758-5368 (Electronic)","PMID":"23685925","abstract":"OBJECTIVE: Personality traits have been associated with chronic disease. Less is  known about the longitudinal relation between personality and disease and whether chronic disease is associated with changes in personality. Method. Participants from the Baltimore Longitudinal Study of Aging (N = 2,008) completed the Revised NEO Personality Inventory and a standard medical interview at regularly scheduled visits; the Charlson Comorbidity Index, a weighted sum of 19 serious diseases, was derived from this interview. Using data from 6,685 visits, we tested whether personality increased risk of disease and whether disease was associated with personality change. RESULTS: Measured concurrently, neuroticism and conscientiousness were associated with greater disease burden. The impulsiveness facet of neuroticism was the strongest predictor of developing disease across the follow-up period: For every standard deviation increase in impulsiveness, there was a 26% increased risk of developing disease and a 36% increased risk of getting more ill. Personality traits changed only modestly with disease: As participants developed chronic illnesses, they became more conservative (decreased openness). Discussion. This research indicates that personality traits confer risk for disease, in part, through health-risk behaviors. These traits, however, were relatively resistant to the effect of serious disease.","author":[{"dropping-particle":"","family":"Sutin","given":"Angelina R","non-dropping-particle":"","parse-names":false,"suffix":""},{"dropping-particle":"","family":"Zonderman","given":"Alan B","non-dropping-particle":"","parse-names":false,"suffix":""},{"dropping-particle":"","family":"Ferrucci","given":"Luigi","non-dropping-particle":"","parse-names":false,"suffix":""},{"dropping-particle":"","family":"Terracciano","given":"Antonio","non-dropping-particle":"","parse-names":false,"suffix":""}],"container-title":"The journals of gerontology. Series B, Psychological sciences and social sciences","id":"ITEM-1","issue":"6","issued":{"date-parts":[["2013","11"]]},"language":"eng","page":"912-920","publisher-place":"United States","title":"Personality traits and chronic disease: implications for adult personality  development.","type":"article-journal","volume":"68"},"uris":["http://www.mendeley.com/documents/?uuid=4d505c8b-50ff-4254-8230-5560ce9e4188"]}],"mendeley":{"formattedCitation":"(28)","plainTextFormattedCitation":"(28)","previouslyFormattedCitation":"(Sutin et al., 2013)"},"properties":{"noteIndex":0},"schema":"https://github.com/citation-style-language/schema/raw/master/csl-citation.json"}</w:instrText>
      </w:r>
      <w:r w:rsidR="00EA6294"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(28)</w:t>
      </w:r>
      <w:r w:rsidR="00EA6294" w:rsidRPr="006505CF">
        <w:rPr>
          <w:rFonts w:ascii="Times New Roman" w:hAnsi="Times New Roman" w:cs="Times New Roman"/>
          <w:sz w:val="24"/>
          <w:szCs w:val="24"/>
        </w:rPr>
        <w:fldChar w:fldCharType="end"/>
      </w:r>
      <w:r w:rsidRPr="006505CF">
        <w:rPr>
          <w:rFonts w:ascii="Times New Roman" w:hAnsi="Times New Roman" w:cs="Times New Roman"/>
          <w:sz w:val="24"/>
          <w:szCs w:val="24"/>
        </w:rPr>
        <w:t>. In addition, nutrition plays in self-efficacy among people who are living with chronic conditions</w:t>
      </w:r>
      <w:r w:rsidR="004831E6" w:rsidRPr="006505CF">
        <w:rPr>
          <w:rFonts w:ascii="Times New Roman" w:hAnsi="Times New Roman" w:cs="Times New Roman"/>
          <w:sz w:val="24"/>
          <w:szCs w:val="24"/>
        </w:rPr>
        <w:t xml:space="preserve"> </w:t>
      </w:r>
      <w:r w:rsidR="00EA6294"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{"citationItems":[{"id":"ITEM-1","itemData":{"DOI":"10.1186/s13690-021-00533-3","ISSN":"0778-7367 (Print)","PMID":"33517902","abstract":"BACKGROUND: It has previously been established that patients who have strong  barriers to their diet self-management are more likely to have weak social support; however, the key mechanisms underlying the association between these two variables have not yet been established. This study aims to examine the potential role that diet self-efficacy plays in the relationship between social support and diet behavior in patients with type 2 diabetes mellitus (T2DM). METHODS: It was a cross-sectional survey. Three hundred-eighty patients diagnosed with T2DM were recruited for this study from five community health centers in China. The Chronic Disease Resource Scale (CIRS), Cardiac Diet Self-efficacy Scale (CDSE), and Food Control Behavior Scale (FCBS) were used to estimate participants' utilization of social resources, diet self-efficacy, and diet self-management, respectively. The data were analyzed utilizing structural equation modelling. RESULTS: The results suggest that both higher levels of social support and diet self-efficacy are related to higher levels of diet self-management. The mediating effect that diet self-efficacy has on the relationship between social support and diet self-management was significant (β = .30, p &lt; .05), explaining 55.68% of the total effect of social support on diet self-management. CONCLUSIONS: Diet self-efficacy plays a mediating role in the association between social support and diet behavior in patients with type 2 diabetes mellitus.","author":[{"dropping-particle":"","family":"Yang","given":"Li","non-dropping-particle":"","parse-names":false,"suffix":""},{"dropping-particle":"","family":"Li","given":"Kun","non-dropping-particle":"","parse-names":false,"suffix":""},{"dropping-particle":"","family":"Liang","given":"Yan","non-dropping-particle":"","parse-names":false,"suffix":""},{"dropping-particle":"","family":"Zhao","given":"Qiuli","non-dropping-particle":"","parse-names":false,"suffix":""},{"dropping-particle":"","family":"Cui","given":"Dan","non-dropping-particle":"","parse-names":false,"suffix":""},{"dropping-particle":"","family":"Zhu","given":"Xuemei","non-dropping-particle":"","parse-names":false,"suffix":""}],"container-title":"Archives of public health = Archives belges de sante publique","id":"ITEM-1","issue":"1","issued":{"date-parts":[["2021","1"]]},"language":"eng","page":"14","publisher-place":"England","title":"Mediating role diet self-efficacy plays in the relationship between social  support and diet self-management for patients with type 2 diabetes.","type":"article-journal","volume":"79"},"uris":["http://www.mendeley.com/documents/?uuid=7060e812-f516-4745-b445-921f5894a99a"]}],"mendeley":{"formattedCitation":"(29)","plainTextFormattedCitation":"(29)","previouslyFormattedCitation":"(Yang et al., 2021)"},"properties":{"noteIndex":0},"schema":"https://github.com/citation-style-language/schema/raw/master/csl-citation.json"}</w:instrText>
      </w:r>
      <w:r w:rsidR="00EA6294"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(29)</w:t>
      </w:r>
      <w:r w:rsidR="00EA6294" w:rsidRPr="006505CF">
        <w:rPr>
          <w:rFonts w:ascii="Times New Roman" w:hAnsi="Times New Roman" w:cs="Times New Roman"/>
          <w:sz w:val="24"/>
          <w:szCs w:val="24"/>
        </w:rPr>
        <w:fldChar w:fldCharType="end"/>
      </w:r>
      <w:r w:rsidRPr="006505CF">
        <w:rPr>
          <w:rFonts w:ascii="Times New Roman" w:hAnsi="Times New Roman" w:cs="Times New Roman"/>
          <w:sz w:val="24"/>
          <w:szCs w:val="24"/>
        </w:rPr>
        <w:t xml:space="preserve">. </w:t>
      </w:r>
      <w:r w:rsidR="00EA6294" w:rsidRPr="006505CF">
        <w:rPr>
          <w:rFonts w:ascii="Times New Roman" w:hAnsi="Times New Roman" w:cs="Times New Roman"/>
          <w:sz w:val="24"/>
          <w:szCs w:val="24"/>
        </w:rPr>
        <w:t>P</w:t>
      </w:r>
      <w:r w:rsidRPr="006505CF">
        <w:rPr>
          <w:rFonts w:ascii="Times New Roman" w:hAnsi="Times New Roman" w:cs="Times New Roman"/>
          <w:sz w:val="24"/>
          <w:szCs w:val="24"/>
        </w:rPr>
        <w:t>atients' confidence in their ability to control their diseases was favorably influenced by adopting a healthy diet</w:t>
      </w:r>
      <w:r w:rsidR="00EA6294" w:rsidRPr="006505CF">
        <w:rPr>
          <w:rFonts w:ascii="Times New Roman" w:hAnsi="Times New Roman" w:cs="Times New Roman"/>
          <w:sz w:val="24"/>
          <w:szCs w:val="24"/>
        </w:rPr>
        <w:t xml:space="preserve"> </w:t>
      </w:r>
      <w:r w:rsidR="00EA6294"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{"citationItems":[{"id":"ITEM-1","itemData":{"DOI":"10.3389/fpsyg.2022.863861","ISSN":"1664-1078 (Print)","PMID":"35769727","abstract":"BACKGROUND: The increased burden of diabetes affects the quality of life,  including psychosocial problems. The study aims to compare the psychological well-being of individuals who are prediabetic, diabetic, or non-diabetic. METHODS: A cross-sectional exploratory study was conducted from January to June 2016 (n = 1,019) in Al Kharj, Saudi Arabia. After consent and questionnaires were filled out, trained staff took blood samples followed by anthropometry. Chi-squared tests, one-way ANOVA, and multiple linear regression analyses were conducted to examine the association between diabetes classes defined by HbA1c cut-off levels set by the American Diabetes Association (three categories), individual items, and total score in general health questionnaire (GHQ). An ROC curve was plotted for the total GHQ-12 score against HbA1c. FINDINGS: The mean GHQ score for psychological distress was significantly higher (F = 6.569, P = 0.038) in the diabetics (mean = 14.7) and the prediabetics (12.4) than in the non-diabetics (10.71). Four out of six positive GHQ items and three out of six negative GHQ items significantly differed among the three classes of diabetes. The adjusted multivariate analysis revealed that people with diabetes were most likely to report psychological distress compared to non-diabetics (unstandardized beta = 2.414; P = 0.037). The AUC examining the relationship between HBA1c and GHQ scores showed a moderate but statistically insignificant sensitivity/specificity of 0.643 (P = 0.23). CONCLUSION: This study demonstrates that psychological wellbeing is substantially poorer among diabetic or prediabetic individuals than non-diabetic individuals. Future longitudinal studies are required to examine a plausible causal relationship between diabetes/prediabetes and psychological distress.","author":[{"dropping-particle":"","family":"Aldossari","given":"Khaled K","non-dropping-particle":"","parse-names":false,"suffix":""},{"dropping-particle":"","family":"Shubair","given":"Mamdouh M","non-dropping-particle":"","parse-names":false,"suffix":""},{"dropping-particle":"","family":"Al-Ghamdi","given":"Sameer H","non-dropping-particle":"","parse-names":false,"suffix":""},{"dropping-particle":"","family":"Alduraywish","given":"Abdulrahman A","non-dropping-particle":"","parse-names":false,"suffix":""},{"dropping-particle":"","family":"Almeshari","given":"Alhanouf Abdullah","non-dropping-particle":"","parse-names":false,"suffix":""},{"dropping-particle":"","family":"Alrasheed","given":"Abdullah A","non-dropping-particle":"","parse-names":false,"suffix":""},{"dropping-particle":"","family":"Aldahash","given":"Raed","non-dropping-particle":"","parse-names":false,"suffix":""},{"dropping-particle":"","family":"Angawi","given":"Khadijah","non-dropping-particle":"","parse-names":false,"suffix":""},{"dropping-particle":"","family":"Gaissi","given":"Anood","non-dropping-particle":"","parse-names":false,"suffix":""},{"dropping-particle":"","family":"Alhumud","given":"Hana Abdullah","non-dropping-particle":"","parse-names":false,"suffix":""},{"dropping-particle":"","family":"El-Metwally","given":"Ashraf","non-dropping-particle":"","parse-names":false,"suffix":""}],"container-title":"Frontiers in psychology","id":"ITEM-1","issued":{"date-parts":[["2022"]]},"language":"eng","page":"863861","publisher-place":"Switzerland","title":"Psychological Wellbeing of Diabetic Individuals, Prediabetics, and Non-diabetics:  A Population-Based Study in Saudi Arabia.","type":"article-journal","volume":"13"},"uris":["http://www.mendeley.com/documents/?uuid=376cd7dc-004e-46dc-96cd-2d4b43b5766b"]}],"mendeley":{"formattedCitation":"(30)","plainTextFormattedCitation":"(30)","previouslyFormattedCitation":"(Aldossari et al., 2022)"},"properties":{"noteIndex":0},"schema":"https://github.com/citation-style-language/schema/raw/master/csl-citation.json"}</w:instrText>
      </w:r>
      <w:r w:rsidR="00EA6294"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(30)</w:t>
      </w:r>
      <w:r w:rsidR="00EA6294" w:rsidRPr="006505CF">
        <w:rPr>
          <w:rFonts w:ascii="Times New Roman" w:hAnsi="Times New Roman" w:cs="Times New Roman"/>
          <w:sz w:val="24"/>
          <w:szCs w:val="24"/>
        </w:rPr>
        <w:fldChar w:fldCharType="end"/>
      </w:r>
      <w:r w:rsidRPr="006505CF">
        <w:rPr>
          <w:rFonts w:ascii="Times New Roman" w:hAnsi="Times New Roman" w:cs="Times New Roman"/>
          <w:sz w:val="24"/>
          <w:szCs w:val="24"/>
        </w:rPr>
        <w:t>. This is in line with the findings of the current study, which found that nutrition was a key factor that impacted self-efficacy. In yet another piece of research, looked into the connection that people with chronic conditions have between doing regular exercise and feeling confident in their ability to manage their health</w:t>
      </w:r>
      <w:r w:rsidR="004831E6" w:rsidRPr="006505CF">
        <w:rPr>
          <w:rFonts w:ascii="Times New Roman" w:hAnsi="Times New Roman" w:cs="Times New Roman"/>
          <w:sz w:val="24"/>
          <w:szCs w:val="24"/>
        </w:rPr>
        <w:t xml:space="preserve"> </w:t>
      </w:r>
      <w:r w:rsidR="00BB129D"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{"citationItems":[{"id":"ITEM-1","itemData":{"DOI":"10.1186/s12875-020-01298-4","ISSN":"1471-2296","abstract":"Chronic illnesses are the leading cause of morbidity and mortality and threaten the sustainability of healthcare systems worldwide. There is limited evidence in terms of the best modality and intensity of physical activity for improving cardiorespiratory capacity and quality of life in patients with chronic conditions. The objective of the EfiKroniK study is to estimate the common effect of innovative, individualized and supervised physical exercise, on cardiorespiratory functional capacity and quality of life across people with different chronic conditions.","author":[{"dropping-particle":"","family":"Arietaleanizbeaskoa","given":"María Soledad","non-dropping-particle":"","parse-names":false,"suffix":""},{"dropping-particle":"","family":"Sancho","given":"Aintzane","non-dropping-particle":"","parse-names":false,"suffix":""},{"dropping-particle":"","family":"Olazabal","given":"Iñigo","non-dropping-particle":"","parse-names":false,"suffix":""},{"dropping-particle":"","family":"Moreno","given":"Concepcion","non-dropping-particle":"","parse-names":false,"suffix":""},{"dropping-particle":"","family":"Gil","given":"Erreka","non-dropping-particle":"","parse-names":false,"suffix":""},{"dropping-particle":"","family":"Garcia-Alvarez","given":"Arturo","non-dropping-particle":"","parse-names":false,"suffix":""},{"dropping-particle":"","family":"Mendizabal","given":"Nere","non-dropping-particle":"","parse-names":false,"suffix":""},{"dropping-particle":"","family":"la Fuente","given":"Ibon","non-dropping-particle":"de","parse-names":false,"suffix":""},{"dropping-particle":"","family":"Dominguez","given":"Silvia","non-dropping-particle":"","parse-names":false,"suffix":""},{"dropping-particle":"","family":"Pablo","given":"Susana","non-dropping-particle":"","parse-names":false,"suffix":""},{"dropping-particle":"","family":"Grandes","given":"Gonzalo","non-dropping-particle":"","parse-names":false,"suffix":""},{"dropping-particle":"","family":"Arietaleanizbeaskoa","given":"Maria Soledad","non-dropping-particle":"","parse-names":false,"suffix":""},{"dropping-particle":"","family":"Grandes","given":"Gonzalo","non-dropping-particle":"","parse-names":false,"suffix":""},{"dropping-particle":"","family":"Gil-Rey","given":"Erreka","non-dropping-particle":"","parse-names":false,"suffix":""},{"dropping-particle":"","family":"Pablo","given":"Susana","non-dropping-particle":"","parse-names":false,"suffix":""},{"dropping-particle":"","family":"García","given":"Arturo","non-dropping-particle":"","parse-names":false,"suffix":""},{"dropping-particle":"","family":"Mendizabal","given":"Nere","non-dropping-particle":"","parse-names":false,"suffix":""},{"dropping-particle":"","family":"la Fuente","given":"Ibon","non-dropping-particle":"de","parse-names":false,"suffix":""},{"dropping-particle":"","family":"Domínguez-Martinez","given":"Silvia","non-dropping-particle":"","parse-names":false,"suffix":""},{"dropping-particle":"","family":"group","given":"on behalf of the EfiKroniK","non-dropping-particle":"","parse-names":false,"suffix":""}],"container-title":"BMC Family Practice","id":"ITEM-1","issue":"1","issued":{"date-parts":[["2020"]]},"page":"227","title":"Effectiveness of physical exercise for people with chronic diseases: the EFIKRONIK study protocol for a hybrid, clinical and implementation randomized trial","type":"article-journal","volume":"21"},"uris":["http://www.mendeley.com/documents/?uuid=9fb0ec0d-823f-4d31-9337-0df2e9ee6511"]}],"mendeley":{"formattedCitation":"(31)","plainTextFormattedCitation":"(31)","previouslyFormattedCitation":"(Arietaleanizbeaskoa et al., 2020)"},"properties":{"noteIndex":0},"schema":"https://github.com/citation-style-language/schema/raw/master/csl-citation.json"}</w:instrText>
      </w:r>
      <w:r w:rsidR="00BB129D"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(31)</w:t>
      </w:r>
      <w:r w:rsidR="00BB129D" w:rsidRPr="006505CF">
        <w:rPr>
          <w:rFonts w:ascii="Times New Roman" w:hAnsi="Times New Roman" w:cs="Times New Roman"/>
          <w:sz w:val="24"/>
          <w:szCs w:val="24"/>
        </w:rPr>
        <w:fldChar w:fldCharType="end"/>
      </w:r>
      <w:r w:rsidRPr="006505CF">
        <w:rPr>
          <w:rFonts w:ascii="Times New Roman" w:hAnsi="Times New Roman" w:cs="Times New Roman"/>
          <w:sz w:val="24"/>
          <w:szCs w:val="24"/>
        </w:rPr>
        <w:t>. According to the findings of the study, those who engaged in regular physical activity saw the beneficial benefits of exercise on their health and well-being, which led to an increase in their levels of self-efficacy. This lends credence to the findings of the current study, which discovered that patients who engaged in regular physical activity had higher levels of self-efficacy. These data, taken as a whole, provide light on how important it is to address chronic conditions in order to improve patients' sense of self-efficacy. Because of the significant impact that they have on patients' levels of self-efficacy and general well-being, healthcare practitioners should place a primary emphasis on the provision of support and interventions that are geared towards the management of chronic diseases</w:t>
      </w:r>
      <w:r w:rsidR="00BB129D"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{"citationItems":[{"id":"ITEM-1","itemData":{"DOI":"10.2105/AJPH.2014.302041","ISSN":"1541-0048 (Electronic)","PMID":"24922170","abstract":"For both clinical and economic reasons, the increasing number of persons living  with chronic conditions represents a public health issue of growing importance. Emphasizing patient responsibility, and acting in concert with the provider community, self-management represents a promising strategy for treating chronic conditions-moving beyond education to teaching individuals to actively identify challenges and solve problems associated with their illness. Self-management also shows potential as an effective paradigm across the prevention spectrum (primary, secondary, and tertiary) by establishing a pattern for health early in life and providing strategies for mitigating illness and managing it in later life. We suggest ways to advance research methods and practical applications of self-management as steps in its future development and implementation.","author":[{"dropping-particle":"","family":"Grady","given":"Patricia A","non-dropping-particle":"","parse-names":false,"suffix":""},{"dropping-particle":"","family":"Gough","given":"Lisa Lucio","non-dropping-particle":"","parse-names":false,"suffix":""}],"container-title":"American journal of public health","id":"ITEM-1","issue":"8","issued":{"date-parts":[["2014","8"]]},"language":"eng","page":"e25-31","publisher-place":"United States","title":"Self-management: a comprehensive approach to management of chronic conditions.","type":"article-journal","volume":"104"},"uris":["http://www.mendeley.com/documents/?uuid=5055647b-e83b-44bd-9e95-e0ccae0af51b"]}],"mendeley":{"formattedCitation":"(32)","plainTextFormattedCitation":"(32)","previouslyFormattedCitation":"(Grady &amp; Gough, 2014)"},"properties":{"noteIndex":0},"schema":"https://github.com/citation-style-language/schema/raw/master/csl-citation.json"}</w:instrText>
      </w:r>
      <w:r w:rsidR="00BB129D"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(32)</w:t>
      </w:r>
      <w:r w:rsidR="00BB129D" w:rsidRPr="006505CF">
        <w:rPr>
          <w:rFonts w:ascii="Times New Roman" w:hAnsi="Times New Roman" w:cs="Times New Roman"/>
          <w:sz w:val="24"/>
          <w:szCs w:val="24"/>
        </w:rPr>
        <w:fldChar w:fldCharType="end"/>
      </w:r>
      <w:r w:rsidRPr="006505CF">
        <w:rPr>
          <w:rFonts w:ascii="Times New Roman" w:hAnsi="Times New Roman" w:cs="Times New Roman"/>
          <w:sz w:val="24"/>
          <w:szCs w:val="24"/>
        </w:rPr>
        <w:t>.</w:t>
      </w:r>
    </w:p>
    <w:p w14:paraId="42E388E1" w14:textId="63751B27" w:rsidR="00BE36F2" w:rsidRPr="006505CF" w:rsidRDefault="00BE36F2" w:rsidP="006505CF">
      <w:pPr>
        <w:pStyle w:val="NoSpacing"/>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lastRenderedPageBreak/>
        <w:t>Access to healthcare, mental health, air pollution, and chronic disease have all been the subject of several research, and those studies have all reported that there is a negative correlation between the four factors. Concerning access to healthcare, research has repeatedly demonstrated that a lack of access to healthcare services that are both economical and of high quality is connected with a higher prevalence of chronic diseases</w:t>
      </w:r>
      <w:r w:rsidR="004831E6" w:rsidRPr="006505CF">
        <w:rPr>
          <w:rFonts w:ascii="Times New Roman" w:hAnsi="Times New Roman" w:cs="Times New Roman"/>
          <w:sz w:val="24"/>
          <w:szCs w:val="24"/>
        </w:rPr>
        <w:t xml:space="preserve"> </w:t>
      </w:r>
      <w:r w:rsidR="00BB129D"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{"citationItems":[{"id":"ITEM-1","itemData":{"DOI":"10.1016/S2214-109X(18)30386-3","ISSN":"2214-109X (Electronic)","PMID":"30196093","author":[{"dropping-particle":"","family":"Kruk","given":"Margaret E","non-dropping-particle":"","parse-names":false,"suffix":""},{"dropping-particle":"","family":"Gage","given":"Anna D","non-dropping-particle":"","parse-names":false,"suffix":""},{"dropping-particle":"","family":"Arsenault","given":"Catherine","non-dropping-particle":"","parse-names":false,"suffix":""},{"dropping-particle":"","family":"Jordan","given":"Keely","non-dropping-particle":"","parse-names":false,"suffix":""},{"dropping-particle":"","family":"Leslie","given":"Hannah H","non-dropping-particle":"","parse-names":false,"suffix":""},{"dropping-particle":"","family":"Roder-DeWan","given":"Sanam","non-dropping-particle":"","parse-names":false,"suffix":""},{"dropping-particle":"","family":"Adeyi","given":"Olusoji","non-dropping-particle":"","parse-names":false,"suffix":""},{"dropping-particle":"","family":"Barker","given":"Pierre","non-dropping-particle":"","parse-names":false,"suffix":""},{"dropping-particle":"","family":"Daelmans","given":"Bernadette","non-dropping-particle":"","parse-names":false,"suffix":""},{"dropping-particle":"V","family":"Doubova","given":"Svetlana","non-dropping-particle":"","parse-names":false,"suffix":""},{"dropping-particle":"","family":"English","given":"Mike","non-dropping-particle":"","parse-names":false,"suffix":""},{"dropping-particle":"","family":"García-Elorrio","given":"Ezequiel","non-dropping-particle":"","parse-names":false,"suffix":""},{"dropping-particle":"","family":"Guanais","given":"Frederico","non-dropping-particle":"","parse-names":false,"suffix":""},{"dropping-particle":"","family":"Gureje","given":"Oye","non-dropping-particle":"","parse-names":false,"suffix":""},{"dropping-particle":"","family":"Hirschhorn","given":"Lisa R","non-dropping-particle":"","parse-names":false,"suffix":""},{"dropping-particle":"","family":"Jiang","given":"Lixin","non-dropping-particle":"","parse-names":false,"suffix":""},{"dropping-particle":"","family":"Kelley","given":"Edward","non-dropping-particle":"","parse-names":false,"suffix":""},{"dropping-particle":"","family":"Lemango","given":"Ephrem Tekle","non-dropping-particle":"","parse-names":false,"suffix":""},{"dropping-particle":"","family":"Liljestrand","given":"Jerker","non-dropping-particle":"","parse-names":false,"suffix":""},{"dropping-particle":"","family":"Malata","given":"Address","non-dropping-particle":"","parse-names":false,"suffix":""},{"dropping-particle":"","family":"Marchant","given":"Tanya","non-dropping-particle":"","parse-names":false,"suffix":""},{"dropping-particle":"","family":"Matsoso","given":"Malebona Precious","non-dropping-particle":"","parse-names":false,"suffix":""},{"dropping-particle":"","family":"Meara","given":"John G","non-dropping-particle":"","parse-names":false,"suffix":""},{"dropping-particle":"","family":"Mohanan","given":"Manoj","non-dropping-particle":"","parse-names":false,"suffix":""},{"dropping-particle":"","family":"Ndiaye","given":"Youssoupha","non-dropping-particle":"","parse-names":false,"suffix":""},{"dropping-particle":"","family":"Norheim","given":"Ole F","non-dropping-particle":"","parse-names":false,"suffix":""},{"dropping-particle":"","family":"Reddy","given":"K Srinath","non-dropping-particle":"","parse-names":false,"suffix":""},{"dropping-particle":"","family":"Rowe","given":"Alexander K","non-dropping-particle":"","parse-names":false,"suffix":""},{"dropping-particle":"","family":"Salomon","given":"Joshua A","non-dropping-particle":"","parse-names":false,"suffix":""},{"dropping-particle":"","family":"Thapa","given":"Gagan","non-dropping-particle":"","parse-names":false,"suffix":""},{"dropping-particle":"","family":"Twum-Danso","given":"Nana A Y","non-dropping-particle":"","parse-names":false,"suffix":""},{"dropping-particle":"","family":"Pate","given":"Muhammad","non-dropping-particle":"","parse-names":false,"suffix":""}],"container-title":"The Lancet. Global health","id":"ITEM-1","issue":"11","issued":{"date-parts":[["2018","11"]]},"language":"eng","page":"e1196-e1252","publisher-place":"England","title":"High-quality health systems in the Sustainable Development Goals era: time for a  revolution.","type":"article-journal","volume":"6"},"uris":["http://www.mendeley.com/documents/?uuid=982a4759-3468-4a37-9d28-a5b1307acec1"]}],"mendeley":{"formattedCitation":"(33)","plainTextFormattedCitation":"(33)","previouslyFormattedCitation":"(Kruk et al., 2018)"},"properties":{"noteIndex":0},"schema":"https://github.com/citation-style-language/schema/raw/master/csl-citation.json"}</w:instrText>
      </w:r>
      <w:r w:rsidR="00BB129D"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(33)</w:t>
      </w:r>
      <w:r w:rsidR="00BB129D" w:rsidRPr="006505CF">
        <w:rPr>
          <w:rFonts w:ascii="Times New Roman" w:hAnsi="Times New Roman" w:cs="Times New Roman"/>
          <w:sz w:val="24"/>
          <w:szCs w:val="24"/>
        </w:rPr>
        <w:fldChar w:fldCharType="end"/>
      </w:r>
      <w:r w:rsidRPr="006505CF">
        <w:rPr>
          <w:rFonts w:ascii="Times New Roman" w:hAnsi="Times New Roman" w:cs="Times New Roman"/>
          <w:sz w:val="24"/>
          <w:szCs w:val="24"/>
        </w:rPr>
        <w:t>. As an illustration, conducted a study in which they discovered that people who lacked adequate access to healthcare were more likely to have uncontrolled chronic diseases in comparison to those who had greater access</w:t>
      </w:r>
      <w:r w:rsidR="004831E6" w:rsidRPr="006505CF">
        <w:rPr>
          <w:rFonts w:ascii="Times New Roman" w:hAnsi="Times New Roman" w:cs="Times New Roman"/>
          <w:sz w:val="24"/>
          <w:szCs w:val="24"/>
        </w:rPr>
        <w:t xml:space="preserve"> </w:t>
      </w:r>
      <w:r w:rsidR="00BB129D"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{"citationItems":[{"id":"ITEM-1","itemData":{"DOI":"10.2105/AJPH.2015.302925","ISSN":"1541-0048 (Electronic)","PMID":"26562119","abstract":"OBJECTIVES: We sought to determine the association between Medicaid coverage and  the receipt of appropriate clinical care. METHODS: Using the 1999 to 2012 National Health and Nutritional Examination Surveys, we identified adults aged 18 to 64 years with incomes below the federal poverty level, and compared outpatient visit frequency, awareness, and control of chronic diseases between the uninsured (n = 2975) and those who had Medicaid (n = 1485). RESULTS: Respondents with Medicaid were more likely than the uninsured to have at least 1 outpatient physician visit annually, after we controlled for patient characteristics (odds ratio [OR] = 5.0; 95% confidence interval [CI] = 3.8, 6.6). Among poor persons with evidence of hypertension, Medicaid coverage was associated with greater awareness (OR = 1.83; 95% CI = 1.26, 2.66) and control (OR = 1.69; 95% CI = 1.32, 2.27) of their condition. Medicaid coverage was also associated with awareness of being overweight (OR = 1.30; 95% CI = 1.02, 1.67), but not with awareness or control of diabetes or hypercholesterolemia. CONCLUSIONS: Among poor adults nationally, Medicaid coverage appears to facilitate outpatient physician care and to improve blood pressure control.","author":[{"dropping-particle":"","family":"Christopher","given":"Andrea S","non-dropping-particle":"","parse-names":false,"suffix":""},{"dropping-particle":"","family":"McCormick","given":"Danny","non-dropping-particle":"","parse-names":false,"suffix":""},{"dropping-particle":"","family":"Woolhandler","given":"Steffie","non-dropping-particle":"","parse-names":false,"suffix":""},{"dropping-particle":"","family":"Himmelstein","given":"David U","non-dropping-particle":"","parse-names":false,"suffix":""},{"dropping-particle":"","family":"Bor","given":"David H","non-dropping-particle":"","parse-names":false,"suffix":""},{"dropping-particle":"","family":"Wilper","given":"Andrew P","non-dropping-particle":"","parse-names":false,"suffix":""}],"container-title":"American journal of public health","id":"ITEM-1","issue":"1","issued":{"date-parts":[["2016","1"]]},"language":"eng","page":"63-69","publisher-place":"United States","title":"Access to Care and Chronic Disease Outcomes Among Medicaid-Insured Persons Versus  the Uninsured.","type":"article-journal","volume":"106"},"uris":["http://www.mendeley.com/documents/?uuid=a1675d0b-49a6-4016-a125-750e7affb4c4"]}],"mendeley":{"formattedCitation":"(34)","plainTextFormattedCitation":"(34)","previouslyFormattedCitation":"(Christopher et al., 2016)"},"properties":{"noteIndex":0},"schema":"https://github.com/citation-style-language/schema/raw/master/csl-citation.json"}</w:instrText>
      </w:r>
      <w:r w:rsidR="00BB129D"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(34)</w:t>
      </w:r>
      <w:r w:rsidR="00BB129D" w:rsidRPr="006505CF">
        <w:rPr>
          <w:rFonts w:ascii="Times New Roman" w:hAnsi="Times New Roman" w:cs="Times New Roman"/>
          <w:sz w:val="24"/>
          <w:szCs w:val="24"/>
        </w:rPr>
        <w:fldChar w:fldCharType="end"/>
      </w:r>
      <w:r w:rsidRPr="006505CF">
        <w:rPr>
          <w:rFonts w:ascii="Times New Roman" w:hAnsi="Times New Roman" w:cs="Times New Roman"/>
          <w:sz w:val="24"/>
          <w:szCs w:val="24"/>
        </w:rPr>
        <w:t>. In</w:t>
      </w:r>
      <w:r w:rsidR="00BB129D" w:rsidRPr="006505CF">
        <w:rPr>
          <w:rFonts w:ascii="Times New Roman" w:hAnsi="Times New Roman" w:cs="Times New Roman"/>
          <w:sz w:val="24"/>
          <w:szCs w:val="24"/>
        </w:rPr>
        <w:t xml:space="preserve"> </w:t>
      </w:r>
      <w:r w:rsidRPr="006505CF">
        <w:rPr>
          <w:rFonts w:ascii="Times New Roman" w:hAnsi="Times New Roman" w:cs="Times New Roman"/>
          <w:sz w:val="24"/>
          <w:szCs w:val="24"/>
        </w:rPr>
        <w:t>a comprehensive study in which they found that decreased access to healthcare services was connected with increasing incidence of chronic diseases such as cardiovascular diseases and diabetes</w:t>
      </w:r>
      <w:r w:rsidR="004831E6" w:rsidRPr="006505CF">
        <w:rPr>
          <w:rFonts w:ascii="Times New Roman" w:hAnsi="Times New Roman" w:cs="Times New Roman"/>
          <w:sz w:val="24"/>
          <w:szCs w:val="24"/>
        </w:rPr>
        <w:t xml:space="preserve"> </w:t>
      </w:r>
      <w:r w:rsidR="004D3316"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{"citationItems":[{"id":"ITEM-1","itemData":{"DOI":"10.4239/wjd.v6.i13.1246","ISSN":"1948-9358 (Print)","PMID":"26468341","abstract":"The incidence of diabetes mellitus (DM) continues to rise and has quickly become  one of the most prevalent and costly chronic diseases worldwide. A close link exists between DM and cardiovascular disease (CVD), which is the most prevalent cause of morbidity and mortality in diabetic patients. Cardiovascular (CV) risk factors such as obesity, hypertension and dyslipidemia are common in patients with DM, placing them at increased risk for cardiac events. In addition, many studies have found biological mechanisms associated with DM that independently increase the risk of CVD in diabetic patients. Therefore, targeting CV risk factors in patients with DM is critical to minimize the long-term CV complications of the disease. This paper summarizes the relationship between diabetes and CVD, examines possible mechanisms of disease progression, discusses current treatment recommendations, and outlines future research directions.","author":[{"dropping-particle":"","family":"Leon","given":"Benjamin M","non-dropping-particle":"","parse-names":false,"suffix":""},{"dropping-particle":"","family":"Maddox","given":"Thomas M","non-dropping-particle":"","parse-names":false,"suffix":""}],"container-title":"World journal of diabetes","id":"ITEM-1","issue":"13","issued":{"date-parts":[["2015","10"]]},"language":"eng","page":"1246-1258","publisher-place":"United States","title":"Diabetes and cardiovascular disease: Epidemiology, biological mechanisms,  treatment recommendations and future research.","type":"article-journal","volume":"6"},"uris":["http://www.mendeley.com/documents/?uuid=61b9060b-509a-44b6-b49f-83cdff966193"]}],"mendeley":{"formattedCitation":"(35)","plainTextFormattedCitation":"(35)","previouslyFormattedCitation":"(Leon &amp; Maddox, 2015)"},"properties":{"noteIndex":0},"schema":"https://github.com/citation-style-language/schema/raw/master/csl-citation.json"}</w:instrText>
      </w:r>
      <w:r w:rsidR="004D3316"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(35)</w:t>
      </w:r>
      <w:r w:rsidR="004D3316" w:rsidRPr="006505CF">
        <w:rPr>
          <w:rFonts w:ascii="Times New Roman" w:hAnsi="Times New Roman" w:cs="Times New Roman"/>
          <w:sz w:val="24"/>
          <w:szCs w:val="24"/>
        </w:rPr>
        <w:fldChar w:fldCharType="end"/>
      </w:r>
      <w:r w:rsidRPr="006505CF">
        <w:rPr>
          <w:rFonts w:ascii="Times New Roman" w:hAnsi="Times New Roman" w:cs="Times New Roman"/>
          <w:sz w:val="24"/>
          <w:szCs w:val="24"/>
        </w:rPr>
        <w:t>.</w:t>
      </w:r>
    </w:p>
    <w:p w14:paraId="2E06FAB4" w14:textId="4B352D42" w:rsidR="00BE36F2" w:rsidRPr="006505CF" w:rsidRDefault="00BE36F2" w:rsidP="006505CF">
      <w:pPr>
        <w:pStyle w:val="NoSpacing"/>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t>Studies have shown that those who suffer from mental health problems, such as anxiety or depression, may be at a greater risk of getting chronic diseases or experiencing a worsening of existing chronic diseases than those who do not suffer from mental health disorders</w:t>
      </w:r>
      <w:r w:rsidR="004D3316" w:rsidRPr="006505CF">
        <w:rPr>
          <w:rFonts w:ascii="Times New Roman" w:hAnsi="Times New Roman" w:cs="Times New Roman"/>
          <w:sz w:val="24"/>
          <w:szCs w:val="24"/>
        </w:rPr>
        <w:t xml:space="preserve"> </w:t>
      </w:r>
      <w:r w:rsidR="004D3316"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{"citationItems":[{"id":"ITEM-1","itemData":{"DOI":"10.1136/ewjm.172.2.124","ISSN":"0093-0415 (Print)","PMID":"10693376","author":[{"dropping-particle":"","family":"Turner","given":"J","non-dropping-particle":"","parse-names":false,"suffix":""},{"dropping-particle":"","family":"Kelly","given":"B","non-dropping-particle":"","parse-names":false,"suffix":""}],"container-title":"The Western journal of medicine","id":"ITEM-1","issue":"2","issued":{"date-parts":[["2000","2"]]},"language":"eng","page":"124-128","publisher-place":"United States","title":"Emotional dimensions of chronic disease.","type":"article-journal","volume":"172"},"uris":["http://www.mendeley.com/documents/?uuid=8936c5e5-305a-44d8-8e8a-6bb18184e194"]}],"mendeley":{"formattedCitation":"(27)","plainTextFormattedCitation":"(27)","previouslyFormattedCitation":"(Turner &amp; Kelly, 2000)"},"properties":{"noteIndex":0},"schema":"https://github.com/citation-style-language/schema/raw/master/csl-citation.json"}</w:instrText>
      </w:r>
      <w:r w:rsidR="004D3316"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(27)</w:t>
      </w:r>
      <w:r w:rsidR="004D3316" w:rsidRPr="006505CF">
        <w:rPr>
          <w:rFonts w:ascii="Times New Roman" w:hAnsi="Times New Roman" w:cs="Times New Roman"/>
          <w:sz w:val="24"/>
          <w:szCs w:val="24"/>
        </w:rPr>
        <w:fldChar w:fldCharType="end"/>
      </w:r>
      <w:r w:rsidRPr="006505CF">
        <w:rPr>
          <w:rFonts w:ascii="Times New Roman" w:hAnsi="Times New Roman" w:cs="Times New Roman"/>
          <w:sz w:val="24"/>
          <w:szCs w:val="24"/>
        </w:rPr>
        <w:t>. For instance, the findings of a meta-analysis</w:t>
      </w:r>
      <w:r w:rsidR="004D3316" w:rsidRPr="006505CF">
        <w:rPr>
          <w:rFonts w:ascii="Times New Roman" w:hAnsi="Times New Roman" w:cs="Times New Roman"/>
          <w:sz w:val="24"/>
          <w:szCs w:val="24"/>
        </w:rPr>
        <w:t xml:space="preserve">, </w:t>
      </w:r>
      <w:r w:rsidRPr="006505CF">
        <w:rPr>
          <w:rFonts w:ascii="Times New Roman" w:hAnsi="Times New Roman" w:cs="Times New Roman"/>
          <w:sz w:val="24"/>
          <w:szCs w:val="24"/>
        </w:rPr>
        <w:t>depression was connected with an increased risk of developing chronic diseases such as heart disease, diabetes, and stroke</w:t>
      </w:r>
      <w:r w:rsidR="004D3316"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{"citationItems":[{"id":"ITEM-1","itemData":{"DOI":"10.4088/PCC.12r01468","ISSN":"2155-7772 (Print)","PMID":"23930236","abstract":"OBJECTIVE: To identify the growing significance of depression as a global leading  cause of years lost to disability and its role as a major independent risk factor in many chronic illnesses. The distinct effects of depression on morbidity and mortality in cancer, diabetes, heart disease, and stroke are investigated, including behavioral factors and plausible biological mechanisms (psychoneuroimmunology of depression). DATA SOURCES: PubMed articles in English were searched from 1992 to 2012 (20-year span) using the following search criteria: psychoneuroimmunology of depression, immune-mediated inflammation, depression treatment recommendations, depression screening, years lost to disability, underserved populations and depression, chronic illnesses and depression, and selective serotonin reuptake inhibitors and immune system. DATA SYNTHESIS: Evidence of the robust bidirectional relationship between depression and individual chronic diseases is presented and discussed. A brief overview of currently recommended psychotherapeutic and psychopharmacologic treatment approaches in regard to depression in chronic diseases is provided. RESULTS: Discordance between mental health and primary care within the US public health system is a systematic problem that must be addressed. This situation leads to a potentially high hidden prevalence of underdiagnosed and undertreated depression, especially in the underserved populations. CONCLUSION: Measures must be implemented across the communities of mental health and primary care practitioners in order to achieve a synergistic approach to depression.","author":[{"dropping-particle":"","family":"Voinov","given":"Boris","non-dropping-particle":"","parse-names":false,"suffix":""},{"dropping-particle":"","family":"Richie","given":"William D","non-dropping-particle":"","parse-names":false,"suffix":""},{"dropping-particle":"","family":"Bailey","given":"Rahn K","non-dropping-particle":"","parse-names":false,"suffix":""}],"container-title":"The primary care companion for CNS disorders","id":"ITEM-1","issue":"2","issued":{"date-parts":[["2013"]]},"language":"eng","publisher-place":"United States","title":"Depression and chronic diseases: it is time for a synergistic mental health and  primary care approach.","type":"article-journal","volume":"15"},"uris":["http://www.mendeley.com/documents/?uuid=bafc0f31-c495-408c-b5c1-71780d361c0a"]}],"mendeley":{"formattedCitation":"(36)","plainTextFormattedCitation":"(36)","previouslyFormattedCitation":"(Voinov et al., 2013)"},"properties":{"noteIndex":0},"schema":"https://github.com/citation-style-language/schema/raw/master/csl-citation.json"}</w:instrText>
      </w:r>
      <w:r w:rsidR="004D3316"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(36)</w:t>
      </w:r>
      <w:r w:rsidR="004D3316" w:rsidRPr="006505CF">
        <w:rPr>
          <w:rFonts w:ascii="Times New Roman" w:hAnsi="Times New Roman" w:cs="Times New Roman"/>
          <w:sz w:val="24"/>
          <w:szCs w:val="24"/>
        </w:rPr>
        <w:fldChar w:fldCharType="end"/>
      </w:r>
      <w:r w:rsidRPr="006505CF">
        <w:rPr>
          <w:rFonts w:ascii="Times New Roman" w:hAnsi="Times New Roman" w:cs="Times New Roman"/>
          <w:sz w:val="24"/>
          <w:szCs w:val="24"/>
        </w:rPr>
        <w:t>. Individuals who suffer from anxiety disorders have a higher risk of developing chronic diseases over time</w:t>
      </w:r>
      <w:r w:rsidR="00246701" w:rsidRPr="006505CF">
        <w:rPr>
          <w:rFonts w:ascii="Times New Roman" w:hAnsi="Times New Roman" w:cs="Times New Roman"/>
          <w:sz w:val="24"/>
          <w:szCs w:val="24"/>
        </w:rPr>
        <w:t xml:space="preserve"> </w:t>
      </w:r>
      <w:r w:rsidR="0024670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{"citationItems":[{"id":"ITEM-1","itemData":{"DOI":"10.1038/s41598-020-69427-8","ISSN":"2045-2322 (Electronic)","PMID":"32709910","abstract":"In a large German community sample of adults, we investigated the association of  chronic anxiousness with cardiovascular disease and mortality. Self-reported anxiousness from 11,643 German adults between 40 and 80 years of age from the Gutenberg Health Study (GHS) was analyzed over 5 years. Multivariable regression modeling assessed the relation between the variables, cardiovascular disease and mortality. Twelve percent of the participants reported consistently raised (chronic) anxiousness over at least 2.5 years. Anxiousness was more often reported by female, younger participants with a lower socioeconomic status, smokers and those with a family history of stroke and myocardial infarction. New onset of cardiovascular disease was linked to chronic anxiousness in men and new onset of anxiousness in women. However, chronic anxiousness did not predict all-cause mortality. Our results revealed that anxiousness is highly prevalent in German adults from middle to old age, affecting women in particular. In our study, we found sex-specific associations between new onset of cardiovascular disease and different forms of anxiousness in men and women. We suggest that even subclinical levels of anxiety need to be considered as cardiovascular risk factors. To elucidate potential harm of anxiousness for mental and physical health, we propose sex-specific analyses in further research studies, taking age and the course of anxiousness into account.","author":[{"dropping-particle":"","family":"Reiner","given":"Iris C","non-dropping-particle":"","parse-names":false,"suffix":""},{"dropping-particle":"","family":"Tibubos","given":"Ana N","non-dropping-particle":"","parse-names":false,"suffix":""},{"dropping-particle":"","family":"Werner","given":"Antonia M","non-dropping-particle":"","parse-names":false,"suffix":""},{"dropping-particle":"","family":"Ernst","given":"Mareike","non-dropping-particle":"","parse-names":false,"suffix":""},{"dropping-particle":"","family":"Brähler","given":"Elmar","non-dropping-particle":"","parse-names":false,"suffix":""},{"dropping-particle":"","family":"Wiltink","given":"Jörg","non-dropping-particle":"","parse-names":false,"suffix":""},{"dropping-particle":"","family":"Michal","given":"Matthias","non-dropping-particle":"","parse-names":false,"suffix":""},{"dropping-particle":"","family":"Schulz","given":"Andreas","non-dropping-particle":"","parse-names":false,"suffix":""},{"dropping-particle":"","family":"Wild","given":"Philipp S","non-dropping-particle":"","parse-names":false,"suffix":""},{"dropping-particle":"","family":"Münzel","given":"Thomas","non-dropping-particle":"","parse-names":false,"suffix":""},{"dropping-particle":"","family":"Arnold","given":"Natalie","non-dropping-particle":"","parse-names":false,"suffix":""},{"dropping-particle":"","family":"Mahmoudpour","given":"Seyed Hamidreza","non-dropping-particle":"","parse-names":false,"suffix":""},{"dropping-particle":"","family":"Lackner","given":"Karl J","non-dropping-particle":"","parse-names":false,"suffix":""},{"dropping-particle":"","family":"Pfeiffer","given":"Norbert","non-dropping-particle":"","parse-names":false,"suffix":""},{"dropping-particle":"","family":"Beutel","given":"Manfred E","non-dropping-particle":"","parse-names":false,"suffix":""}],"container-title":"Scientific reports","id":"ITEM-1","issue":"1","issued":{"date-parts":[["2020","7"]]},"language":"eng","page":"12436","publisher-place":"England","title":"The association of chronic anxiousness with cardiovascular disease and mortality  in the community: results from the Gutenberg Health Study.","type":"article-journal","volume":"10"},"uris":["http://www.mendeley.com/documents/?uuid=6341eb44-4b7e-41d6-9425-eab97fc154d6"]}],"mendeley":{"formattedCitation":"(37)","plainTextFormattedCitation":"(37)","previouslyFormattedCitation":"(Reiner et al., 2020)"},"properties":{"noteIndex":0},"schema":"https://github.com/citation-style-language/schema/raw/master/csl-citation.json"}</w:instrText>
      </w:r>
      <w:r w:rsidR="0024670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(37)</w:t>
      </w:r>
      <w:r w:rsidR="00246701" w:rsidRPr="006505CF">
        <w:rPr>
          <w:rFonts w:ascii="Times New Roman" w:hAnsi="Times New Roman" w:cs="Times New Roman"/>
          <w:sz w:val="24"/>
          <w:szCs w:val="24"/>
        </w:rPr>
        <w:fldChar w:fldCharType="end"/>
      </w:r>
      <w:r w:rsidRPr="006505CF">
        <w:rPr>
          <w:rFonts w:ascii="Times New Roman" w:hAnsi="Times New Roman" w:cs="Times New Roman"/>
          <w:sz w:val="24"/>
          <w:szCs w:val="24"/>
        </w:rPr>
        <w:t>.</w:t>
      </w:r>
    </w:p>
    <w:p w14:paraId="5CCC927F" w14:textId="62B3E4A0" w:rsidR="00BE36F2" w:rsidRPr="006505CF" w:rsidRDefault="00BE36F2" w:rsidP="006505CF">
      <w:pPr>
        <w:pStyle w:val="NoSpacing"/>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t>Air pollution has both been related to the occurrence of chronic diseases as well as the worsening of their symptoms</w:t>
      </w:r>
      <w:r w:rsidR="0024670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{"citationItems":[{"id":"ITEM-1","itemData":{"DOI":"10.3978/j.issn.2072-1439.2015.11.50","ISSN":"2072-1439 (Print)","PMID":"26904251","abstract":"The health effects of air pollution remain a public health concern worldwide.  Exposure to air pollution has many substantial adverse effects on human health. Globally, seven million deaths were attributable to the joint effects of household and ambient air pollution. Subjects with chronic respiratory diseases such as chronic obstructive pulmonary disease (COPD) and asthma are especially vulnerable to the detrimental effects of air pollutants. Air pollution can induce the acute exacerbation of COPD and onset of asthma, increase the respiratory morbidity and mortality. The health effects of air pollution depend on the components and sources of pollutants, which varied with countries, seasons, and times. Combustion of solid fuels is a major source of air pollutants in developing countries. To reduce the detrimental effects of air pollution, people especially those with COPD or asthma should be aware of the air quality and take extra measures such as reducing the time outdoor and wearing masks when necessary. For reducing the air pollutants indoor, people should use clean fuels and improve the stoves so as to burn fuel more efficiently and vent emissions to the outside. Air cleaners that can improve the air quality efficiently are recommended.","author":[{"dropping-particle":"","family":"Jiang","given":"Xu-Qin","non-dropping-particle":"","parse-names":false,"suffix":""},{"dropping-particle":"","family":"Mei","given":"Xiao-Dong","non-dropping-particle":"","parse-names":false,"suffix":""},{"dropping-particle":"","family":"Feng","given":"Di","non-dropping-particle":"","parse-names":false,"suffix":""}],"container-title":"Journal of thoracic disease","id":"ITEM-1","issue":"1","issued":{"date-parts":[["2016","1"]]},"language":"eng","page":"E31-40","publisher-place":"China","title":"Air pollution and chronic airway diseases: what should people know and do?","type":"article-journal","volume":"8"},"uris":["http://www.mendeley.com/documents/?uuid=b2175e60-5f72-44f3-978e-048deafcf9c8"]}],"mendeley":{"formattedCitation":"(38)","plainTextFormattedCitation":"(38)","previouslyFormattedCitation":"(Jiang et al., 2016)"},"properties":{"noteIndex":0},"schema":"https://github.com/citation-style-language/schema/raw/master/csl-citation.json"}</w:instrText>
      </w:r>
      <w:r w:rsidR="0024670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(38)</w:t>
      </w:r>
      <w:r w:rsidR="00246701" w:rsidRPr="006505CF">
        <w:rPr>
          <w:rFonts w:ascii="Times New Roman" w:hAnsi="Times New Roman" w:cs="Times New Roman"/>
          <w:sz w:val="24"/>
          <w:szCs w:val="24"/>
        </w:rPr>
        <w:fldChar w:fldCharType="end"/>
      </w:r>
      <w:r w:rsidRPr="006505CF">
        <w:rPr>
          <w:rFonts w:ascii="Times New Roman" w:hAnsi="Times New Roman" w:cs="Times New Roman"/>
          <w:sz w:val="24"/>
          <w:szCs w:val="24"/>
        </w:rPr>
        <w:t>. Exposure to air pollutants, in particular fine particulate matter and nitrogen dioxide, has been demonstrated in a great number of studies to be connected with an increased risk of acquiring respiratory diseases, cardiovascular disorders, and other chronic conditions</w:t>
      </w:r>
      <w:r w:rsidR="0024670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{"citationItems":[{"id":"ITEM-1","itemData":{"DOI":"10.3389/fpubh.2020.00014","ISSN":"2296-2565 (Print)","PMID":"32154200","abstract":"One of our era's greatest scourges is air pollution, on account not only of its  impact on climate change but also its impact on public and individual health due to increasing morbidity and mortality. There are many pollutants that are major factors in disease in humans. Among them, Particulate Matter (PM), particles of variable but very small diameter, penetrate the respiratory system via inhalation, causing respiratory and cardiovascular diseases, reproductive and central nervous system dysfunctions, and cancer. Despite the fact that ozone in the stratosphere plays a protective role against ultraviolet irradiation, it is harmful when in high concentration at ground level, also affecting the respiratory and cardiovascular system. Furthermore, nitrogen oxide, sulfur dioxide, Volatile Organic Compounds (VOCs), dioxins, and polycyclic aromatic hydrocarbons (PAHs) are all considered air pollutants that are harmful to humans. Carbon monoxide can even provoke direct poisoning when breathed in at high levels. Heavy metals such as lead, when absorbed into the human body, can lead to direct poisoning or chronic intoxication, depending on exposure. Diseases occurring from the aforementioned substances include principally respiratory problems such as Chronic Obstructive Pulmonary Disease (COPD), asthma, bronchiolitis, and also lung cancer, cardiovascular events, central nervous system dysfunctions, and cutaneous diseases. Last but not least, climate change resulting from environmental pollution affects the geographical distribution of many infectious diseases, as do natural disasters. The only way to tackle this problem is through public awareness coupled with a multidisciplinary approach by scientific experts; national and international organizations must address the emergence of this threat and propose sustainable solutions.","author":[{"dropping-particle":"","family":"Manisalidis","given":"Ioannis","non-dropping-particle":"","parse-names":false,"suffix":""},{"dropping-particle":"","family":"Stavropoulou","given":"Elisavet","non-dropping-particle":"","parse-names":false,"suffix":""},{"dropping-particle":"","family":"Stavropoulos","given":"Agathangelos","non-dropping-particle":"","parse-names":false,"suffix":""},{"dropping-particle":"","family":"Bezirtzoglou","given":"Eugenia","non-dropping-particle":"","parse-names":false,"suffix":""}],"container-title":"Frontiers in public health","id":"ITEM-1","issued":{"date-parts":[["2020"]]},"language":"eng","page":"14","publisher-place":"Switzerland","title":"Environmental and Health Impacts of Air Pollution: A Review.","type":"article-journal","volume":"8"},"uris":["http://www.mendeley.com/documents/?uuid=516d2ca8-d340-4ccb-9fe6-9e76dc8cc039"]}],"mendeley":{"formattedCitation":"(7)","plainTextFormattedCitation":"(7)","previouslyFormattedCitation":"(Manisalidis et al., 2020)"},"properties":{"noteIndex":0},"schema":"https://github.com/citation-style-language/schema/raw/master/csl-citation.json"}</w:instrText>
      </w:r>
      <w:r w:rsidR="0024670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(7)</w:t>
      </w:r>
      <w:r w:rsidR="00246701" w:rsidRPr="006505CF">
        <w:rPr>
          <w:rFonts w:ascii="Times New Roman" w:hAnsi="Times New Roman" w:cs="Times New Roman"/>
          <w:sz w:val="24"/>
          <w:szCs w:val="24"/>
        </w:rPr>
        <w:fldChar w:fldCharType="end"/>
      </w:r>
      <w:r w:rsidR="00246701" w:rsidRPr="006505CF">
        <w:rPr>
          <w:rFonts w:ascii="Times New Roman" w:hAnsi="Times New Roman" w:cs="Times New Roman"/>
          <w:sz w:val="24"/>
          <w:szCs w:val="24"/>
        </w:rPr>
        <w:fldChar w:fldCharType="begin" w:fldLock="1"/>
      </w:r>
      <w:r w:rsidR="006E009B">
        <w:rPr>
          <w:rFonts w:ascii="Times New Roman" w:hAnsi="Times New Roman" w:cs="Times New Roman"/>
          <w:sz w:val="24"/>
          <w:szCs w:val="24"/>
        </w:rPr>
        <w:instrText>ADDIN CSL_CITATION {"citationItems":[{"id":"ITEM-1","itemData":{"DOI":"10.5487/TR.2014.30.2.071","ISSN":"1976-8257 (Print)","PMID":"25071915","abstract":"Ambient air pollution (AAP) and particulate matters (PM) have been closely  associated with adverse health effects such as respiratory disease and cardiovascular diseases. Previous studies have examined the adverse health effects associated with short- and long-term exposure to AAP and outdoor PM on respiratory disease. However, the effect of PM size (PM2.5 and PM10) on cardiovascular disease has not been well studied. Thus, it remains unclear how the size of the inhalable particles (coarse, fine, or ultrafine) affects mortality and morbidity. Airborne PM concentrations are commonly used for ambient air quality management worldwide, owing to the known effects on cardiorespiratory health. In this article, we assess the relationship between cardiovascular diseases and PM, with a particular focus on PM size. We discuss the association of PM2.5 and PM10, nitrogen dioxide (NO2), and elemental carbon with mortality and morbidity due to cardiovascular diseases, stroke, and altered blood pressure, based on epidemiological studies. In addition, we provide evidence that the adverse health effects of AAP and PM are more pronounced among the elderly, children, and people with preexisting cardiovascular and respiratory conditions. Finally, we critically summarize the literature pertaining to cardiovascular diseases, including atherosclerosis and stroke, and introduce potential studies to better understand the health significance of AAP and PM on cardiovascular disease.","author":[{"dropping-particle":"","family":"Lee","given":"Byeong-Jae","non-dropping-particle":"","parse-names":false,"suffix":""},{"dropping-particle":"","family":"Kim","given":"Bumseok","non-dropping-particle":"","parse-names":false,"suffix":""},{"dropping-particle":"","family":"Lee","given":"Kyuhong","non-dropping-particle":"","parse-names":false,"suffix":""}],"container-title":"Toxicological research","id":"ITEM-1","issue":"2","issued":{"date-parts":[["2014","6"]]},"language":"eng","page":"71-75","publisher-place":"Singapore","title":"Air pollution exposure and cardiovascular disease.","type":"article-journal","volume":"30"},"uris":["http://www.mendeley.com/documents/?uuid=37dd4cfe-9342-480e-84e3-850ad3d3b342"]}],"mendeley":{"formattedCitation":"(39)","plainTextFormattedCitation":"(39)","previouslyFormattedCitation":"(B.-J. Lee et al., 2014)"},"properties":{"noteIndex":0},"schema":"https://github.com/citation-style-language/schema/raw/master/csl-citation.json"}</w:instrText>
      </w:r>
      <w:r w:rsidR="00246701" w:rsidRPr="006505CF">
        <w:rPr>
          <w:rFonts w:ascii="Times New Roman" w:hAnsi="Times New Roman" w:cs="Times New Roman"/>
          <w:sz w:val="24"/>
          <w:szCs w:val="24"/>
        </w:rPr>
        <w:fldChar w:fldCharType="separate"/>
      </w:r>
      <w:r w:rsidR="006E009B" w:rsidRPr="006E009B">
        <w:rPr>
          <w:rFonts w:ascii="Times New Roman" w:hAnsi="Times New Roman" w:cs="Times New Roman"/>
          <w:noProof/>
          <w:sz w:val="24"/>
          <w:szCs w:val="24"/>
        </w:rPr>
        <w:t>(39)</w:t>
      </w:r>
      <w:r w:rsidR="00246701" w:rsidRPr="006505CF">
        <w:rPr>
          <w:rFonts w:ascii="Times New Roman" w:hAnsi="Times New Roman" w:cs="Times New Roman"/>
          <w:sz w:val="24"/>
          <w:szCs w:val="24"/>
        </w:rPr>
        <w:fldChar w:fldCharType="end"/>
      </w:r>
      <w:r w:rsidRPr="006505CF">
        <w:rPr>
          <w:rFonts w:ascii="Times New Roman" w:hAnsi="Times New Roman" w:cs="Times New Roman"/>
          <w:sz w:val="24"/>
          <w:szCs w:val="24"/>
        </w:rPr>
        <w:t xml:space="preserve">. </w:t>
      </w:r>
    </w:p>
    <w:p w14:paraId="29E99A4B" w14:textId="4FE8F480" w:rsidR="006E4FED" w:rsidRPr="00804500" w:rsidRDefault="00BE36F2" w:rsidP="00804500">
      <w:pPr>
        <w:pStyle w:val="NoSpacing"/>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t xml:space="preserve">Overall, the findings of these research lend credence to the hypothesis that access to healthcare, mental health, and air pollution are each associated with an increased risk of developing a chronic </w:t>
      </w:r>
      <w:r w:rsidRPr="006505CF">
        <w:rPr>
          <w:rFonts w:ascii="Times New Roman" w:hAnsi="Times New Roman" w:cs="Times New Roman"/>
          <w:sz w:val="24"/>
          <w:szCs w:val="24"/>
        </w:rPr>
        <w:lastRenderedPageBreak/>
        <w:t>illness. These findings underscore how important it is for healthcare policies and programs to target these characteristics in order to successfully prevent and manage chronic illnesses.</w:t>
      </w:r>
    </w:p>
    <w:p w14:paraId="01D0EC3E" w14:textId="667102DF" w:rsidR="005B1DDD" w:rsidRPr="006505CF" w:rsidRDefault="005B1DDD" w:rsidP="006505CF">
      <w:pPr>
        <w:spacing w:after="0" w:line="480" w:lineRule="auto"/>
        <w:jc w:val="both"/>
        <w:rPr>
          <w:rFonts w:ascii="Times New Roman" w:hAnsi="Times New Roman" w:cs="Times New Roman"/>
          <w:b/>
          <w:sz w:val="24"/>
          <w:szCs w:val="24"/>
        </w:rPr>
      </w:pPr>
      <w:r w:rsidRPr="006505CF">
        <w:rPr>
          <w:rFonts w:ascii="Times New Roman" w:hAnsi="Times New Roman" w:cs="Times New Roman"/>
          <w:b/>
          <w:sz w:val="24"/>
          <w:szCs w:val="24"/>
        </w:rPr>
        <w:t>Limitations of the study</w:t>
      </w:r>
    </w:p>
    <w:p w14:paraId="47BD05D4" w14:textId="36F8BBDA" w:rsidR="00D24227" w:rsidRDefault="00D24227" w:rsidP="006505CF">
      <w:pPr>
        <w:spacing w:after="0" w:line="480" w:lineRule="auto"/>
        <w:jc w:val="both"/>
        <w:rPr>
          <w:rFonts w:ascii="Times New Roman" w:hAnsi="Times New Roman" w:cs="Times New Roman"/>
          <w:sz w:val="24"/>
          <w:szCs w:val="24"/>
        </w:rPr>
      </w:pPr>
      <w:r w:rsidRPr="006505CF">
        <w:rPr>
          <w:rFonts w:ascii="Times New Roman" w:hAnsi="Times New Roman" w:cs="Times New Roman"/>
          <w:sz w:val="24"/>
          <w:szCs w:val="24"/>
        </w:rPr>
        <w:t>Cross-sectional designs reduce health behavior-chronic illness causality. Association's temporal sequence isn't shown. The study may only apply to Dhaka slums. Self-reported health practices and chronic conditions may cause recall and social desirability bias.</w:t>
      </w:r>
    </w:p>
    <w:p w14:paraId="3DB911F8" w14:textId="523F42BD" w:rsidR="005B1DDD" w:rsidRPr="006505CF" w:rsidRDefault="005B1DDD" w:rsidP="006505CF">
      <w:pPr>
        <w:spacing w:after="0" w:line="480" w:lineRule="auto"/>
        <w:jc w:val="both"/>
        <w:rPr>
          <w:rFonts w:ascii="Times New Roman" w:hAnsi="Times New Roman" w:cs="Times New Roman"/>
          <w:b/>
          <w:sz w:val="24"/>
          <w:szCs w:val="24"/>
        </w:rPr>
      </w:pPr>
      <w:r w:rsidRPr="006505CF">
        <w:rPr>
          <w:rFonts w:ascii="Times New Roman" w:hAnsi="Times New Roman" w:cs="Times New Roman"/>
          <w:b/>
          <w:sz w:val="24"/>
          <w:szCs w:val="24"/>
        </w:rPr>
        <w:t>Conclusion</w:t>
      </w:r>
    </w:p>
    <w:p w14:paraId="7FF3270A" w14:textId="6230796E" w:rsidR="005B1DDD" w:rsidRDefault="005B1DDD" w:rsidP="006505CF">
      <w:pPr>
        <w:spacing w:line="480" w:lineRule="auto"/>
        <w:jc w:val="both"/>
        <w:rPr>
          <w:rFonts w:ascii="Times New Roman" w:hAnsi="Times New Roman" w:cs="Times New Roman"/>
          <w:sz w:val="24"/>
          <w:szCs w:val="24"/>
        </w:rPr>
      </w:pPr>
      <w:r w:rsidRPr="006505CF">
        <w:rPr>
          <w:rFonts w:ascii="Times New Roman" w:hAnsi="Times New Roman" w:cs="Times New Roman"/>
          <w:sz w:val="24"/>
          <w:szCs w:val="24"/>
        </w:rPr>
        <w:t xml:space="preserve">Prioritizing health-related behaviors such as taking self-preventative steps for chronic diseases, getting regular exercise and eating right can have positive effects on avoiding, managing, or lessening the severity of chronic diseases. Encouraging and aiding individuals in making healthier lifestyle choices can play a vital role in reducing the burden of chronic diseases and improving the health of the population as a whole. Recognizing the importance of changing health behaviors and adopting tailored interventions to encourage better choice and reduce the burden of chronic diseases is crucial for individuals, healthcare professionals, and policy makers. </w:t>
      </w:r>
    </w:p>
    <w:p w14:paraId="78AF5F41" w14:textId="133707C3" w:rsidR="00160729" w:rsidRPr="00160729" w:rsidRDefault="00160729" w:rsidP="006505CF">
      <w:pPr>
        <w:spacing w:line="480" w:lineRule="auto"/>
        <w:jc w:val="both"/>
        <w:rPr>
          <w:rFonts w:ascii="Times New Roman" w:hAnsi="Times New Roman" w:cs="Times New Roman"/>
          <w:b/>
          <w:bCs/>
          <w:sz w:val="24"/>
          <w:szCs w:val="24"/>
        </w:rPr>
      </w:pPr>
      <w:r w:rsidRPr="00160729">
        <w:rPr>
          <w:rFonts w:ascii="Times New Roman" w:hAnsi="Times New Roman" w:cs="Times New Roman"/>
          <w:b/>
          <w:bCs/>
          <w:sz w:val="24"/>
          <w:szCs w:val="24"/>
        </w:rPr>
        <w:t>Abbreviation:</w:t>
      </w:r>
    </w:p>
    <w:p w14:paraId="000446CF" w14:textId="77777777" w:rsidR="00160729" w:rsidRPr="00160729" w:rsidRDefault="00160729" w:rsidP="00160729">
      <w:pPr>
        <w:spacing w:line="480" w:lineRule="auto"/>
        <w:jc w:val="both"/>
        <w:rPr>
          <w:rFonts w:ascii="Times New Roman" w:hAnsi="Times New Roman" w:cs="Times New Roman"/>
          <w:sz w:val="24"/>
          <w:szCs w:val="24"/>
        </w:rPr>
      </w:pPr>
      <w:r w:rsidRPr="00160729">
        <w:rPr>
          <w:rFonts w:ascii="Times New Roman" w:hAnsi="Times New Roman" w:cs="Times New Roman"/>
          <w:sz w:val="24"/>
          <w:szCs w:val="24"/>
        </w:rPr>
        <w:t>SRMR: Standardized Root Mean Square Residual</w:t>
      </w:r>
    </w:p>
    <w:p w14:paraId="3F1D1751" w14:textId="77777777" w:rsidR="00160729" w:rsidRPr="00160729" w:rsidRDefault="00160729" w:rsidP="00160729">
      <w:pPr>
        <w:spacing w:line="480" w:lineRule="auto"/>
        <w:jc w:val="both"/>
        <w:rPr>
          <w:rFonts w:ascii="Times New Roman" w:hAnsi="Times New Roman" w:cs="Times New Roman"/>
          <w:sz w:val="24"/>
          <w:szCs w:val="24"/>
        </w:rPr>
      </w:pPr>
      <w:proofErr w:type="spellStart"/>
      <w:r w:rsidRPr="00160729">
        <w:rPr>
          <w:rFonts w:ascii="Times New Roman" w:hAnsi="Times New Roman" w:cs="Times New Roman"/>
          <w:sz w:val="24"/>
          <w:szCs w:val="24"/>
        </w:rPr>
        <w:t>d_ULS</w:t>
      </w:r>
      <w:proofErr w:type="spellEnd"/>
      <w:r w:rsidRPr="00160729">
        <w:rPr>
          <w:rFonts w:ascii="Times New Roman" w:hAnsi="Times New Roman" w:cs="Times New Roman"/>
          <w:sz w:val="24"/>
          <w:szCs w:val="24"/>
        </w:rPr>
        <w:t>: Degrees of freedom (d) for the Unweighted Least Squares method</w:t>
      </w:r>
    </w:p>
    <w:p w14:paraId="5A144708" w14:textId="77777777" w:rsidR="00160729" w:rsidRPr="00160729" w:rsidRDefault="00160729" w:rsidP="00160729">
      <w:pPr>
        <w:spacing w:line="480" w:lineRule="auto"/>
        <w:jc w:val="both"/>
        <w:rPr>
          <w:rFonts w:ascii="Times New Roman" w:hAnsi="Times New Roman" w:cs="Times New Roman"/>
          <w:sz w:val="24"/>
          <w:szCs w:val="24"/>
        </w:rPr>
      </w:pPr>
      <w:proofErr w:type="spellStart"/>
      <w:r w:rsidRPr="00160729">
        <w:rPr>
          <w:rFonts w:ascii="Times New Roman" w:hAnsi="Times New Roman" w:cs="Times New Roman"/>
          <w:sz w:val="24"/>
          <w:szCs w:val="24"/>
        </w:rPr>
        <w:t>d_G</w:t>
      </w:r>
      <w:proofErr w:type="spellEnd"/>
      <w:r w:rsidRPr="00160729">
        <w:rPr>
          <w:rFonts w:ascii="Times New Roman" w:hAnsi="Times New Roman" w:cs="Times New Roman"/>
          <w:sz w:val="24"/>
          <w:szCs w:val="24"/>
        </w:rPr>
        <w:t xml:space="preserve">: Degrees of freedom (d) for the </w:t>
      </w:r>
      <w:proofErr w:type="spellStart"/>
      <w:r w:rsidRPr="00160729">
        <w:rPr>
          <w:rFonts w:ascii="Times New Roman" w:hAnsi="Times New Roman" w:cs="Times New Roman"/>
          <w:sz w:val="24"/>
          <w:szCs w:val="24"/>
        </w:rPr>
        <w:t>Geomin</w:t>
      </w:r>
      <w:proofErr w:type="spellEnd"/>
      <w:r w:rsidRPr="00160729">
        <w:rPr>
          <w:rFonts w:ascii="Times New Roman" w:hAnsi="Times New Roman" w:cs="Times New Roman"/>
          <w:sz w:val="24"/>
          <w:szCs w:val="24"/>
        </w:rPr>
        <w:t xml:space="preserve"> method</w:t>
      </w:r>
    </w:p>
    <w:p w14:paraId="15F2BA67" w14:textId="41318C25" w:rsidR="00160729" w:rsidRPr="006505CF" w:rsidRDefault="00160729" w:rsidP="00160729">
      <w:pPr>
        <w:spacing w:line="480" w:lineRule="auto"/>
        <w:jc w:val="both"/>
        <w:rPr>
          <w:rFonts w:ascii="Times New Roman" w:hAnsi="Times New Roman" w:cs="Times New Roman"/>
          <w:sz w:val="24"/>
          <w:szCs w:val="24"/>
        </w:rPr>
      </w:pPr>
      <w:r w:rsidRPr="00160729">
        <w:rPr>
          <w:rFonts w:ascii="Times New Roman" w:hAnsi="Times New Roman" w:cs="Times New Roman"/>
          <w:sz w:val="24"/>
          <w:szCs w:val="24"/>
        </w:rPr>
        <w:t>NFI: Normed Fit Index, a goodness-of-fit index used in structural equation modelin</w:t>
      </w:r>
      <w:r>
        <w:rPr>
          <w:rFonts w:ascii="Times New Roman" w:hAnsi="Times New Roman" w:cs="Times New Roman"/>
          <w:sz w:val="24"/>
          <w:szCs w:val="24"/>
        </w:rPr>
        <w:t>g</w:t>
      </w:r>
    </w:p>
    <w:p w14:paraId="7C99C210" w14:textId="77777777" w:rsidR="00325330" w:rsidRPr="008365E8" w:rsidRDefault="00325330" w:rsidP="00325330">
      <w:pPr>
        <w:spacing w:after="0" w:line="480" w:lineRule="auto"/>
        <w:jc w:val="both"/>
        <w:rPr>
          <w:rFonts w:ascii="Times New Roman" w:hAnsi="Times New Roman" w:cs="Times New Roman"/>
          <w:sz w:val="24"/>
          <w:szCs w:val="24"/>
        </w:rPr>
      </w:pPr>
      <w:r w:rsidRPr="008365E8">
        <w:rPr>
          <w:rFonts w:ascii="Times New Roman" w:hAnsi="Times New Roman" w:cs="Times New Roman"/>
          <w:b/>
          <w:sz w:val="24"/>
          <w:szCs w:val="24"/>
          <w:shd w:val="clear" w:color="auto" w:fill="FFFFFF"/>
        </w:rPr>
        <w:t xml:space="preserve">Acknowledgements: </w:t>
      </w:r>
      <w:r w:rsidRPr="008365E8">
        <w:rPr>
          <w:rFonts w:ascii="Times New Roman" w:hAnsi="Times New Roman" w:cs="Times New Roman"/>
          <w:sz w:val="24"/>
          <w:szCs w:val="24"/>
          <w:shd w:val="clear" w:color="auto" w:fill="FFFFFF"/>
        </w:rPr>
        <w:t xml:space="preserve">We are owed to </w:t>
      </w:r>
      <w:proofErr w:type="spellStart"/>
      <w:r w:rsidRPr="008365E8">
        <w:rPr>
          <w:rFonts w:ascii="Times New Roman" w:hAnsi="Times New Roman" w:cs="Times New Roman"/>
          <w:sz w:val="24"/>
          <w:szCs w:val="24"/>
          <w:shd w:val="clear" w:color="auto" w:fill="FFFFFF"/>
        </w:rPr>
        <w:t>Sojib</w:t>
      </w:r>
      <w:proofErr w:type="spellEnd"/>
      <w:r w:rsidRPr="008365E8">
        <w:rPr>
          <w:rFonts w:ascii="Times New Roman" w:hAnsi="Times New Roman" w:cs="Times New Roman"/>
          <w:sz w:val="24"/>
          <w:szCs w:val="24"/>
          <w:shd w:val="clear" w:color="auto" w:fill="FFFFFF"/>
        </w:rPr>
        <w:t xml:space="preserve"> Bhuiyan for his technical support, Department of Accounting, Government Bangla College, Bangladesh.</w:t>
      </w:r>
    </w:p>
    <w:p w14:paraId="2832E684" w14:textId="43A44654" w:rsidR="00BC54A8" w:rsidRPr="005C1F17" w:rsidRDefault="00325330" w:rsidP="00BC54A8">
      <w:pPr>
        <w:spacing w:line="480" w:lineRule="auto"/>
        <w:rPr>
          <w:rFonts w:ascii="Times New Roman" w:hAnsi="Times New Roman" w:cs="Times New Roman"/>
          <w:sz w:val="24"/>
          <w:szCs w:val="24"/>
          <w:shd w:val="clear" w:color="auto" w:fill="FFFFFF"/>
        </w:rPr>
      </w:pPr>
      <w:r w:rsidRPr="008365E8">
        <w:rPr>
          <w:rFonts w:ascii="Times New Roman" w:hAnsi="Times New Roman" w:cs="Times New Roman"/>
          <w:b/>
          <w:sz w:val="24"/>
          <w:szCs w:val="24"/>
          <w:shd w:val="clear" w:color="auto" w:fill="FFFFFF"/>
        </w:rPr>
        <w:lastRenderedPageBreak/>
        <w:t>Author contribution statement:</w:t>
      </w:r>
      <w:r w:rsidR="00BC54A8">
        <w:rPr>
          <w:rFonts w:ascii="Times New Roman" w:hAnsi="Times New Roman" w:cs="Times New Roman"/>
          <w:sz w:val="24"/>
          <w:szCs w:val="24"/>
          <w:shd w:val="clear" w:color="auto" w:fill="FFFFFF"/>
        </w:rPr>
        <w:t xml:space="preserve"> </w:t>
      </w:r>
      <w:r w:rsidR="00BC54A8">
        <w:rPr>
          <w:rFonts w:ascii="Times New Roman" w:hAnsi="Times New Roman" w:cs="Times New Roman"/>
          <w:sz w:val="24"/>
          <w:szCs w:val="24"/>
        </w:rPr>
        <w:t xml:space="preserve">UM and </w:t>
      </w:r>
      <w:r w:rsidR="00BC54A8" w:rsidRPr="008365E8">
        <w:rPr>
          <w:rFonts w:ascii="Times New Roman" w:hAnsi="Times New Roman" w:cs="Times New Roman"/>
          <w:sz w:val="24"/>
          <w:szCs w:val="24"/>
        </w:rPr>
        <w:t>RKR: wrote the paper, performed the experiments, analyzed and interpreted the data, contributed reagents, mat</w:t>
      </w:r>
      <w:r w:rsidR="00BC54A8">
        <w:rPr>
          <w:rFonts w:ascii="Times New Roman" w:hAnsi="Times New Roman" w:cs="Times New Roman"/>
          <w:sz w:val="24"/>
          <w:szCs w:val="24"/>
        </w:rPr>
        <w:t xml:space="preserve">erials, analysis tools or </w:t>
      </w:r>
      <w:r w:rsidR="00A011B7">
        <w:rPr>
          <w:rFonts w:ascii="Times New Roman" w:hAnsi="Times New Roman" w:cs="Times New Roman"/>
          <w:sz w:val="24"/>
          <w:szCs w:val="24"/>
        </w:rPr>
        <w:t xml:space="preserve">data; </w:t>
      </w:r>
      <w:r w:rsidR="00A011B7">
        <w:rPr>
          <w:rFonts w:ascii="Times New Roman" w:hAnsi="Times New Roman" w:cs="Times New Roman"/>
          <w:sz w:val="24"/>
          <w:szCs w:val="24"/>
          <w:shd w:val="clear" w:color="auto" w:fill="FFFFFF"/>
        </w:rPr>
        <w:t>MSH</w:t>
      </w:r>
      <w:r w:rsidR="00BC54A8">
        <w:rPr>
          <w:rFonts w:ascii="Times New Roman" w:hAnsi="Times New Roman" w:cs="Times New Roman"/>
          <w:sz w:val="24"/>
          <w:szCs w:val="24"/>
        </w:rPr>
        <w:t>, QMR, MMH, JM, and SAA: drafted and reviewed the manuscript; MTS: drafted and reviewed the manuscript, and supervised the project. All authors reviewed and revised the manuscript, approved the final manuscript as submitted, and agree to be accountable for all aspects of the work.</w:t>
      </w:r>
    </w:p>
    <w:p w14:paraId="3A96C641" w14:textId="77777777" w:rsidR="00325330" w:rsidRPr="008365E8" w:rsidRDefault="00325330" w:rsidP="00325330">
      <w:pPr>
        <w:spacing w:line="480" w:lineRule="auto"/>
        <w:rPr>
          <w:rFonts w:ascii="Times New Roman" w:hAnsi="Times New Roman" w:cs="Times New Roman"/>
          <w:sz w:val="24"/>
          <w:szCs w:val="24"/>
        </w:rPr>
      </w:pPr>
      <w:r w:rsidRPr="008365E8">
        <w:rPr>
          <w:rFonts w:ascii="Times New Roman" w:hAnsi="Times New Roman" w:cs="Times New Roman"/>
          <w:b/>
          <w:sz w:val="24"/>
          <w:szCs w:val="24"/>
          <w:shd w:val="clear" w:color="auto" w:fill="FFFFFF"/>
        </w:rPr>
        <w:t>Competing interests</w:t>
      </w:r>
      <w:r w:rsidRPr="008365E8">
        <w:rPr>
          <w:rFonts w:ascii="Times New Roman" w:hAnsi="Times New Roman" w:cs="Times New Roman"/>
          <w:sz w:val="24"/>
          <w:szCs w:val="24"/>
          <w:shd w:val="clear" w:color="auto" w:fill="FFFFFF"/>
        </w:rPr>
        <w:t>: No</w:t>
      </w:r>
    </w:p>
    <w:p w14:paraId="45408381" w14:textId="3C7C76F5" w:rsidR="00325330" w:rsidRPr="008365E8" w:rsidRDefault="00325330" w:rsidP="00325330">
      <w:pPr>
        <w:spacing w:after="240" w:line="480" w:lineRule="auto"/>
        <w:rPr>
          <w:rFonts w:ascii="Times New Roman" w:hAnsi="Times New Roman" w:cs="Times New Roman"/>
          <w:sz w:val="24"/>
          <w:szCs w:val="24"/>
          <w:shd w:val="clear" w:color="auto" w:fill="FFFFFF"/>
        </w:rPr>
      </w:pPr>
      <w:r w:rsidRPr="008365E8">
        <w:rPr>
          <w:rFonts w:ascii="Times New Roman" w:hAnsi="Times New Roman" w:cs="Times New Roman"/>
          <w:b/>
          <w:sz w:val="24"/>
          <w:szCs w:val="24"/>
          <w:shd w:val="clear" w:color="auto" w:fill="FFFFFF"/>
        </w:rPr>
        <w:t>Availability of data and material:</w:t>
      </w:r>
      <w:r w:rsidRPr="008365E8">
        <w:rPr>
          <w:rFonts w:ascii="Times New Roman" w:hAnsi="Times New Roman" w:cs="Times New Roman"/>
          <w:sz w:val="24"/>
          <w:szCs w:val="24"/>
          <w:shd w:val="clear" w:color="auto" w:fill="FFFFFF"/>
        </w:rPr>
        <w:t xml:space="preserve"> On request</w:t>
      </w:r>
      <w:r w:rsidR="00131940">
        <w:rPr>
          <w:rFonts w:ascii="Times New Roman" w:hAnsi="Times New Roman" w:cs="Times New Roman"/>
          <w:sz w:val="24"/>
          <w:szCs w:val="24"/>
          <w:shd w:val="clear" w:color="auto" w:fill="FFFFFF"/>
        </w:rPr>
        <w:t xml:space="preserve"> of the corresponding author</w:t>
      </w:r>
    </w:p>
    <w:p w14:paraId="5701C82D" w14:textId="77777777" w:rsidR="00325330" w:rsidRPr="008365E8" w:rsidRDefault="00325330" w:rsidP="00325330">
      <w:pPr>
        <w:spacing w:after="240" w:line="480" w:lineRule="auto"/>
        <w:rPr>
          <w:rFonts w:ascii="Times New Roman" w:hAnsi="Times New Roman" w:cs="Times New Roman"/>
          <w:b/>
          <w:sz w:val="24"/>
          <w:szCs w:val="24"/>
        </w:rPr>
      </w:pPr>
      <w:r w:rsidRPr="00B05440">
        <w:rPr>
          <w:rFonts w:ascii="Times New Roman" w:hAnsi="Times New Roman" w:cs="Times New Roman"/>
          <w:b/>
          <w:bCs/>
          <w:sz w:val="24"/>
          <w:szCs w:val="24"/>
        </w:rPr>
        <w:t>Code availability:</w:t>
      </w:r>
      <w:r w:rsidRPr="008365E8">
        <w:rPr>
          <w:rFonts w:ascii="Times New Roman" w:hAnsi="Times New Roman" w:cs="Times New Roman"/>
          <w:sz w:val="24"/>
          <w:szCs w:val="24"/>
          <w:shd w:val="clear" w:color="auto" w:fill="FFFFFF"/>
        </w:rPr>
        <w:t xml:space="preserve"> On request</w:t>
      </w:r>
    </w:p>
    <w:p w14:paraId="7D43A056" w14:textId="06BE8C4E" w:rsidR="00325330" w:rsidRPr="008365E8" w:rsidRDefault="00325330" w:rsidP="00325330">
      <w:pPr>
        <w:pStyle w:val="Heading2"/>
        <w:shd w:val="clear" w:color="auto" w:fill="FFFFFF"/>
        <w:spacing w:before="0" w:line="480" w:lineRule="auto"/>
        <w:rPr>
          <w:rFonts w:ascii="Times New Roman" w:hAnsi="Times New Roman" w:cs="Times New Roman"/>
          <w:color w:val="auto"/>
          <w:sz w:val="24"/>
          <w:szCs w:val="24"/>
        </w:rPr>
      </w:pPr>
      <w:r w:rsidRPr="008365E8">
        <w:rPr>
          <w:rFonts w:ascii="Times New Roman" w:hAnsi="Times New Roman" w:cs="Times New Roman"/>
          <w:b/>
          <w:bCs/>
          <w:color w:val="auto"/>
          <w:sz w:val="24"/>
          <w:szCs w:val="24"/>
        </w:rPr>
        <w:t>Supplementary Information:</w:t>
      </w:r>
      <w:r w:rsidRPr="008365E8">
        <w:rPr>
          <w:rFonts w:ascii="Times New Roman" w:hAnsi="Times New Roman" w:cs="Times New Roman"/>
          <w:color w:val="auto"/>
          <w:sz w:val="24"/>
          <w:szCs w:val="24"/>
        </w:rPr>
        <w:t xml:space="preserve">  </w:t>
      </w:r>
      <w:r w:rsidR="006E009B">
        <w:rPr>
          <w:rFonts w:ascii="Times New Roman" w:hAnsi="Times New Roman" w:cs="Times New Roman"/>
          <w:color w:val="auto"/>
          <w:sz w:val="24"/>
          <w:szCs w:val="24"/>
        </w:rPr>
        <w:t>There is no s</w:t>
      </w:r>
      <w:r w:rsidRPr="008365E8">
        <w:rPr>
          <w:rFonts w:ascii="Times New Roman" w:hAnsi="Times New Roman" w:cs="Times New Roman"/>
          <w:color w:val="auto"/>
          <w:sz w:val="24"/>
          <w:szCs w:val="24"/>
        </w:rPr>
        <w:t>upplementary Information is associated with submission</w:t>
      </w:r>
      <w:r w:rsidR="00A011B7">
        <w:rPr>
          <w:rFonts w:ascii="Times New Roman" w:hAnsi="Times New Roman" w:cs="Times New Roman"/>
          <w:color w:val="auto"/>
          <w:sz w:val="24"/>
          <w:szCs w:val="24"/>
        </w:rPr>
        <w:t>.</w:t>
      </w:r>
    </w:p>
    <w:p w14:paraId="266AFC54" w14:textId="77777777" w:rsidR="00325330" w:rsidRPr="008365E8" w:rsidRDefault="00325330" w:rsidP="00325330">
      <w:pPr>
        <w:spacing w:after="240" w:line="480" w:lineRule="auto"/>
        <w:rPr>
          <w:rFonts w:ascii="Times New Roman" w:hAnsi="Times New Roman" w:cs="Times New Roman"/>
          <w:sz w:val="24"/>
          <w:szCs w:val="24"/>
          <w:shd w:val="clear" w:color="auto" w:fill="FFFFFF"/>
        </w:rPr>
      </w:pPr>
      <w:r w:rsidRPr="008365E8">
        <w:rPr>
          <w:rFonts w:ascii="Times New Roman" w:hAnsi="Times New Roman" w:cs="Times New Roman"/>
          <w:sz w:val="24"/>
          <w:szCs w:val="24"/>
        </w:rPr>
        <w:br/>
      </w:r>
      <w:r w:rsidRPr="008365E8">
        <w:rPr>
          <w:rFonts w:ascii="Times New Roman" w:hAnsi="Times New Roman" w:cs="Times New Roman"/>
          <w:b/>
          <w:sz w:val="24"/>
          <w:szCs w:val="24"/>
          <w:shd w:val="clear" w:color="auto" w:fill="FFFFFF"/>
        </w:rPr>
        <w:t>Funding</w:t>
      </w:r>
      <w:r w:rsidRPr="008365E8">
        <w:rPr>
          <w:rFonts w:ascii="Times New Roman" w:hAnsi="Times New Roman" w:cs="Times New Roman"/>
          <w:sz w:val="24"/>
          <w:szCs w:val="24"/>
          <w:shd w:val="clear" w:color="auto" w:fill="FFFFFF"/>
        </w:rPr>
        <w:t>: Self-funded</w:t>
      </w:r>
    </w:p>
    <w:p w14:paraId="2E2DA392" w14:textId="77777777" w:rsidR="00402B28" w:rsidRDefault="00402B28" w:rsidP="00A75385">
      <w:pPr>
        <w:spacing w:line="360" w:lineRule="auto"/>
        <w:jc w:val="both"/>
        <w:rPr>
          <w:rFonts w:ascii="Times New Roman" w:hAnsi="Times New Roman" w:cs="Times New Roman"/>
          <w:b/>
          <w:sz w:val="24"/>
          <w:szCs w:val="24"/>
        </w:rPr>
      </w:pPr>
    </w:p>
    <w:p w14:paraId="27E8D21C" w14:textId="0928B78E" w:rsidR="000264CE" w:rsidRDefault="000264CE" w:rsidP="00A75385">
      <w:pPr>
        <w:spacing w:line="360" w:lineRule="auto"/>
        <w:jc w:val="both"/>
        <w:rPr>
          <w:rFonts w:ascii="Times New Roman" w:hAnsi="Times New Roman" w:cs="Times New Roman"/>
          <w:b/>
          <w:sz w:val="24"/>
          <w:szCs w:val="24"/>
        </w:rPr>
      </w:pPr>
      <w:r w:rsidRPr="00A75385">
        <w:rPr>
          <w:rFonts w:ascii="Times New Roman" w:hAnsi="Times New Roman" w:cs="Times New Roman"/>
          <w:b/>
          <w:sz w:val="24"/>
          <w:szCs w:val="24"/>
        </w:rPr>
        <w:t>References</w:t>
      </w:r>
    </w:p>
    <w:p w14:paraId="2A66F8FC" w14:textId="3DCD5643" w:rsidR="006E009B" w:rsidRPr="006E009B" w:rsidRDefault="00804500"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6E009B" w:rsidRPr="006E009B">
        <w:rPr>
          <w:rFonts w:ascii="Times New Roman" w:hAnsi="Times New Roman" w:cs="Times New Roman"/>
          <w:noProof/>
          <w:sz w:val="24"/>
          <w:szCs w:val="24"/>
        </w:rPr>
        <w:t xml:space="preserve">1. </w:t>
      </w:r>
      <w:r w:rsidR="006E009B" w:rsidRPr="006E009B">
        <w:rPr>
          <w:rFonts w:ascii="Times New Roman" w:hAnsi="Times New Roman" w:cs="Times New Roman"/>
          <w:noProof/>
          <w:sz w:val="24"/>
          <w:szCs w:val="24"/>
        </w:rPr>
        <w:tab/>
        <w:t xml:space="preserve">Luyckx VA, Tonelli M, Stanifer JW. The global burden of kidney disease and the sustainable development goals. Bull World Health Organ. 2018 Jun;96(6):414-422D. </w:t>
      </w:r>
    </w:p>
    <w:p w14:paraId="4B6A95C4"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2. </w:t>
      </w:r>
      <w:r w:rsidRPr="006E009B">
        <w:rPr>
          <w:rFonts w:ascii="Times New Roman" w:hAnsi="Times New Roman" w:cs="Times New Roman"/>
          <w:noProof/>
          <w:sz w:val="24"/>
          <w:szCs w:val="24"/>
        </w:rPr>
        <w:tab/>
        <w:t xml:space="preserve">Adams AM, Islam R, Yusuf SS, Panasci A, Crowell N. Healthcare seeking for chronic illness among adult slum dwellers in Bangladesh: A  descriptive cross-sectional study in two urban settings. PLoS One. 2020;15(6):e0233635. </w:t>
      </w:r>
    </w:p>
    <w:p w14:paraId="53005F36"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3. </w:t>
      </w:r>
      <w:r w:rsidRPr="006E009B">
        <w:rPr>
          <w:rFonts w:ascii="Times New Roman" w:hAnsi="Times New Roman" w:cs="Times New Roman"/>
          <w:noProof/>
          <w:sz w:val="24"/>
          <w:szCs w:val="24"/>
        </w:rPr>
        <w:tab/>
        <w:t xml:space="preserve">Lee M, Park S, Lee KS. Relationship between morbidity and health behavior in chronic diseases. J Clin Med. 2020;9(1). </w:t>
      </w:r>
    </w:p>
    <w:p w14:paraId="505180BE"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lastRenderedPageBreak/>
        <w:t xml:space="preserve">4. </w:t>
      </w:r>
      <w:r w:rsidRPr="006E009B">
        <w:rPr>
          <w:rFonts w:ascii="Times New Roman" w:hAnsi="Times New Roman" w:cs="Times New Roman"/>
          <w:noProof/>
          <w:sz w:val="24"/>
          <w:szCs w:val="24"/>
        </w:rPr>
        <w:tab/>
        <w:t xml:space="preserve">Loretan CG, Cornelius ME, Jamal A, Cheng YJ, Homa DM. Cigarette Smoking Among US Adults With Selected Chronic Diseases Associated With  Smoking, 2010-2019. Prev Chronic Dis. 2022 Sep;19:E62. </w:t>
      </w:r>
    </w:p>
    <w:p w14:paraId="61C4E8F7"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5. </w:t>
      </w:r>
      <w:r w:rsidRPr="006E009B">
        <w:rPr>
          <w:rFonts w:ascii="Times New Roman" w:hAnsi="Times New Roman" w:cs="Times New Roman"/>
          <w:noProof/>
          <w:sz w:val="24"/>
          <w:szCs w:val="24"/>
        </w:rPr>
        <w:tab/>
        <w:t xml:space="preserve">Park JH, Moon JH, Kim HJ, Kong MH, Oh YH. Sedentary Lifestyle: Overview of Updated Evidence of Potential Health Risks. Korean J Fam Med. 2020 Nov;41(6):365–73. </w:t>
      </w:r>
    </w:p>
    <w:p w14:paraId="5A2A33CE"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6. </w:t>
      </w:r>
      <w:r w:rsidRPr="006E009B">
        <w:rPr>
          <w:rFonts w:ascii="Times New Roman" w:hAnsi="Times New Roman" w:cs="Times New Roman"/>
          <w:noProof/>
          <w:sz w:val="24"/>
          <w:szCs w:val="24"/>
        </w:rPr>
        <w:tab/>
        <w:t xml:space="preserve">Al-Jawaldeh A, Abbass MMS. Unhealthy Dietary Habits and Obesity: The Major Risk Factors Beyond  Non-Communicable Diseases in the Eastern Mediterranean Region. Front Nutr. 2022;9:817808. </w:t>
      </w:r>
    </w:p>
    <w:p w14:paraId="20124B24"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7. </w:t>
      </w:r>
      <w:r w:rsidRPr="006E009B">
        <w:rPr>
          <w:rFonts w:ascii="Times New Roman" w:hAnsi="Times New Roman" w:cs="Times New Roman"/>
          <w:noProof/>
          <w:sz w:val="24"/>
          <w:szCs w:val="24"/>
        </w:rPr>
        <w:tab/>
        <w:t xml:space="preserve">Manisalidis I, Stavropoulou E, Stavropoulos A, Bezirtzoglou E. Environmental and Health Impacts of Air Pollution: A Review. Front public Heal. 2020;8:14. </w:t>
      </w:r>
    </w:p>
    <w:p w14:paraId="78D96DBB"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8. </w:t>
      </w:r>
      <w:r w:rsidRPr="006E009B">
        <w:rPr>
          <w:rFonts w:ascii="Times New Roman" w:hAnsi="Times New Roman" w:cs="Times New Roman"/>
          <w:noProof/>
          <w:sz w:val="24"/>
          <w:szCs w:val="24"/>
        </w:rPr>
        <w:tab/>
        <w:t xml:space="preserve">Mohit MA. Bastee Settlements of Dhaka City, Bangladesh: A Review of Policy Approaches and Challenges Ahead-review under responsibility of Centre for Environment-Behaviour Studies (cE-Bs), Faculty of Architecture, Planning &amp; Surveying, Universiti Teknologi MARA, Mal. Procedia-Social Behav Sci. 2012;36:15–7. </w:t>
      </w:r>
    </w:p>
    <w:p w14:paraId="48538DFA"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9. </w:t>
      </w:r>
      <w:r w:rsidRPr="006E009B">
        <w:rPr>
          <w:rFonts w:ascii="Times New Roman" w:hAnsi="Times New Roman" w:cs="Times New Roman"/>
          <w:noProof/>
          <w:sz w:val="24"/>
          <w:szCs w:val="24"/>
        </w:rPr>
        <w:tab/>
        <w:t xml:space="preserve">Parikh P, Diep L, Gupte J, Lakhanpaul M. COVID-19 challenges and WASH in informal settlements: Integrated action supported  by the sustainable development goals. Cities. 2020 Dec;107:102871. </w:t>
      </w:r>
    </w:p>
    <w:p w14:paraId="487A9127"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10. </w:t>
      </w:r>
      <w:r w:rsidRPr="006E009B">
        <w:rPr>
          <w:rFonts w:ascii="Times New Roman" w:hAnsi="Times New Roman" w:cs="Times New Roman"/>
          <w:noProof/>
          <w:sz w:val="24"/>
          <w:szCs w:val="24"/>
        </w:rPr>
        <w:tab/>
        <w:t xml:space="preserve">Andermann A. Taking action on the social determinants of health in clinical practice: a  framework for health professionals. C  Can Med Assoc J = J l’Association medicale  Can. 2016 Dec;188(17–18):E474–83. </w:t>
      </w:r>
    </w:p>
    <w:p w14:paraId="211F5D23"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11. </w:t>
      </w:r>
      <w:r w:rsidRPr="006E009B">
        <w:rPr>
          <w:rFonts w:ascii="Times New Roman" w:hAnsi="Times New Roman" w:cs="Times New Roman"/>
          <w:noProof/>
          <w:sz w:val="24"/>
          <w:szCs w:val="24"/>
        </w:rPr>
        <w:tab/>
        <w:t xml:space="preserve">Yuan Y-Q, Li F, Dong R-H, Chen J-S, He G-S, Li S-G, et al. The Development of a Chinese Healthy Eating Index and Its Application in the  General Population. Nutrients. 2017 Sep;9(9). </w:t>
      </w:r>
    </w:p>
    <w:p w14:paraId="4B44C4A2"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12. </w:t>
      </w:r>
      <w:r w:rsidRPr="006E009B">
        <w:rPr>
          <w:rFonts w:ascii="Times New Roman" w:hAnsi="Times New Roman" w:cs="Times New Roman"/>
          <w:noProof/>
          <w:sz w:val="24"/>
          <w:szCs w:val="24"/>
        </w:rPr>
        <w:tab/>
        <w:t xml:space="preserve">Shams-White MM, Pannucci TE, Lerman JL, Herrick KA, Zimmer M, Meyers Mathieu K, et al. Healthy Eating Index-2020: Review and Update Process to Reflect the Dietary  Guidelines for Americans, 2020-2025. J Acad Nutr Diet. 2023 May; </w:t>
      </w:r>
    </w:p>
    <w:p w14:paraId="2838482E"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13. </w:t>
      </w:r>
      <w:r w:rsidRPr="006E009B">
        <w:rPr>
          <w:rFonts w:ascii="Times New Roman" w:hAnsi="Times New Roman" w:cs="Times New Roman"/>
          <w:noProof/>
          <w:sz w:val="24"/>
          <w:szCs w:val="24"/>
        </w:rPr>
        <w:tab/>
        <w:t xml:space="preserve">Kasper N, Mandell C, Ball S, Miller AL, Lumeng J, Peterson KE. The Healthy Meal Index: A tool for measuring the healthfulness of meals served to  children. Appetite. 2016 </w:t>
      </w:r>
      <w:r w:rsidRPr="006E009B">
        <w:rPr>
          <w:rFonts w:ascii="Times New Roman" w:hAnsi="Times New Roman" w:cs="Times New Roman"/>
          <w:noProof/>
          <w:sz w:val="24"/>
          <w:szCs w:val="24"/>
        </w:rPr>
        <w:lastRenderedPageBreak/>
        <w:t xml:space="preserve">Aug;103:54–63. </w:t>
      </w:r>
    </w:p>
    <w:p w14:paraId="1235D193"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14. </w:t>
      </w:r>
      <w:r w:rsidRPr="006E009B">
        <w:rPr>
          <w:rFonts w:ascii="Times New Roman" w:hAnsi="Times New Roman" w:cs="Times New Roman"/>
          <w:noProof/>
          <w:sz w:val="24"/>
          <w:szCs w:val="24"/>
        </w:rPr>
        <w:tab/>
        <w:t xml:space="preserve">Martinez LSS, Zamore W, Finley A, Reisner E, Lowe L, Brugge D. CBPR Partnerships and Near-Roadway Pollution: A Promising Strategy to Influence  the Translation of Research into Practice. Environ (Basel, Switzerland). 2020 Jun;7(6). </w:t>
      </w:r>
    </w:p>
    <w:p w14:paraId="35B5A51B"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15. </w:t>
      </w:r>
      <w:r w:rsidRPr="006E009B">
        <w:rPr>
          <w:rFonts w:ascii="Times New Roman" w:hAnsi="Times New Roman" w:cs="Times New Roman"/>
          <w:noProof/>
          <w:sz w:val="24"/>
          <w:szCs w:val="24"/>
        </w:rPr>
        <w:tab/>
        <w:t xml:space="preserve">Brugge D. The Community Assessment of Freeway Exposure and Health Studies: Minimising Exposure to Traffic-related Air Pollution. Scientia. 2022; </w:t>
      </w:r>
    </w:p>
    <w:p w14:paraId="148BD933"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16. </w:t>
      </w:r>
      <w:r w:rsidRPr="006E009B">
        <w:rPr>
          <w:rFonts w:ascii="Times New Roman" w:hAnsi="Times New Roman" w:cs="Times New Roman"/>
          <w:noProof/>
          <w:sz w:val="24"/>
          <w:szCs w:val="24"/>
        </w:rPr>
        <w:tab/>
        <w:t xml:space="preserve">Brugge D. The Community Assessment of Freeway Exposure and Health Studies: Minimising Exposure to Traffic-related Air Pollution. </w:t>
      </w:r>
    </w:p>
    <w:p w14:paraId="54182B94"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17. </w:t>
      </w:r>
      <w:r w:rsidRPr="006E009B">
        <w:rPr>
          <w:rFonts w:ascii="Times New Roman" w:hAnsi="Times New Roman" w:cs="Times New Roman"/>
          <w:noProof/>
          <w:sz w:val="24"/>
          <w:szCs w:val="24"/>
        </w:rPr>
        <w:tab/>
        <w:t xml:space="preserve">Hudda N, Eliasziw M, Hersey SO, Reisner E, Brook RD, Zamore W, et al. Effect of Reducing Ambient Traffic-Related Air Pollution on Blood Pressure: A Randomized Crossover Trial. Hypertension. 2021;77(3):823–32. </w:t>
      </w:r>
    </w:p>
    <w:p w14:paraId="3E4CB37E"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18. </w:t>
      </w:r>
      <w:r w:rsidRPr="006E009B">
        <w:rPr>
          <w:rFonts w:ascii="Times New Roman" w:hAnsi="Times New Roman" w:cs="Times New Roman"/>
          <w:noProof/>
          <w:sz w:val="24"/>
          <w:szCs w:val="24"/>
        </w:rPr>
        <w:tab/>
        <w:t xml:space="preserve">Brugge D, Ginzburg SL, Hudda N, Martinez LS, Meunier L, Hersey SP, et al. A randomized crossover trial of HEPA air filtration to reduce cardiovascular risk for near highway residents: Methods and approach. Contemp Clin Trials. 2021;108. </w:t>
      </w:r>
    </w:p>
    <w:p w14:paraId="1F8EC3BD"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19. </w:t>
      </w:r>
      <w:r w:rsidRPr="006E009B">
        <w:rPr>
          <w:rFonts w:ascii="Times New Roman" w:hAnsi="Times New Roman" w:cs="Times New Roman"/>
          <w:noProof/>
          <w:sz w:val="24"/>
          <w:szCs w:val="24"/>
        </w:rPr>
        <w:tab/>
        <w:t xml:space="preserve">Khan NA, Azhar M, Rahman MN, Akhtar MJ. Scale development and validation for usage of social networking sites during  COVID-19. Technol Soc. 2022 Aug;70:102020. </w:t>
      </w:r>
    </w:p>
    <w:p w14:paraId="42F7F0C4"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20. </w:t>
      </w:r>
      <w:r w:rsidRPr="006E009B">
        <w:rPr>
          <w:rFonts w:ascii="Times New Roman" w:hAnsi="Times New Roman" w:cs="Times New Roman"/>
          <w:noProof/>
          <w:sz w:val="24"/>
          <w:szCs w:val="24"/>
        </w:rPr>
        <w:tab/>
        <w:t xml:space="preserve">Bourke-Taylor H, Lalor A, Farnworth L, Pallant JF. Further validation of the Health Promoting Activities Scale with mothers of  typically developing children. Aust Occup Ther J. 2014 Oct;61(5):308–15. </w:t>
      </w:r>
    </w:p>
    <w:p w14:paraId="3CDC7781"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21. </w:t>
      </w:r>
      <w:r w:rsidRPr="006E009B">
        <w:rPr>
          <w:rFonts w:ascii="Times New Roman" w:hAnsi="Times New Roman" w:cs="Times New Roman"/>
          <w:noProof/>
          <w:sz w:val="24"/>
          <w:szCs w:val="24"/>
        </w:rPr>
        <w:tab/>
        <w:t xml:space="preserve">Farley H. Promoting self-efficacy in patients with chronic disease beyond traditional  education: A literature review. Nurs open. 2020 Jan;7(1):30–41. </w:t>
      </w:r>
    </w:p>
    <w:p w14:paraId="70E163B5"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22. </w:t>
      </w:r>
      <w:r w:rsidRPr="006E009B">
        <w:rPr>
          <w:rFonts w:ascii="Times New Roman" w:hAnsi="Times New Roman" w:cs="Times New Roman"/>
          <w:noProof/>
          <w:sz w:val="24"/>
          <w:szCs w:val="24"/>
        </w:rPr>
        <w:tab/>
        <w:t xml:space="preserve">Hibbard JH, Stockard J, Mahoney ER, Tusler M. Development of the Patient Activation Measure (PAM): conceptualizing and  measuring activation in patients and consumers. Health Serv Res. 2004 Aug;39(4 Pt 1):1005–26. </w:t>
      </w:r>
    </w:p>
    <w:p w14:paraId="11BAFA69"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23. </w:t>
      </w:r>
      <w:r w:rsidRPr="006E009B">
        <w:rPr>
          <w:rFonts w:ascii="Times New Roman" w:hAnsi="Times New Roman" w:cs="Times New Roman"/>
          <w:noProof/>
          <w:sz w:val="24"/>
          <w:szCs w:val="24"/>
        </w:rPr>
        <w:tab/>
        <w:t xml:space="preserve">Chan SW-C. Chronic Disease Management, Self-Efficacy and Quality of Life. J Nurs Res. 2021 Feb;29(1):e129. </w:t>
      </w:r>
    </w:p>
    <w:p w14:paraId="4D255819"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24. </w:t>
      </w:r>
      <w:r w:rsidRPr="006E009B">
        <w:rPr>
          <w:rFonts w:ascii="Times New Roman" w:hAnsi="Times New Roman" w:cs="Times New Roman"/>
          <w:noProof/>
          <w:sz w:val="24"/>
          <w:szCs w:val="24"/>
        </w:rPr>
        <w:tab/>
        <w:t xml:space="preserve">Ebrahimi Belil F, Alhani F, Ebadi A, Kazemnejad A. Self-Efficacy of People with </w:t>
      </w:r>
      <w:r w:rsidRPr="006E009B">
        <w:rPr>
          <w:rFonts w:ascii="Times New Roman" w:hAnsi="Times New Roman" w:cs="Times New Roman"/>
          <w:noProof/>
          <w:sz w:val="24"/>
          <w:szCs w:val="24"/>
        </w:rPr>
        <w:lastRenderedPageBreak/>
        <w:t xml:space="preserve">Chronic Conditions: A Qualitative Directed Content  Analysis. J Clin Med. 2018 Nov;7(11). </w:t>
      </w:r>
    </w:p>
    <w:p w14:paraId="2CB19BA3"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25. </w:t>
      </w:r>
      <w:r w:rsidRPr="006E009B">
        <w:rPr>
          <w:rFonts w:ascii="Times New Roman" w:hAnsi="Times New Roman" w:cs="Times New Roman"/>
          <w:noProof/>
          <w:sz w:val="24"/>
          <w:szCs w:val="24"/>
        </w:rPr>
        <w:tab/>
        <w:t xml:space="preserve">Audulv Å. The over time development of chronic illness self-management patterns: a longitudinal qualitative study. BMC Public Health. 2013;13(1):452. </w:t>
      </w:r>
    </w:p>
    <w:p w14:paraId="34AC8CEA"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26. </w:t>
      </w:r>
      <w:r w:rsidRPr="006E009B">
        <w:rPr>
          <w:rFonts w:ascii="Times New Roman" w:hAnsi="Times New Roman" w:cs="Times New Roman"/>
          <w:noProof/>
          <w:sz w:val="24"/>
          <w:szCs w:val="24"/>
        </w:rPr>
        <w:tab/>
        <w:t xml:space="preserve">Liddy C, Blazkho V, Mill K. Challenges of self-management when living with multiple chronic conditions:  systematic review of the qualitative literature. Can Fam Physician. 2014 Dec;60(12):1123–33. </w:t>
      </w:r>
    </w:p>
    <w:p w14:paraId="5AA6B889"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27. </w:t>
      </w:r>
      <w:r w:rsidRPr="006E009B">
        <w:rPr>
          <w:rFonts w:ascii="Times New Roman" w:hAnsi="Times New Roman" w:cs="Times New Roman"/>
          <w:noProof/>
          <w:sz w:val="24"/>
          <w:szCs w:val="24"/>
        </w:rPr>
        <w:tab/>
        <w:t xml:space="preserve">Turner J, Kelly B. Emotional dimensions of chronic disease. West J Med. 2000 Feb;172(2):124–8. </w:t>
      </w:r>
    </w:p>
    <w:p w14:paraId="49023D34"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28. </w:t>
      </w:r>
      <w:r w:rsidRPr="006E009B">
        <w:rPr>
          <w:rFonts w:ascii="Times New Roman" w:hAnsi="Times New Roman" w:cs="Times New Roman"/>
          <w:noProof/>
          <w:sz w:val="24"/>
          <w:szCs w:val="24"/>
        </w:rPr>
        <w:tab/>
        <w:t xml:space="preserve">Sutin AR, Zonderman AB, Ferrucci L, Terracciano A. Personality traits and chronic disease: implications for adult personality  development. J Gerontol B Psychol Sci Soc Sci. 2013 Nov;68(6):912–20. </w:t>
      </w:r>
    </w:p>
    <w:p w14:paraId="75F2E122"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29. </w:t>
      </w:r>
      <w:r w:rsidRPr="006E009B">
        <w:rPr>
          <w:rFonts w:ascii="Times New Roman" w:hAnsi="Times New Roman" w:cs="Times New Roman"/>
          <w:noProof/>
          <w:sz w:val="24"/>
          <w:szCs w:val="24"/>
        </w:rPr>
        <w:tab/>
        <w:t xml:space="preserve">Yang L, Li K, Liang Y, Zhao Q, Cui D, Zhu X. Mediating role diet self-efficacy plays in the relationship between social  support and diet self-management for patients with type 2 diabetes. Arch Public Health. 2021 Jan;79(1):14. </w:t>
      </w:r>
    </w:p>
    <w:p w14:paraId="01B3CF1D"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30. </w:t>
      </w:r>
      <w:r w:rsidRPr="006E009B">
        <w:rPr>
          <w:rFonts w:ascii="Times New Roman" w:hAnsi="Times New Roman" w:cs="Times New Roman"/>
          <w:noProof/>
          <w:sz w:val="24"/>
          <w:szCs w:val="24"/>
        </w:rPr>
        <w:tab/>
        <w:t xml:space="preserve">Aldossari KK, Shubair MM, Al-Ghamdi SH, Alduraywish AA, Almeshari AA, Alrasheed AA, et al. Psychological Wellbeing of Diabetic Individuals, Prediabetics, and Non-diabetics:  A Population-Based Study in Saudi Arabia. Front Psychol. 2022;13:863861. </w:t>
      </w:r>
    </w:p>
    <w:p w14:paraId="6A1D4574"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31. </w:t>
      </w:r>
      <w:r w:rsidRPr="006E009B">
        <w:rPr>
          <w:rFonts w:ascii="Times New Roman" w:hAnsi="Times New Roman" w:cs="Times New Roman"/>
          <w:noProof/>
          <w:sz w:val="24"/>
          <w:szCs w:val="24"/>
        </w:rPr>
        <w:tab/>
        <w:t xml:space="preserve">Arietaleanizbeaskoa MS, Sancho A, Olazabal I, Moreno C, Gil E, Garcia-Alvarez A, et al. Effectiveness of physical exercise for people with chronic diseases: the EFIKRONIK study protocol for a hybrid, clinical and implementation randomized trial. BMC Fam Pract. 2020;21(1):227. </w:t>
      </w:r>
    </w:p>
    <w:p w14:paraId="7FFE5CA3"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32. </w:t>
      </w:r>
      <w:r w:rsidRPr="006E009B">
        <w:rPr>
          <w:rFonts w:ascii="Times New Roman" w:hAnsi="Times New Roman" w:cs="Times New Roman"/>
          <w:noProof/>
          <w:sz w:val="24"/>
          <w:szCs w:val="24"/>
        </w:rPr>
        <w:tab/>
        <w:t xml:space="preserve">Grady PA, Gough LL. Self-management: a comprehensive approach to management of chronic conditions. Am J Public Health. 2014 Aug;104(8):e25-31. </w:t>
      </w:r>
    </w:p>
    <w:p w14:paraId="5C34E6D4"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33. </w:t>
      </w:r>
      <w:r w:rsidRPr="006E009B">
        <w:rPr>
          <w:rFonts w:ascii="Times New Roman" w:hAnsi="Times New Roman" w:cs="Times New Roman"/>
          <w:noProof/>
          <w:sz w:val="24"/>
          <w:szCs w:val="24"/>
        </w:rPr>
        <w:tab/>
        <w:t xml:space="preserve">Kruk ME, Gage AD, Arsenault C, Jordan K, Leslie HH, Roder-DeWan S, et al. High-quality health systems in the Sustainable Development Goals era: time for a  revolution. Lancet Glob Heal. 2018 Nov;6(11):e1196–252. </w:t>
      </w:r>
    </w:p>
    <w:p w14:paraId="7488388A"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lastRenderedPageBreak/>
        <w:t xml:space="preserve">34. </w:t>
      </w:r>
      <w:r w:rsidRPr="006E009B">
        <w:rPr>
          <w:rFonts w:ascii="Times New Roman" w:hAnsi="Times New Roman" w:cs="Times New Roman"/>
          <w:noProof/>
          <w:sz w:val="24"/>
          <w:szCs w:val="24"/>
        </w:rPr>
        <w:tab/>
        <w:t xml:space="preserve">Christopher AS, McCormick D, Woolhandler S, Himmelstein DU, Bor DH, Wilper AP. Access to Care and Chronic Disease Outcomes Among Medicaid-Insured Persons Versus  the Uninsured. Am J Public Health. 2016 Jan;106(1):63–9. </w:t>
      </w:r>
    </w:p>
    <w:p w14:paraId="28EE0B0F"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35. </w:t>
      </w:r>
      <w:r w:rsidRPr="006E009B">
        <w:rPr>
          <w:rFonts w:ascii="Times New Roman" w:hAnsi="Times New Roman" w:cs="Times New Roman"/>
          <w:noProof/>
          <w:sz w:val="24"/>
          <w:szCs w:val="24"/>
        </w:rPr>
        <w:tab/>
        <w:t xml:space="preserve">Leon BM, Maddox TM. Diabetes and cardiovascular disease: Epidemiology, biological mechanisms,  treatment recommendations and future research. World J Diabetes. 2015 Oct;6(13):1246–58. </w:t>
      </w:r>
    </w:p>
    <w:p w14:paraId="4F2AFAEA"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36. </w:t>
      </w:r>
      <w:r w:rsidRPr="006E009B">
        <w:rPr>
          <w:rFonts w:ascii="Times New Roman" w:hAnsi="Times New Roman" w:cs="Times New Roman"/>
          <w:noProof/>
          <w:sz w:val="24"/>
          <w:szCs w:val="24"/>
        </w:rPr>
        <w:tab/>
        <w:t xml:space="preserve">Voinov B, Richie WD, Bailey RK. Depression and chronic diseases: it is time for a synergistic mental health and  primary care approach. Prim care companion CNS Disord. 2013;15(2). </w:t>
      </w:r>
    </w:p>
    <w:p w14:paraId="3EE8D340"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37. </w:t>
      </w:r>
      <w:r w:rsidRPr="006E009B">
        <w:rPr>
          <w:rFonts w:ascii="Times New Roman" w:hAnsi="Times New Roman" w:cs="Times New Roman"/>
          <w:noProof/>
          <w:sz w:val="24"/>
          <w:szCs w:val="24"/>
        </w:rPr>
        <w:tab/>
        <w:t xml:space="preserve">Reiner IC, Tibubos AN, Werner AM, Ernst M, Brähler E, Wiltink J, et al. The association of chronic anxiousness with cardiovascular disease and mortality  in the community: results from the Gutenberg Health Study. Sci Rep. 2020 Jul;10(1):12436. </w:t>
      </w:r>
    </w:p>
    <w:p w14:paraId="04FD1BD7"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szCs w:val="24"/>
        </w:rPr>
      </w:pPr>
      <w:r w:rsidRPr="006E009B">
        <w:rPr>
          <w:rFonts w:ascii="Times New Roman" w:hAnsi="Times New Roman" w:cs="Times New Roman"/>
          <w:noProof/>
          <w:sz w:val="24"/>
          <w:szCs w:val="24"/>
        </w:rPr>
        <w:t xml:space="preserve">38. </w:t>
      </w:r>
      <w:r w:rsidRPr="006E009B">
        <w:rPr>
          <w:rFonts w:ascii="Times New Roman" w:hAnsi="Times New Roman" w:cs="Times New Roman"/>
          <w:noProof/>
          <w:sz w:val="24"/>
          <w:szCs w:val="24"/>
        </w:rPr>
        <w:tab/>
        <w:t xml:space="preserve">Jiang X-Q, Mei X-D, Feng D. Air pollution and chronic airway diseases: what should people know and do? J Thorac Dis. 2016 Jan;8(1):E31-40. </w:t>
      </w:r>
    </w:p>
    <w:p w14:paraId="7D21B58F" w14:textId="77777777" w:rsidR="006E009B" w:rsidRPr="006E009B" w:rsidRDefault="006E009B" w:rsidP="006E009B">
      <w:pPr>
        <w:widowControl w:val="0"/>
        <w:autoSpaceDE w:val="0"/>
        <w:autoSpaceDN w:val="0"/>
        <w:adjustRightInd w:val="0"/>
        <w:spacing w:line="360" w:lineRule="auto"/>
        <w:ind w:left="640" w:hanging="640"/>
        <w:rPr>
          <w:rFonts w:ascii="Times New Roman" w:hAnsi="Times New Roman" w:cs="Times New Roman"/>
          <w:noProof/>
          <w:sz w:val="24"/>
        </w:rPr>
      </w:pPr>
      <w:r w:rsidRPr="006E009B">
        <w:rPr>
          <w:rFonts w:ascii="Times New Roman" w:hAnsi="Times New Roman" w:cs="Times New Roman"/>
          <w:noProof/>
          <w:sz w:val="24"/>
          <w:szCs w:val="24"/>
        </w:rPr>
        <w:t xml:space="preserve">39. </w:t>
      </w:r>
      <w:r w:rsidRPr="006E009B">
        <w:rPr>
          <w:rFonts w:ascii="Times New Roman" w:hAnsi="Times New Roman" w:cs="Times New Roman"/>
          <w:noProof/>
          <w:sz w:val="24"/>
          <w:szCs w:val="24"/>
        </w:rPr>
        <w:tab/>
        <w:t xml:space="preserve">Lee B-J, Kim B, Lee K. Air pollution exposure and cardiovascular disease. Toxicol Res. 2014 Jun;30(2):71–5. </w:t>
      </w:r>
    </w:p>
    <w:p w14:paraId="7A166B45" w14:textId="7EA18CBC" w:rsidR="00804500" w:rsidRPr="00A75385" w:rsidRDefault="00804500" w:rsidP="00804500">
      <w:pPr>
        <w:spacing w:line="36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39625761" w14:textId="752933E7" w:rsidR="005B1DDD" w:rsidRPr="00A75385" w:rsidRDefault="005B1DDD" w:rsidP="00A75385">
      <w:pPr>
        <w:spacing w:after="0" w:line="360" w:lineRule="auto"/>
        <w:jc w:val="both"/>
        <w:rPr>
          <w:rFonts w:ascii="Times New Roman" w:hAnsi="Times New Roman" w:cs="Times New Roman"/>
          <w:b/>
          <w:sz w:val="24"/>
          <w:szCs w:val="24"/>
        </w:rPr>
      </w:pPr>
    </w:p>
    <w:p w14:paraId="0CBEE4D4" w14:textId="77777777" w:rsidR="006116EE" w:rsidRPr="00A75385" w:rsidRDefault="006116EE" w:rsidP="00A75385">
      <w:pPr>
        <w:pStyle w:val="Heading3"/>
        <w:spacing w:before="0" w:line="360" w:lineRule="auto"/>
        <w:jc w:val="center"/>
        <w:rPr>
          <w:rFonts w:ascii="Times New Roman" w:hAnsi="Times New Roman" w:cs="Times New Roman"/>
          <w:b/>
          <w:iCs/>
          <w:color w:val="auto"/>
          <w:u w:val="single"/>
        </w:rPr>
      </w:pPr>
      <w:bookmarkStart w:id="14" w:name="_Toc135740077"/>
      <w:bookmarkEnd w:id="14"/>
      <w:r w:rsidRPr="00A75385">
        <w:rPr>
          <w:rFonts w:ascii="Times New Roman" w:hAnsi="Times New Roman" w:cs="Times New Roman"/>
          <w:b/>
          <w:iCs/>
          <w:color w:val="auto"/>
          <w:u w:val="single"/>
        </w:rPr>
        <w:t>Tables</w:t>
      </w:r>
    </w:p>
    <w:p w14:paraId="125D6286" w14:textId="77777777" w:rsidR="006116EE" w:rsidRPr="00A75385" w:rsidRDefault="006116EE" w:rsidP="00A75385">
      <w:pPr>
        <w:pStyle w:val="Caption"/>
        <w:keepNext/>
        <w:spacing w:line="360" w:lineRule="auto"/>
        <w:rPr>
          <w:rFonts w:ascii="Times New Roman" w:hAnsi="Times New Roman" w:cs="Times New Roman"/>
          <w:b/>
          <w:i w:val="0"/>
          <w:color w:val="auto"/>
          <w:sz w:val="24"/>
          <w:szCs w:val="24"/>
        </w:rPr>
      </w:pPr>
      <w:bookmarkStart w:id="15" w:name="_Toc135693418"/>
      <w:r w:rsidRPr="00A75385">
        <w:rPr>
          <w:rFonts w:ascii="Times New Roman" w:hAnsi="Times New Roman" w:cs="Times New Roman"/>
          <w:b/>
          <w:i w:val="0"/>
          <w:color w:val="auto"/>
          <w:sz w:val="24"/>
          <w:szCs w:val="24"/>
        </w:rPr>
        <w:t xml:space="preserve">Table </w:t>
      </w:r>
      <w:r w:rsidRPr="00A75385">
        <w:rPr>
          <w:rFonts w:ascii="Times New Roman" w:hAnsi="Times New Roman" w:cs="Times New Roman"/>
          <w:b/>
          <w:i w:val="0"/>
          <w:color w:val="auto"/>
          <w:sz w:val="24"/>
          <w:szCs w:val="24"/>
        </w:rPr>
        <w:fldChar w:fldCharType="begin"/>
      </w:r>
      <w:r w:rsidRPr="00A75385">
        <w:rPr>
          <w:rFonts w:ascii="Times New Roman" w:hAnsi="Times New Roman" w:cs="Times New Roman"/>
          <w:b/>
          <w:i w:val="0"/>
          <w:color w:val="auto"/>
          <w:sz w:val="24"/>
          <w:szCs w:val="24"/>
        </w:rPr>
        <w:instrText xml:space="preserve"> SEQ Table \* ARABIC </w:instrText>
      </w:r>
      <w:r w:rsidRPr="00A75385">
        <w:rPr>
          <w:rFonts w:ascii="Times New Roman" w:hAnsi="Times New Roman" w:cs="Times New Roman"/>
          <w:b/>
          <w:i w:val="0"/>
          <w:color w:val="auto"/>
          <w:sz w:val="24"/>
          <w:szCs w:val="24"/>
        </w:rPr>
        <w:fldChar w:fldCharType="separate"/>
      </w:r>
      <w:r w:rsidRPr="00A75385">
        <w:rPr>
          <w:rFonts w:ascii="Times New Roman" w:hAnsi="Times New Roman" w:cs="Times New Roman"/>
          <w:b/>
          <w:i w:val="0"/>
          <w:noProof/>
          <w:color w:val="auto"/>
          <w:sz w:val="24"/>
          <w:szCs w:val="24"/>
        </w:rPr>
        <w:t>1</w:t>
      </w:r>
      <w:r w:rsidRPr="00A75385">
        <w:rPr>
          <w:rFonts w:ascii="Times New Roman" w:hAnsi="Times New Roman" w:cs="Times New Roman"/>
          <w:b/>
          <w:i w:val="0"/>
          <w:color w:val="auto"/>
          <w:sz w:val="24"/>
          <w:szCs w:val="24"/>
        </w:rPr>
        <w:fldChar w:fldCharType="end"/>
      </w:r>
      <w:r w:rsidRPr="00A75385">
        <w:rPr>
          <w:rFonts w:ascii="Times New Roman" w:hAnsi="Times New Roman" w:cs="Times New Roman"/>
          <w:b/>
          <w:i w:val="0"/>
          <w:color w:val="auto"/>
          <w:sz w:val="24"/>
          <w:szCs w:val="24"/>
        </w:rPr>
        <w:t>: Demographic characteristics of the respondents</w:t>
      </w:r>
      <w:bookmarkEnd w:id="15"/>
    </w:p>
    <w:tbl>
      <w:tblPr>
        <w:tblStyle w:val="TableGrid"/>
        <w:tblW w:w="9350" w:type="dxa"/>
        <w:tblLook w:val="04A0" w:firstRow="1" w:lastRow="0" w:firstColumn="1" w:lastColumn="0" w:noHBand="0" w:noVBand="1"/>
      </w:tblPr>
      <w:tblGrid>
        <w:gridCol w:w="2206"/>
        <w:gridCol w:w="2678"/>
        <w:gridCol w:w="1714"/>
        <w:gridCol w:w="2752"/>
      </w:tblGrid>
      <w:tr w:rsidR="006116EE" w:rsidRPr="00A75385" w14:paraId="63BDCA0C" w14:textId="77777777" w:rsidTr="006116EE">
        <w:trPr>
          <w:trHeight w:val="360"/>
        </w:trPr>
        <w:tc>
          <w:tcPr>
            <w:tcW w:w="4884" w:type="dxa"/>
            <w:gridSpan w:val="2"/>
          </w:tcPr>
          <w:p w14:paraId="2399696D"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sz w:val="24"/>
                <w:szCs w:val="24"/>
              </w:rPr>
              <w:t>Variable</w:t>
            </w:r>
          </w:p>
        </w:tc>
        <w:tc>
          <w:tcPr>
            <w:tcW w:w="1714" w:type="dxa"/>
          </w:tcPr>
          <w:p w14:paraId="4F6E3DA8"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sz w:val="24"/>
                <w:szCs w:val="24"/>
              </w:rPr>
              <w:t>Frequency</w:t>
            </w:r>
          </w:p>
        </w:tc>
        <w:tc>
          <w:tcPr>
            <w:tcW w:w="2752" w:type="dxa"/>
          </w:tcPr>
          <w:p w14:paraId="534045AC"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sz w:val="24"/>
                <w:szCs w:val="24"/>
              </w:rPr>
              <w:t>Percent (%)</w:t>
            </w:r>
          </w:p>
        </w:tc>
      </w:tr>
      <w:tr w:rsidR="006116EE" w:rsidRPr="00A75385" w14:paraId="34BC78C2" w14:textId="77777777" w:rsidTr="006116EE">
        <w:trPr>
          <w:trHeight w:val="360"/>
        </w:trPr>
        <w:tc>
          <w:tcPr>
            <w:tcW w:w="2206" w:type="dxa"/>
            <w:vMerge w:val="restart"/>
          </w:tcPr>
          <w:p w14:paraId="02FD2427"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Gender</w:t>
            </w:r>
          </w:p>
          <w:p w14:paraId="44608DF6" w14:textId="77777777" w:rsidR="006116EE" w:rsidRPr="00A75385" w:rsidRDefault="006116EE" w:rsidP="00A75385">
            <w:pPr>
              <w:spacing w:after="0" w:line="360" w:lineRule="auto"/>
              <w:rPr>
                <w:rFonts w:ascii="Times New Roman" w:hAnsi="Times New Roman" w:cs="Times New Roman"/>
                <w:b/>
                <w:bCs/>
                <w:sz w:val="24"/>
                <w:szCs w:val="24"/>
              </w:rPr>
            </w:pPr>
          </w:p>
        </w:tc>
        <w:tc>
          <w:tcPr>
            <w:tcW w:w="2678" w:type="dxa"/>
          </w:tcPr>
          <w:p w14:paraId="4732ED23"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color w:val="000000" w:themeColor="text1"/>
                <w:sz w:val="24"/>
                <w:szCs w:val="24"/>
              </w:rPr>
              <w:t>Female</w:t>
            </w:r>
          </w:p>
        </w:tc>
        <w:tc>
          <w:tcPr>
            <w:tcW w:w="1714" w:type="dxa"/>
          </w:tcPr>
          <w:p w14:paraId="07C02F3C"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color w:val="000000" w:themeColor="text1"/>
                <w:sz w:val="24"/>
                <w:szCs w:val="24"/>
              </w:rPr>
              <w:t xml:space="preserve">347 </w:t>
            </w:r>
          </w:p>
        </w:tc>
        <w:tc>
          <w:tcPr>
            <w:tcW w:w="2752" w:type="dxa"/>
          </w:tcPr>
          <w:p w14:paraId="72E0CA44"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color w:val="000000" w:themeColor="text1"/>
                <w:sz w:val="24"/>
                <w:szCs w:val="24"/>
              </w:rPr>
              <w:t>71.1</w:t>
            </w:r>
          </w:p>
        </w:tc>
      </w:tr>
      <w:tr w:rsidR="006116EE" w:rsidRPr="00A75385" w14:paraId="475ACE2D" w14:textId="77777777" w:rsidTr="006116EE">
        <w:trPr>
          <w:trHeight w:val="360"/>
        </w:trPr>
        <w:tc>
          <w:tcPr>
            <w:tcW w:w="2206" w:type="dxa"/>
            <w:vMerge/>
          </w:tcPr>
          <w:p w14:paraId="3D716D3D"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437890E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Male</w:t>
            </w:r>
          </w:p>
        </w:tc>
        <w:tc>
          <w:tcPr>
            <w:tcW w:w="1714" w:type="dxa"/>
          </w:tcPr>
          <w:p w14:paraId="035CD72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141 </w:t>
            </w:r>
          </w:p>
        </w:tc>
        <w:tc>
          <w:tcPr>
            <w:tcW w:w="2752" w:type="dxa"/>
          </w:tcPr>
          <w:p w14:paraId="1BB69AB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28.9</w:t>
            </w:r>
          </w:p>
        </w:tc>
      </w:tr>
      <w:tr w:rsidR="006116EE" w:rsidRPr="00A75385" w14:paraId="679E41FC" w14:textId="77777777" w:rsidTr="006116EE">
        <w:trPr>
          <w:trHeight w:val="360"/>
        </w:trPr>
        <w:tc>
          <w:tcPr>
            <w:tcW w:w="2206" w:type="dxa"/>
            <w:vMerge w:val="restart"/>
          </w:tcPr>
          <w:p w14:paraId="01A470D0"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Education Level</w:t>
            </w:r>
          </w:p>
        </w:tc>
        <w:tc>
          <w:tcPr>
            <w:tcW w:w="2678" w:type="dxa"/>
          </w:tcPr>
          <w:p w14:paraId="1C88949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 education</w:t>
            </w:r>
          </w:p>
        </w:tc>
        <w:tc>
          <w:tcPr>
            <w:tcW w:w="1714" w:type="dxa"/>
          </w:tcPr>
          <w:p w14:paraId="3EB8FAB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142 </w:t>
            </w:r>
          </w:p>
        </w:tc>
        <w:tc>
          <w:tcPr>
            <w:tcW w:w="2752" w:type="dxa"/>
          </w:tcPr>
          <w:p w14:paraId="5977E52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29.1</w:t>
            </w:r>
          </w:p>
        </w:tc>
      </w:tr>
      <w:tr w:rsidR="006116EE" w:rsidRPr="00A75385" w14:paraId="0515EFEC" w14:textId="77777777" w:rsidTr="006116EE">
        <w:trPr>
          <w:trHeight w:val="360"/>
        </w:trPr>
        <w:tc>
          <w:tcPr>
            <w:tcW w:w="2206" w:type="dxa"/>
            <w:vMerge/>
          </w:tcPr>
          <w:p w14:paraId="3D564B52"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32945C6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Primary</w:t>
            </w:r>
          </w:p>
        </w:tc>
        <w:tc>
          <w:tcPr>
            <w:tcW w:w="1714" w:type="dxa"/>
          </w:tcPr>
          <w:p w14:paraId="00A9F6E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218 </w:t>
            </w:r>
          </w:p>
        </w:tc>
        <w:tc>
          <w:tcPr>
            <w:tcW w:w="2752" w:type="dxa"/>
          </w:tcPr>
          <w:p w14:paraId="1371855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44.7</w:t>
            </w:r>
          </w:p>
        </w:tc>
      </w:tr>
      <w:tr w:rsidR="006116EE" w:rsidRPr="00A75385" w14:paraId="04037AA0" w14:textId="77777777" w:rsidTr="006116EE">
        <w:trPr>
          <w:trHeight w:val="360"/>
        </w:trPr>
        <w:tc>
          <w:tcPr>
            <w:tcW w:w="2206" w:type="dxa"/>
            <w:vMerge/>
          </w:tcPr>
          <w:p w14:paraId="35A1D30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1C290AF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SSC</w:t>
            </w:r>
          </w:p>
        </w:tc>
        <w:tc>
          <w:tcPr>
            <w:tcW w:w="1714" w:type="dxa"/>
          </w:tcPr>
          <w:p w14:paraId="6D96AB6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86 </w:t>
            </w:r>
          </w:p>
        </w:tc>
        <w:tc>
          <w:tcPr>
            <w:tcW w:w="2752" w:type="dxa"/>
          </w:tcPr>
          <w:p w14:paraId="483A6A0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17.6</w:t>
            </w:r>
          </w:p>
        </w:tc>
      </w:tr>
      <w:tr w:rsidR="006116EE" w:rsidRPr="00A75385" w14:paraId="42DF1D4E" w14:textId="77777777" w:rsidTr="006116EE">
        <w:trPr>
          <w:trHeight w:val="360"/>
        </w:trPr>
        <w:tc>
          <w:tcPr>
            <w:tcW w:w="2206" w:type="dxa"/>
            <w:vMerge/>
          </w:tcPr>
          <w:p w14:paraId="1483EFF2"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2498C3A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HSC</w:t>
            </w:r>
          </w:p>
        </w:tc>
        <w:tc>
          <w:tcPr>
            <w:tcW w:w="1714" w:type="dxa"/>
          </w:tcPr>
          <w:p w14:paraId="13967BA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28 </w:t>
            </w:r>
          </w:p>
        </w:tc>
        <w:tc>
          <w:tcPr>
            <w:tcW w:w="2752" w:type="dxa"/>
          </w:tcPr>
          <w:p w14:paraId="0F120F3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5.7</w:t>
            </w:r>
          </w:p>
        </w:tc>
      </w:tr>
      <w:tr w:rsidR="006116EE" w:rsidRPr="00A75385" w14:paraId="45048375" w14:textId="77777777" w:rsidTr="006116EE">
        <w:trPr>
          <w:trHeight w:val="360"/>
        </w:trPr>
        <w:tc>
          <w:tcPr>
            <w:tcW w:w="2206" w:type="dxa"/>
            <w:vMerge/>
          </w:tcPr>
          <w:p w14:paraId="04740F22"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73753E0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Graduate or higher</w:t>
            </w:r>
          </w:p>
        </w:tc>
        <w:tc>
          <w:tcPr>
            <w:tcW w:w="1714" w:type="dxa"/>
          </w:tcPr>
          <w:p w14:paraId="73D87E1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14 </w:t>
            </w:r>
          </w:p>
        </w:tc>
        <w:tc>
          <w:tcPr>
            <w:tcW w:w="2752" w:type="dxa"/>
          </w:tcPr>
          <w:p w14:paraId="536AD89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2.9</w:t>
            </w:r>
          </w:p>
        </w:tc>
      </w:tr>
      <w:tr w:rsidR="006116EE" w:rsidRPr="00A75385" w14:paraId="32FB4B0A" w14:textId="77777777" w:rsidTr="006116EE">
        <w:trPr>
          <w:trHeight w:val="360"/>
        </w:trPr>
        <w:tc>
          <w:tcPr>
            <w:tcW w:w="2206" w:type="dxa"/>
            <w:vMerge w:val="restart"/>
          </w:tcPr>
          <w:p w14:paraId="5933EE7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Employment status</w:t>
            </w:r>
          </w:p>
        </w:tc>
        <w:tc>
          <w:tcPr>
            <w:tcW w:w="2678" w:type="dxa"/>
          </w:tcPr>
          <w:p w14:paraId="3850A96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Student</w:t>
            </w:r>
          </w:p>
        </w:tc>
        <w:tc>
          <w:tcPr>
            <w:tcW w:w="1714" w:type="dxa"/>
          </w:tcPr>
          <w:p w14:paraId="097F50D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14 </w:t>
            </w:r>
          </w:p>
        </w:tc>
        <w:tc>
          <w:tcPr>
            <w:tcW w:w="2752" w:type="dxa"/>
          </w:tcPr>
          <w:p w14:paraId="744C6CE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2.9</w:t>
            </w:r>
          </w:p>
        </w:tc>
      </w:tr>
      <w:tr w:rsidR="006116EE" w:rsidRPr="00A75385" w14:paraId="03A3063C" w14:textId="77777777" w:rsidTr="006116EE">
        <w:trPr>
          <w:trHeight w:val="360"/>
        </w:trPr>
        <w:tc>
          <w:tcPr>
            <w:tcW w:w="2206" w:type="dxa"/>
            <w:vMerge/>
          </w:tcPr>
          <w:p w14:paraId="6D7A8630"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107ACB3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Employed</w:t>
            </w:r>
          </w:p>
        </w:tc>
        <w:tc>
          <w:tcPr>
            <w:tcW w:w="1714" w:type="dxa"/>
          </w:tcPr>
          <w:p w14:paraId="51D1ABB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59 </w:t>
            </w:r>
          </w:p>
        </w:tc>
        <w:tc>
          <w:tcPr>
            <w:tcW w:w="2752" w:type="dxa"/>
          </w:tcPr>
          <w:p w14:paraId="73B50C3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12.1</w:t>
            </w:r>
          </w:p>
        </w:tc>
      </w:tr>
      <w:tr w:rsidR="006116EE" w:rsidRPr="00A75385" w14:paraId="35B6ECF9" w14:textId="77777777" w:rsidTr="006116EE">
        <w:trPr>
          <w:trHeight w:val="360"/>
        </w:trPr>
        <w:tc>
          <w:tcPr>
            <w:tcW w:w="2206" w:type="dxa"/>
            <w:vMerge/>
          </w:tcPr>
          <w:p w14:paraId="2032D456"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5908A4F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Businessman</w:t>
            </w:r>
          </w:p>
        </w:tc>
        <w:tc>
          <w:tcPr>
            <w:tcW w:w="1714" w:type="dxa"/>
          </w:tcPr>
          <w:p w14:paraId="3BAE24C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23 </w:t>
            </w:r>
          </w:p>
        </w:tc>
        <w:tc>
          <w:tcPr>
            <w:tcW w:w="2752" w:type="dxa"/>
          </w:tcPr>
          <w:p w14:paraId="22C68A5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4.7</w:t>
            </w:r>
          </w:p>
        </w:tc>
      </w:tr>
      <w:tr w:rsidR="006116EE" w:rsidRPr="00A75385" w14:paraId="4AAE4C72" w14:textId="77777777" w:rsidTr="006116EE">
        <w:trPr>
          <w:trHeight w:val="360"/>
        </w:trPr>
        <w:tc>
          <w:tcPr>
            <w:tcW w:w="2206" w:type="dxa"/>
            <w:vMerge/>
          </w:tcPr>
          <w:p w14:paraId="45ADE878"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3BBC1F8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Housewife</w:t>
            </w:r>
          </w:p>
        </w:tc>
        <w:tc>
          <w:tcPr>
            <w:tcW w:w="1714" w:type="dxa"/>
          </w:tcPr>
          <w:p w14:paraId="3B12796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222 </w:t>
            </w:r>
          </w:p>
        </w:tc>
        <w:tc>
          <w:tcPr>
            <w:tcW w:w="2752" w:type="dxa"/>
          </w:tcPr>
          <w:p w14:paraId="4EC730F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45.5</w:t>
            </w:r>
          </w:p>
        </w:tc>
      </w:tr>
      <w:tr w:rsidR="006116EE" w:rsidRPr="00A75385" w14:paraId="0EF1F172" w14:textId="77777777" w:rsidTr="006116EE">
        <w:trPr>
          <w:trHeight w:val="360"/>
        </w:trPr>
        <w:tc>
          <w:tcPr>
            <w:tcW w:w="2206" w:type="dxa"/>
            <w:vMerge/>
          </w:tcPr>
          <w:p w14:paraId="1BB78DA7"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6BC20A2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Day labor</w:t>
            </w:r>
          </w:p>
        </w:tc>
        <w:tc>
          <w:tcPr>
            <w:tcW w:w="1714" w:type="dxa"/>
          </w:tcPr>
          <w:p w14:paraId="0E0C1C6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85 </w:t>
            </w:r>
          </w:p>
        </w:tc>
        <w:tc>
          <w:tcPr>
            <w:tcW w:w="2752" w:type="dxa"/>
          </w:tcPr>
          <w:p w14:paraId="01AAC27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17.4</w:t>
            </w:r>
          </w:p>
        </w:tc>
      </w:tr>
      <w:tr w:rsidR="006116EE" w:rsidRPr="00A75385" w14:paraId="704FD2EB" w14:textId="77777777" w:rsidTr="006116EE">
        <w:trPr>
          <w:trHeight w:val="360"/>
        </w:trPr>
        <w:tc>
          <w:tcPr>
            <w:tcW w:w="2206" w:type="dxa"/>
            <w:vMerge/>
          </w:tcPr>
          <w:p w14:paraId="72C8631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0C8DDDB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Servant</w:t>
            </w:r>
          </w:p>
        </w:tc>
        <w:tc>
          <w:tcPr>
            <w:tcW w:w="1714" w:type="dxa"/>
          </w:tcPr>
          <w:p w14:paraId="3980960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64 </w:t>
            </w:r>
          </w:p>
        </w:tc>
        <w:tc>
          <w:tcPr>
            <w:tcW w:w="2752" w:type="dxa"/>
          </w:tcPr>
          <w:p w14:paraId="1508090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13.1</w:t>
            </w:r>
          </w:p>
        </w:tc>
      </w:tr>
      <w:tr w:rsidR="006116EE" w:rsidRPr="00A75385" w14:paraId="3CEDD9AE" w14:textId="77777777" w:rsidTr="006116EE">
        <w:trPr>
          <w:trHeight w:val="360"/>
        </w:trPr>
        <w:tc>
          <w:tcPr>
            <w:tcW w:w="2206" w:type="dxa"/>
            <w:vMerge/>
          </w:tcPr>
          <w:p w14:paraId="415B7F1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6E27DA7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Unemployment</w:t>
            </w:r>
          </w:p>
        </w:tc>
        <w:tc>
          <w:tcPr>
            <w:tcW w:w="1714" w:type="dxa"/>
          </w:tcPr>
          <w:p w14:paraId="09F5E9A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13 </w:t>
            </w:r>
          </w:p>
        </w:tc>
        <w:tc>
          <w:tcPr>
            <w:tcW w:w="2752" w:type="dxa"/>
          </w:tcPr>
          <w:p w14:paraId="3A1118B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2.7</w:t>
            </w:r>
          </w:p>
        </w:tc>
      </w:tr>
      <w:tr w:rsidR="006116EE" w:rsidRPr="00A75385" w14:paraId="6EDAD1AB" w14:textId="77777777" w:rsidTr="006116EE">
        <w:trPr>
          <w:trHeight w:val="360"/>
        </w:trPr>
        <w:tc>
          <w:tcPr>
            <w:tcW w:w="2206" w:type="dxa"/>
            <w:vMerge/>
          </w:tcPr>
          <w:p w14:paraId="0BC4C0B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162180B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Others</w:t>
            </w:r>
          </w:p>
        </w:tc>
        <w:tc>
          <w:tcPr>
            <w:tcW w:w="1714" w:type="dxa"/>
          </w:tcPr>
          <w:p w14:paraId="1E54100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8 </w:t>
            </w:r>
          </w:p>
        </w:tc>
        <w:tc>
          <w:tcPr>
            <w:tcW w:w="2752" w:type="dxa"/>
          </w:tcPr>
          <w:p w14:paraId="19F88A3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1.6</w:t>
            </w:r>
          </w:p>
        </w:tc>
      </w:tr>
      <w:tr w:rsidR="006116EE" w:rsidRPr="00A75385" w14:paraId="00436C78" w14:textId="77777777" w:rsidTr="006116EE">
        <w:trPr>
          <w:trHeight w:val="360"/>
        </w:trPr>
        <w:tc>
          <w:tcPr>
            <w:tcW w:w="2206" w:type="dxa"/>
            <w:vMerge w:val="restart"/>
          </w:tcPr>
          <w:p w14:paraId="5BAA72B9"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Monthly Income</w:t>
            </w:r>
          </w:p>
        </w:tc>
        <w:tc>
          <w:tcPr>
            <w:tcW w:w="2678" w:type="dxa"/>
          </w:tcPr>
          <w:p w14:paraId="350008B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less than 15000</w:t>
            </w:r>
          </w:p>
        </w:tc>
        <w:tc>
          <w:tcPr>
            <w:tcW w:w="1714" w:type="dxa"/>
          </w:tcPr>
          <w:p w14:paraId="5D5BF2D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382 </w:t>
            </w:r>
          </w:p>
        </w:tc>
        <w:tc>
          <w:tcPr>
            <w:tcW w:w="2752" w:type="dxa"/>
          </w:tcPr>
          <w:p w14:paraId="2B809E3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78.3</w:t>
            </w:r>
          </w:p>
        </w:tc>
      </w:tr>
      <w:tr w:rsidR="006116EE" w:rsidRPr="00A75385" w14:paraId="3B227C71" w14:textId="77777777" w:rsidTr="006116EE">
        <w:trPr>
          <w:trHeight w:val="360"/>
        </w:trPr>
        <w:tc>
          <w:tcPr>
            <w:tcW w:w="2206" w:type="dxa"/>
            <w:vMerge/>
          </w:tcPr>
          <w:p w14:paraId="35A4F70F"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14A6CE86" w14:textId="3839568E" w:rsidR="006116EE" w:rsidRPr="00A75385" w:rsidRDefault="00C620F2" w:rsidP="00A75385">
            <w:pPr>
              <w:spacing w:after="0" w:line="360" w:lineRule="auto"/>
              <w:rPr>
                <w:rFonts w:ascii="Times New Roman" w:hAnsi="Times New Roman" w:cs="Times New Roman"/>
                <w:color w:val="000000" w:themeColor="text1"/>
                <w:sz w:val="24"/>
                <w:szCs w:val="24"/>
              </w:rPr>
            </w:pPr>
            <w:r w:rsidRPr="002E4E1B">
              <w:rPr>
                <w:rFonts w:ascii="Arial" w:hAnsi="Arial" w:cs="Arial"/>
                <w:shd w:val="clear" w:color="auto" w:fill="FFFFFF"/>
              </w:rPr>
              <w:t>≥</w:t>
            </w:r>
            <w:r>
              <w:rPr>
                <w:rFonts w:ascii="Times New Roman" w:hAnsi="Times New Roman" w:cs="Times New Roman"/>
                <w:color w:val="000000" w:themeColor="text1"/>
                <w:sz w:val="24"/>
                <w:szCs w:val="24"/>
              </w:rPr>
              <w:t>15000</w:t>
            </w:r>
          </w:p>
        </w:tc>
        <w:tc>
          <w:tcPr>
            <w:tcW w:w="1714" w:type="dxa"/>
          </w:tcPr>
          <w:p w14:paraId="5E4DA4E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106</w:t>
            </w:r>
          </w:p>
        </w:tc>
        <w:tc>
          <w:tcPr>
            <w:tcW w:w="2752" w:type="dxa"/>
          </w:tcPr>
          <w:p w14:paraId="63BBEA9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21.7</w:t>
            </w:r>
          </w:p>
        </w:tc>
      </w:tr>
      <w:tr w:rsidR="006116EE" w:rsidRPr="00A75385" w14:paraId="699F49C4" w14:textId="77777777" w:rsidTr="006116EE">
        <w:trPr>
          <w:trHeight w:val="360"/>
        </w:trPr>
        <w:tc>
          <w:tcPr>
            <w:tcW w:w="2206" w:type="dxa"/>
            <w:vMerge w:val="restart"/>
          </w:tcPr>
          <w:p w14:paraId="350CC4A2"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Marital status</w:t>
            </w:r>
          </w:p>
        </w:tc>
        <w:tc>
          <w:tcPr>
            <w:tcW w:w="2678" w:type="dxa"/>
          </w:tcPr>
          <w:p w14:paraId="45E03C9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Unmarried</w:t>
            </w:r>
          </w:p>
        </w:tc>
        <w:tc>
          <w:tcPr>
            <w:tcW w:w="1714" w:type="dxa"/>
          </w:tcPr>
          <w:p w14:paraId="4680459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37</w:t>
            </w:r>
          </w:p>
        </w:tc>
        <w:tc>
          <w:tcPr>
            <w:tcW w:w="2752" w:type="dxa"/>
          </w:tcPr>
          <w:p w14:paraId="41FB880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7.6</w:t>
            </w:r>
          </w:p>
        </w:tc>
      </w:tr>
      <w:tr w:rsidR="006116EE" w:rsidRPr="00A75385" w14:paraId="634554FD" w14:textId="77777777" w:rsidTr="006116EE">
        <w:trPr>
          <w:trHeight w:val="360"/>
        </w:trPr>
        <w:tc>
          <w:tcPr>
            <w:tcW w:w="2206" w:type="dxa"/>
            <w:vMerge/>
          </w:tcPr>
          <w:p w14:paraId="1EDDC563"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3CEA30F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Married</w:t>
            </w:r>
          </w:p>
        </w:tc>
        <w:tc>
          <w:tcPr>
            <w:tcW w:w="1714" w:type="dxa"/>
          </w:tcPr>
          <w:p w14:paraId="7F666BC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413</w:t>
            </w:r>
          </w:p>
        </w:tc>
        <w:tc>
          <w:tcPr>
            <w:tcW w:w="2752" w:type="dxa"/>
          </w:tcPr>
          <w:p w14:paraId="17423DB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84.6</w:t>
            </w:r>
          </w:p>
        </w:tc>
      </w:tr>
      <w:tr w:rsidR="006116EE" w:rsidRPr="00A75385" w14:paraId="482ADE57" w14:textId="77777777" w:rsidTr="006116EE">
        <w:trPr>
          <w:trHeight w:val="360"/>
        </w:trPr>
        <w:tc>
          <w:tcPr>
            <w:tcW w:w="2206" w:type="dxa"/>
            <w:vMerge/>
          </w:tcPr>
          <w:p w14:paraId="75DA55C2"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5418EA3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Divorce/ separated</w:t>
            </w:r>
          </w:p>
        </w:tc>
        <w:tc>
          <w:tcPr>
            <w:tcW w:w="1714" w:type="dxa"/>
          </w:tcPr>
          <w:p w14:paraId="5ADEFC4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16</w:t>
            </w:r>
          </w:p>
        </w:tc>
        <w:tc>
          <w:tcPr>
            <w:tcW w:w="2752" w:type="dxa"/>
          </w:tcPr>
          <w:p w14:paraId="3780182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3.3</w:t>
            </w:r>
          </w:p>
        </w:tc>
      </w:tr>
      <w:tr w:rsidR="006116EE" w:rsidRPr="00A75385" w14:paraId="762B673F" w14:textId="77777777" w:rsidTr="006116EE">
        <w:trPr>
          <w:trHeight w:val="360"/>
        </w:trPr>
        <w:tc>
          <w:tcPr>
            <w:tcW w:w="2206" w:type="dxa"/>
            <w:vMerge/>
          </w:tcPr>
          <w:p w14:paraId="2FA09177"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3DF93E4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Widower</w:t>
            </w:r>
          </w:p>
        </w:tc>
        <w:tc>
          <w:tcPr>
            <w:tcW w:w="1714" w:type="dxa"/>
          </w:tcPr>
          <w:p w14:paraId="1DD5E3A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22</w:t>
            </w:r>
          </w:p>
        </w:tc>
        <w:tc>
          <w:tcPr>
            <w:tcW w:w="2752" w:type="dxa"/>
          </w:tcPr>
          <w:p w14:paraId="318C808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4.5</w:t>
            </w:r>
          </w:p>
        </w:tc>
      </w:tr>
      <w:tr w:rsidR="006116EE" w:rsidRPr="00A75385" w14:paraId="0EF7322D" w14:textId="77777777" w:rsidTr="006116EE">
        <w:trPr>
          <w:trHeight w:val="360"/>
        </w:trPr>
        <w:tc>
          <w:tcPr>
            <w:tcW w:w="2206" w:type="dxa"/>
            <w:vMerge w:val="restart"/>
          </w:tcPr>
          <w:p w14:paraId="7A24E288"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Religion</w:t>
            </w:r>
          </w:p>
        </w:tc>
        <w:tc>
          <w:tcPr>
            <w:tcW w:w="2678" w:type="dxa"/>
          </w:tcPr>
          <w:p w14:paraId="741364F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Islam</w:t>
            </w:r>
          </w:p>
        </w:tc>
        <w:tc>
          <w:tcPr>
            <w:tcW w:w="1714" w:type="dxa"/>
          </w:tcPr>
          <w:p w14:paraId="2715C87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439</w:t>
            </w:r>
          </w:p>
        </w:tc>
        <w:tc>
          <w:tcPr>
            <w:tcW w:w="2752" w:type="dxa"/>
          </w:tcPr>
          <w:p w14:paraId="09B8BB5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90.0</w:t>
            </w:r>
          </w:p>
        </w:tc>
      </w:tr>
      <w:tr w:rsidR="006116EE" w:rsidRPr="00A75385" w14:paraId="446077AB" w14:textId="77777777" w:rsidTr="006116EE">
        <w:trPr>
          <w:trHeight w:val="360"/>
        </w:trPr>
        <w:tc>
          <w:tcPr>
            <w:tcW w:w="2206" w:type="dxa"/>
            <w:vMerge/>
          </w:tcPr>
          <w:p w14:paraId="3C4CA5B7"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637E2E4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Hindu</w:t>
            </w:r>
          </w:p>
        </w:tc>
        <w:tc>
          <w:tcPr>
            <w:tcW w:w="1714" w:type="dxa"/>
          </w:tcPr>
          <w:p w14:paraId="7AC1461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49</w:t>
            </w:r>
          </w:p>
        </w:tc>
        <w:tc>
          <w:tcPr>
            <w:tcW w:w="2752" w:type="dxa"/>
          </w:tcPr>
          <w:p w14:paraId="63AB797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10.0</w:t>
            </w:r>
          </w:p>
        </w:tc>
      </w:tr>
      <w:tr w:rsidR="006116EE" w:rsidRPr="00A75385" w14:paraId="24B22176" w14:textId="77777777" w:rsidTr="006116EE">
        <w:trPr>
          <w:trHeight w:val="360"/>
        </w:trPr>
        <w:tc>
          <w:tcPr>
            <w:tcW w:w="2206" w:type="dxa"/>
            <w:vMerge w:val="restart"/>
          </w:tcPr>
          <w:p w14:paraId="43DBAAFF"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Physical exercise (150min/week)</w:t>
            </w:r>
          </w:p>
        </w:tc>
        <w:tc>
          <w:tcPr>
            <w:tcW w:w="2678" w:type="dxa"/>
          </w:tcPr>
          <w:p w14:paraId="5D3BC43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w:t>
            </w:r>
          </w:p>
        </w:tc>
        <w:tc>
          <w:tcPr>
            <w:tcW w:w="1714" w:type="dxa"/>
          </w:tcPr>
          <w:p w14:paraId="58E43C9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343</w:t>
            </w:r>
          </w:p>
        </w:tc>
        <w:tc>
          <w:tcPr>
            <w:tcW w:w="2752" w:type="dxa"/>
          </w:tcPr>
          <w:p w14:paraId="46F4497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70.3</w:t>
            </w:r>
          </w:p>
        </w:tc>
      </w:tr>
      <w:tr w:rsidR="006116EE" w:rsidRPr="00A75385" w14:paraId="67B88590" w14:textId="77777777" w:rsidTr="006116EE">
        <w:trPr>
          <w:trHeight w:val="360"/>
        </w:trPr>
        <w:tc>
          <w:tcPr>
            <w:tcW w:w="2206" w:type="dxa"/>
            <w:vMerge/>
          </w:tcPr>
          <w:p w14:paraId="60BA6230"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6955BFB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Yes</w:t>
            </w:r>
          </w:p>
        </w:tc>
        <w:tc>
          <w:tcPr>
            <w:tcW w:w="1714" w:type="dxa"/>
          </w:tcPr>
          <w:p w14:paraId="19A918D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145</w:t>
            </w:r>
          </w:p>
        </w:tc>
        <w:tc>
          <w:tcPr>
            <w:tcW w:w="2752" w:type="dxa"/>
          </w:tcPr>
          <w:p w14:paraId="0729C00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29.7</w:t>
            </w:r>
          </w:p>
        </w:tc>
      </w:tr>
      <w:tr w:rsidR="006116EE" w:rsidRPr="00A75385" w14:paraId="17293C74" w14:textId="77777777" w:rsidTr="006116EE">
        <w:trPr>
          <w:trHeight w:val="360"/>
        </w:trPr>
        <w:tc>
          <w:tcPr>
            <w:tcW w:w="2206" w:type="dxa"/>
            <w:vMerge w:val="restart"/>
          </w:tcPr>
          <w:p w14:paraId="2CE8C7EB"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Smoking Status</w:t>
            </w:r>
          </w:p>
        </w:tc>
        <w:tc>
          <w:tcPr>
            <w:tcW w:w="2678" w:type="dxa"/>
          </w:tcPr>
          <w:p w14:paraId="794A5DB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Never smoked</w:t>
            </w:r>
          </w:p>
        </w:tc>
        <w:tc>
          <w:tcPr>
            <w:tcW w:w="1714" w:type="dxa"/>
          </w:tcPr>
          <w:p w14:paraId="34F9D2B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370</w:t>
            </w:r>
          </w:p>
        </w:tc>
        <w:tc>
          <w:tcPr>
            <w:tcW w:w="2752" w:type="dxa"/>
          </w:tcPr>
          <w:p w14:paraId="6F15173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75.8</w:t>
            </w:r>
          </w:p>
        </w:tc>
      </w:tr>
      <w:tr w:rsidR="006116EE" w:rsidRPr="00A75385" w14:paraId="770F7563" w14:textId="77777777" w:rsidTr="006116EE">
        <w:trPr>
          <w:trHeight w:val="360"/>
        </w:trPr>
        <w:tc>
          <w:tcPr>
            <w:tcW w:w="2206" w:type="dxa"/>
            <w:vMerge/>
          </w:tcPr>
          <w:p w14:paraId="2400F819"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543A954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Former smoker</w:t>
            </w:r>
          </w:p>
        </w:tc>
        <w:tc>
          <w:tcPr>
            <w:tcW w:w="1714" w:type="dxa"/>
          </w:tcPr>
          <w:p w14:paraId="667D6F2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29</w:t>
            </w:r>
          </w:p>
        </w:tc>
        <w:tc>
          <w:tcPr>
            <w:tcW w:w="2752" w:type="dxa"/>
          </w:tcPr>
          <w:p w14:paraId="751D108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5.9</w:t>
            </w:r>
          </w:p>
        </w:tc>
      </w:tr>
      <w:tr w:rsidR="006116EE" w:rsidRPr="00A75385" w14:paraId="6E4D1504" w14:textId="77777777" w:rsidTr="006116EE">
        <w:trPr>
          <w:trHeight w:val="360"/>
        </w:trPr>
        <w:tc>
          <w:tcPr>
            <w:tcW w:w="2206" w:type="dxa"/>
            <w:vMerge/>
          </w:tcPr>
          <w:p w14:paraId="27174449"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42A37EF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Current smoker</w:t>
            </w:r>
          </w:p>
        </w:tc>
        <w:tc>
          <w:tcPr>
            <w:tcW w:w="1714" w:type="dxa"/>
          </w:tcPr>
          <w:p w14:paraId="154A601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89</w:t>
            </w:r>
          </w:p>
        </w:tc>
        <w:tc>
          <w:tcPr>
            <w:tcW w:w="2752" w:type="dxa"/>
          </w:tcPr>
          <w:p w14:paraId="6153FE3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18.2</w:t>
            </w:r>
          </w:p>
        </w:tc>
      </w:tr>
      <w:tr w:rsidR="006116EE" w:rsidRPr="00A75385" w14:paraId="21AA5ADF" w14:textId="77777777" w:rsidTr="006116EE">
        <w:trPr>
          <w:trHeight w:val="360"/>
        </w:trPr>
        <w:tc>
          <w:tcPr>
            <w:tcW w:w="2206" w:type="dxa"/>
            <w:vMerge w:val="restart"/>
          </w:tcPr>
          <w:p w14:paraId="1E2C36C3"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Mental Health</w:t>
            </w:r>
          </w:p>
        </w:tc>
        <w:tc>
          <w:tcPr>
            <w:tcW w:w="2678" w:type="dxa"/>
          </w:tcPr>
          <w:p w14:paraId="213D978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 symptoms of depression or anxiety</w:t>
            </w:r>
          </w:p>
        </w:tc>
        <w:tc>
          <w:tcPr>
            <w:tcW w:w="1714" w:type="dxa"/>
          </w:tcPr>
          <w:p w14:paraId="52EA005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105</w:t>
            </w:r>
          </w:p>
        </w:tc>
        <w:tc>
          <w:tcPr>
            <w:tcW w:w="2752" w:type="dxa"/>
          </w:tcPr>
          <w:p w14:paraId="761BC03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21.5</w:t>
            </w:r>
          </w:p>
        </w:tc>
      </w:tr>
      <w:tr w:rsidR="006116EE" w:rsidRPr="00A75385" w14:paraId="677A15C8" w14:textId="77777777" w:rsidTr="006116EE">
        <w:trPr>
          <w:trHeight w:val="360"/>
        </w:trPr>
        <w:tc>
          <w:tcPr>
            <w:tcW w:w="2206" w:type="dxa"/>
            <w:vMerge/>
          </w:tcPr>
          <w:p w14:paraId="1F6CE2C6"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2F447D8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Mild symptoms of depression or anxiety</w:t>
            </w:r>
          </w:p>
        </w:tc>
        <w:tc>
          <w:tcPr>
            <w:tcW w:w="1714" w:type="dxa"/>
          </w:tcPr>
          <w:p w14:paraId="7190755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327</w:t>
            </w:r>
          </w:p>
        </w:tc>
        <w:tc>
          <w:tcPr>
            <w:tcW w:w="2752" w:type="dxa"/>
          </w:tcPr>
          <w:p w14:paraId="4DF2678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67.0</w:t>
            </w:r>
          </w:p>
        </w:tc>
      </w:tr>
      <w:tr w:rsidR="006116EE" w:rsidRPr="00A75385" w14:paraId="77A83DB5" w14:textId="77777777" w:rsidTr="006116EE">
        <w:trPr>
          <w:trHeight w:val="360"/>
        </w:trPr>
        <w:tc>
          <w:tcPr>
            <w:tcW w:w="2206" w:type="dxa"/>
            <w:vMerge/>
          </w:tcPr>
          <w:p w14:paraId="51A289E6"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63911A2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Moderate to severe symptoms of depression or anxiety</w:t>
            </w:r>
          </w:p>
        </w:tc>
        <w:tc>
          <w:tcPr>
            <w:tcW w:w="1714" w:type="dxa"/>
          </w:tcPr>
          <w:p w14:paraId="50A4ABE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56</w:t>
            </w:r>
          </w:p>
        </w:tc>
        <w:tc>
          <w:tcPr>
            <w:tcW w:w="2752" w:type="dxa"/>
          </w:tcPr>
          <w:p w14:paraId="586361B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11.5</w:t>
            </w:r>
          </w:p>
        </w:tc>
      </w:tr>
      <w:tr w:rsidR="006116EE" w:rsidRPr="00A75385" w14:paraId="40BD441D" w14:textId="77777777" w:rsidTr="006116EE">
        <w:trPr>
          <w:trHeight w:val="360"/>
        </w:trPr>
        <w:tc>
          <w:tcPr>
            <w:tcW w:w="2206" w:type="dxa"/>
            <w:vMerge w:val="restart"/>
          </w:tcPr>
          <w:p w14:paraId="0C544A9C"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lastRenderedPageBreak/>
              <w:t>Health Screenings</w:t>
            </w:r>
          </w:p>
        </w:tc>
        <w:tc>
          <w:tcPr>
            <w:tcW w:w="2678" w:type="dxa"/>
          </w:tcPr>
          <w:p w14:paraId="18BEEDE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Up-to-date on recommended health screenings</w:t>
            </w:r>
          </w:p>
        </w:tc>
        <w:tc>
          <w:tcPr>
            <w:tcW w:w="1714" w:type="dxa"/>
          </w:tcPr>
          <w:p w14:paraId="6FB9AFB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185</w:t>
            </w:r>
          </w:p>
        </w:tc>
        <w:tc>
          <w:tcPr>
            <w:tcW w:w="2752" w:type="dxa"/>
          </w:tcPr>
          <w:p w14:paraId="41965EB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37.9</w:t>
            </w:r>
          </w:p>
        </w:tc>
      </w:tr>
      <w:tr w:rsidR="006116EE" w:rsidRPr="00A75385" w14:paraId="1B852778" w14:textId="77777777" w:rsidTr="006116EE">
        <w:trPr>
          <w:trHeight w:val="360"/>
        </w:trPr>
        <w:tc>
          <w:tcPr>
            <w:tcW w:w="2206" w:type="dxa"/>
            <w:vMerge/>
          </w:tcPr>
          <w:p w14:paraId="37EAE301"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4913685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Not up-to-date on recommended health screenings</w:t>
            </w:r>
          </w:p>
        </w:tc>
        <w:tc>
          <w:tcPr>
            <w:tcW w:w="1714" w:type="dxa"/>
          </w:tcPr>
          <w:p w14:paraId="0897B12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303</w:t>
            </w:r>
          </w:p>
        </w:tc>
        <w:tc>
          <w:tcPr>
            <w:tcW w:w="2752" w:type="dxa"/>
          </w:tcPr>
          <w:p w14:paraId="3E74A25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62.1</w:t>
            </w:r>
          </w:p>
        </w:tc>
      </w:tr>
      <w:tr w:rsidR="006116EE" w:rsidRPr="00A75385" w14:paraId="3516E029" w14:textId="77777777" w:rsidTr="006116EE">
        <w:trPr>
          <w:trHeight w:val="360"/>
        </w:trPr>
        <w:tc>
          <w:tcPr>
            <w:tcW w:w="2206" w:type="dxa"/>
            <w:vMerge w:val="restart"/>
          </w:tcPr>
          <w:p w14:paraId="5E47F917"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Access to Healthcare</w:t>
            </w:r>
          </w:p>
        </w:tc>
        <w:tc>
          <w:tcPr>
            <w:tcW w:w="2678" w:type="dxa"/>
          </w:tcPr>
          <w:p w14:paraId="0A2BC0A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Has access to affordable and high-quality healthcare</w:t>
            </w:r>
          </w:p>
        </w:tc>
        <w:tc>
          <w:tcPr>
            <w:tcW w:w="1714" w:type="dxa"/>
          </w:tcPr>
          <w:p w14:paraId="4B8B4DB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53</w:t>
            </w:r>
          </w:p>
        </w:tc>
        <w:tc>
          <w:tcPr>
            <w:tcW w:w="2752" w:type="dxa"/>
          </w:tcPr>
          <w:p w14:paraId="3A3241E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10.9</w:t>
            </w:r>
          </w:p>
        </w:tc>
      </w:tr>
      <w:tr w:rsidR="006116EE" w:rsidRPr="00A75385" w14:paraId="4C6EEC07" w14:textId="77777777" w:rsidTr="006116EE">
        <w:trPr>
          <w:trHeight w:val="360"/>
        </w:trPr>
        <w:tc>
          <w:tcPr>
            <w:tcW w:w="2206" w:type="dxa"/>
            <w:vMerge/>
          </w:tcPr>
          <w:p w14:paraId="49A242EF"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70EEB3F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Does not have access to affordable and high-quality healthcare</w:t>
            </w:r>
          </w:p>
        </w:tc>
        <w:tc>
          <w:tcPr>
            <w:tcW w:w="1714" w:type="dxa"/>
          </w:tcPr>
          <w:p w14:paraId="107A450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435</w:t>
            </w:r>
          </w:p>
        </w:tc>
        <w:tc>
          <w:tcPr>
            <w:tcW w:w="2752" w:type="dxa"/>
          </w:tcPr>
          <w:p w14:paraId="3DB7BA3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89.1</w:t>
            </w:r>
          </w:p>
        </w:tc>
      </w:tr>
      <w:tr w:rsidR="006116EE" w:rsidRPr="00A75385" w14:paraId="045D4247" w14:textId="77777777" w:rsidTr="006116EE">
        <w:trPr>
          <w:trHeight w:val="360"/>
        </w:trPr>
        <w:tc>
          <w:tcPr>
            <w:tcW w:w="2206" w:type="dxa"/>
            <w:vMerge w:val="restart"/>
          </w:tcPr>
          <w:p w14:paraId="5661968B"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BMI Category</w:t>
            </w:r>
          </w:p>
        </w:tc>
        <w:tc>
          <w:tcPr>
            <w:tcW w:w="2678" w:type="dxa"/>
          </w:tcPr>
          <w:p w14:paraId="78D92FB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Underweight</w:t>
            </w:r>
          </w:p>
        </w:tc>
        <w:tc>
          <w:tcPr>
            <w:tcW w:w="1714" w:type="dxa"/>
          </w:tcPr>
          <w:p w14:paraId="3F080B1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95</w:t>
            </w:r>
          </w:p>
        </w:tc>
        <w:tc>
          <w:tcPr>
            <w:tcW w:w="2752" w:type="dxa"/>
          </w:tcPr>
          <w:p w14:paraId="329E778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19.5</w:t>
            </w:r>
          </w:p>
        </w:tc>
      </w:tr>
      <w:tr w:rsidR="006116EE" w:rsidRPr="00A75385" w14:paraId="435A3B70" w14:textId="77777777" w:rsidTr="006116EE">
        <w:trPr>
          <w:trHeight w:val="360"/>
        </w:trPr>
        <w:tc>
          <w:tcPr>
            <w:tcW w:w="2206" w:type="dxa"/>
            <w:vMerge/>
          </w:tcPr>
          <w:p w14:paraId="08C46068"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70B33B9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Normal Weight</w:t>
            </w:r>
          </w:p>
        </w:tc>
        <w:tc>
          <w:tcPr>
            <w:tcW w:w="1714" w:type="dxa"/>
          </w:tcPr>
          <w:p w14:paraId="2702DAF7"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314</w:t>
            </w:r>
          </w:p>
        </w:tc>
        <w:tc>
          <w:tcPr>
            <w:tcW w:w="2752" w:type="dxa"/>
          </w:tcPr>
          <w:p w14:paraId="339702FC"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64.3</w:t>
            </w:r>
          </w:p>
        </w:tc>
      </w:tr>
      <w:tr w:rsidR="006116EE" w:rsidRPr="00A75385" w14:paraId="1B76138F" w14:textId="77777777" w:rsidTr="006116EE">
        <w:trPr>
          <w:trHeight w:val="360"/>
        </w:trPr>
        <w:tc>
          <w:tcPr>
            <w:tcW w:w="2206" w:type="dxa"/>
            <w:vMerge/>
          </w:tcPr>
          <w:p w14:paraId="77A712DF"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5F8BF76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Overweight</w:t>
            </w:r>
          </w:p>
        </w:tc>
        <w:tc>
          <w:tcPr>
            <w:tcW w:w="1714" w:type="dxa"/>
          </w:tcPr>
          <w:p w14:paraId="179E6CE8"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79</w:t>
            </w:r>
          </w:p>
        </w:tc>
        <w:tc>
          <w:tcPr>
            <w:tcW w:w="2752" w:type="dxa"/>
          </w:tcPr>
          <w:p w14:paraId="33C4AEE3"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16.2</w:t>
            </w:r>
          </w:p>
        </w:tc>
      </w:tr>
      <w:tr w:rsidR="006116EE" w:rsidRPr="00A75385" w14:paraId="47A12BE4" w14:textId="77777777" w:rsidTr="006116EE">
        <w:trPr>
          <w:trHeight w:val="360"/>
        </w:trPr>
        <w:tc>
          <w:tcPr>
            <w:tcW w:w="2206" w:type="dxa"/>
            <w:vMerge w:val="restart"/>
          </w:tcPr>
          <w:p w14:paraId="1BD9074E"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Dietary habits of the community</w:t>
            </w:r>
          </w:p>
        </w:tc>
        <w:tc>
          <w:tcPr>
            <w:tcW w:w="2678" w:type="dxa"/>
          </w:tcPr>
          <w:p w14:paraId="6FF9F13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Unhealthy Diet</w:t>
            </w:r>
          </w:p>
        </w:tc>
        <w:tc>
          <w:tcPr>
            <w:tcW w:w="1714" w:type="dxa"/>
          </w:tcPr>
          <w:p w14:paraId="62A76F18"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199</w:t>
            </w:r>
          </w:p>
        </w:tc>
        <w:tc>
          <w:tcPr>
            <w:tcW w:w="2752" w:type="dxa"/>
          </w:tcPr>
          <w:p w14:paraId="4C5DDAD6"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40.8</w:t>
            </w:r>
          </w:p>
        </w:tc>
      </w:tr>
      <w:tr w:rsidR="006116EE" w:rsidRPr="00A75385" w14:paraId="73CFAF39" w14:textId="77777777" w:rsidTr="006116EE">
        <w:trPr>
          <w:trHeight w:val="360"/>
        </w:trPr>
        <w:tc>
          <w:tcPr>
            <w:tcW w:w="2206" w:type="dxa"/>
            <w:vMerge/>
          </w:tcPr>
          <w:p w14:paraId="0D1DB61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47DFC8F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Health Diet</w:t>
            </w:r>
          </w:p>
        </w:tc>
        <w:tc>
          <w:tcPr>
            <w:tcW w:w="1714" w:type="dxa"/>
          </w:tcPr>
          <w:p w14:paraId="6F2E0E3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289</w:t>
            </w:r>
          </w:p>
        </w:tc>
        <w:tc>
          <w:tcPr>
            <w:tcW w:w="2752" w:type="dxa"/>
          </w:tcPr>
          <w:p w14:paraId="54E517D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59.2</w:t>
            </w:r>
          </w:p>
        </w:tc>
      </w:tr>
      <w:tr w:rsidR="006116EE" w:rsidRPr="00A75385" w14:paraId="18B41681" w14:textId="77777777" w:rsidTr="006116EE">
        <w:trPr>
          <w:trHeight w:val="360"/>
        </w:trPr>
        <w:tc>
          <w:tcPr>
            <w:tcW w:w="2206" w:type="dxa"/>
            <w:vMerge w:val="restart"/>
          </w:tcPr>
          <w:p w14:paraId="0182190B" w14:textId="77777777" w:rsidR="006116EE" w:rsidRPr="00A75385" w:rsidRDefault="006116EE" w:rsidP="00A75385">
            <w:pPr>
              <w:spacing w:after="0" w:line="360" w:lineRule="auto"/>
              <w:rPr>
                <w:rFonts w:ascii="Times New Roman" w:eastAsia="Times New Roman" w:hAnsi="Times New Roman" w:cs="Times New Roman"/>
                <w:b/>
                <w:bCs/>
                <w:color w:val="374151"/>
                <w:sz w:val="24"/>
                <w:szCs w:val="24"/>
              </w:rPr>
            </w:pPr>
            <w:r w:rsidRPr="00A75385">
              <w:rPr>
                <w:rFonts w:ascii="Times New Roman" w:eastAsia="Times New Roman" w:hAnsi="Times New Roman" w:cs="Times New Roman"/>
                <w:color w:val="000000" w:themeColor="text1"/>
                <w:sz w:val="24"/>
                <w:szCs w:val="24"/>
              </w:rPr>
              <w:t>Individual's exposure to freeway air pollution and health impacts</w:t>
            </w:r>
          </w:p>
        </w:tc>
        <w:tc>
          <w:tcPr>
            <w:tcW w:w="2678" w:type="dxa"/>
          </w:tcPr>
          <w:p w14:paraId="77076DD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Individuals at lower risk for adverse health outcomes</w:t>
            </w:r>
          </w:p>
        </w:tc>
        <w:tc>
          <w:tcPr>
            <w:tcW w:w="1714" w:type="dxa"/>
          </w:tcPr>
          <w:p w14:paraId="730EEAA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75</w:t>
            </w:r>
          </w:p>
        </w:tc>
        <w:tc>
          <w:tcPr>
            <w:tcW w:w="2752" w:type="dxa"/>
          </w:tcPr>
          <w:p w14:paraId="1E4D5B4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15.4</w:t>
            </w:r>
          </w:p>
        </w:tc>
      </w:tr>
      <w:tr w:rsidR="006116EE" w:rsidRPr="00A75385" w14:paraId="2DF902D5" w14:textId="77777777" w:rsidTr="006116EE">
        <w:trPr>
          <w:trHeight w:val="360"/>
        </w:trPr>
        <w:tc>
          <w:tcPr>
            <w:tcW w:w="2206" w:type="dxa"/>
            <w:vMerge/>
          </w:tcPr>
          <w:p w14:paraId="4FD00690" w14:textId="77777777" w:rsidR="006116EE" w:rsidRPr="00A75385" w:rsidRDefault="006116EE" w:rsidP="00A75385">
            <w:pPr>
              <w:spacing w:after="0" w:line="360" w:lineRule="auto"/>
              <w:rPr>
                <w:rFonts w:ascii="Times New Roman" w:eastAsia="Times New Roman" w:hAnsi="Times New Roman" w:cs="Times New Roman"/>
                <w:b/>
                <w:bCs/>
                <w:color w:val="000000" w:themeColor="text1"/>
                <w:sz w:val="24"/>
                <w:szCs w:val="24"/>
              </w:rPr>
            </w:pPr>
          </w:p>
        </w:tc>
        <w:tc>
          <w:tcPr>
            <w:tcW w:w="2678" w:type="dxa"/>
          </w:tcPr>
          <w:p w14:paraId="7A98A8E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Individuals at increased risk for adverse health outcomes</w:t>
            </w:r>
          </w:p>
        </w:tc>
        <w:tc>
          <w:tcPr>
            <w:tcW w:w="1714" w:type="dxa"/>
          </w:tcPr>
          <w:p w14:paraId="4D93FFD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413</w:t>
            </w:r>
          </w:p>
        </w:tc>
        <w:tc>
          <w:tcPr>
            <w:tcW w:w="2752" w:type="dxa"/>
          </w:tcPr>
          <w:p w14:paraId="41CB43E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84.6</w:t>
            </w:r>
          </w:p>
        </w:tc>
      </w:tr>
      <w:tr w:rsidR="006116EE" w:rsidRPr="00A75385" w14:paraId="7C057A94" w14:textId="77777777" w:rsidTr="006116EE">
        <w:trPr>
          <w:trHeight w:val="360"/>
        </w:trPr>
        <w:tc>
          <w:tcPr>
            <w:tcW w:w="2206" w:type="dxa"/>
            <w:vMerge w:val="restart"/>
          </w:tcPr>
          <w:p w14:paraId="44EE8044" w14:textId="77777777" w:rsidR="006116EE" w:rsidRPr="00A75385" w:rsidRDefault="006116EE" w:rsidP="00A75385">
            <w:pPr>
              <w:spacing w:after="0" w:line="360" w:lineRule="auto"/>
              <w:rPr>
                <w:rFonts w:ascii="Times New Roman" w:eastAsia="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Level of community health promotion activities</w:t>
            </w:r>
          </w:p>
        </w:tc>
        <w:tc>
          <w:tcPr>
            <w:tcW w:w="2678" w:type="dxa"/>
          </w:tcPr>
          <w:p w14:paraId="0CBB973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Lower level of community health promotion activities</w:t>
            </w:r>
          </w:p>
        </w:tc>
        <w:tc>
          <w:tcPr>
            <w:tcW w:w="1714" w:type="dxa"/>
          </w:tcPr>
          <w:p w14:paraId="13A4925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469</w:t>
            </w:r>
          </w:p>
        </w:tc>
        <w:tc>
          <w:tcPr>
            <w:tcW w:w="2752" w:type="dxa"/>
          </w:tcPr>
          <w:p w14:paraId="2B8DDA8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96.1</w:t>
            </w:r>
          </w:p>
        </w:tc>
      </w:tr>
      <w:tr w:rsidR="006116EE" w:rsidRPr="00A75385" w14:paraId="2FCF4B91" w14:textId="77777777" w:rsidTr="006116EE">
        <w:trPr>
          <w:trHeight w:val="360"/>
        </w:trPr>
        <w:tc>
          <w:tcPr>
            <w:tcW w:w="2206" w:type="dxa"/>
            <w:vMerge/>
          </w:tcPr>
          <w:p w14:paraId="793C8489"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21B576E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Higher level of community health promotion activities</w:t>
            </w:r>
          </w:p>
        </w:tc>
        <w:tc>
          <w:tcPr>
            <w:tcW w:w="1714" w:type="dxa"/>
          </w:tcPr>
          <w:p w14:paraId="499E59F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19</w:t>
            </w:r>
          </w:p>
        </w:tc>
        <w:tc>
          <w:tcPr>
            <w:tcW w:w="2752" w:type="dxa"/>
          </w:tcPr>
          <w:p w14:paraId="5AEF77A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3.9</w:t>
            </w:r>
          </w:p>
        </w:tc>
      </w:tr>
      <w:tr w:rsidR="006116EE" w:rsidRPr="00A75385" w14:paraId="54BB76B1" w14:textId="77777777" w:rsidTr="006116EE">
        <w:trPr>
          <w:trHeight w:val="360"/>
        </w:trPr>
        <w:tc>
          <w:tcPr>
            <w:tcW w:w="2206" w:type="dxa"/>
            <w:vMerge w:val="restart"/>
          </w:tcPr>
          <w:p w14:paraId="3E92CF18"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lastRenderedPageBreak/>
              <w:t>Patient's self-efficacy in managing their chronic disease</w:t>
            </w:r>
          </w:p>
        </w:tc>
        <w:tc>
          <w:tcPr>
            <w:tcW w:w="2678" w:type="dxa"/>
          </w:tcPr>
          <w:p w14:paraId="211FA84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Patients’ high self-efficacy</w:t>
            </w:r>
          </w:p>
        </w:tc>
        <w:tc>
          <w:tcPr>
            <w:tcW w:w="1714" w:type="dxa"/>
          </w:tcPr>
          <w:p w14:paraId="5686ABF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383</w:t>
            </w:r>
          </w:p>
        </w:tc>
        <w:tc>
          <w:tcPr>
            <w:tcW w:w="2752" w:type="dxa"/>
          </w:tcPr>
          <w:p w14:paraId="0780013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78.5</w:t>
            </w:r>
          </w:p>
        </w:tc>
      </w:tr>
      <w:tr w:rsidR="006116EE" w:rsidRPr="00A75385" w14:paraId="4369DC14" w14:textId="77777777" w:rsidTr="006116EE">
        <w:trPr>
          <w:trHeight w:val="360"/>
        </w:trPr>
        <w:tc>
          <w:tcPr>
            <w:tcW w:w="2206" w:type="dxa"/>
            <w:vMerge/>
          </w:tcPr>
          <w:p w14:paraId="36C54ABB"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49D0A70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Patients’ low self-efficacy</w:t>
            </w:r>
          </w:p>
        </w:tc>
        <w:tc>
          <w:tcPr>
            <w:tcW w:w="1714" w:type="dxa"/>
          </w:tcPr>
          <w:p w14:paraId="64A468C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105</w:t>
            </w:r>
          </w:p>
        </w:tc>
        <w:tc>
          <w:tcPr>
            <w:tcW w:w="2752" w:type="dxa"/>
          </w:tcPr>
          <w:p w14:paraId="1254345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21.5</w:t>
            </w:r>
          </w:p>
        </w:tc>
      </w:tr>
      <w:tr w:rsidR="006116EE" w:rsidRPr="00A75385" w14:paraId="68985CA2" w14:textId="77777777" w:rsidTr="006116EE">
        <w:trPr>
          <w:trHeight w:val="360"/>
        </w:trPr>
        <w:tc>
          <w:tcPr>
            <w:tcW w:w="2206" w:type="dxa"/>
            <w:vMerge w:val="restart"/>
          </w:tcPr>
          <w:p w14:paraId="4F2CD49D" w14:textId="77777777" w:rsidR="006116EE" w:rsidRPr="00A75385" w:rsidRDefault="006116EE" w:rsidP="00A75385">
            <w:pPr>
              <w:spacing w:after="0" w:line="360" w:lineRule="auto"/>
              <w:rPr>
                <w:rFonts w:ascii="Times New Roman" w:eastAsia="Times New Roman" w:hAnsi="Times New Roman" w:cs="Times New Roman"/>
                <w:b/>
                <w:bCs/>
                <w:color w:val="000000" w:themeColor="text1"/>
                <w:sz w:val="24"/>
                <w:szCs w:val="24"/>
              </w:rPr>
            </w:pPr>
            <w:r w:rsidRPr="00A75385">
              <w:rPr>
                <w:rFonts w:ascii="Times New Roman" w:eastAsia="Times New Roman" w:hAnsi="Times New Roman" w:cs="Times New Roman"/>
                <w:color w:val="000000" w:themeColor="text1"/>
                <w:sz w:val="24"/>
                <w:szCs w:val="24"/>
              </w:rPr>
              <w:t>Patients' knowledge, skills, and confidence in managing their health and healthcare</w:t>
            </w:r>
          </w:p>
          <w:p w14:paraId="05E573B7"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678" w:type="dxa"/>
          </w:tcPr>
          <w:p w14:paraId="4E94DD7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1</w:t>
            </w:r>
          </w:p>
        </w:tc>
        <w:tc>
          <w:tcPr>
            <w:tcW w:w="1714" w:type="dxa"/>
          </w:tcPr>
          <w:p w14:paraId="4000071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180</w:t>
            </w:r>
          </w:p>
        </w:tc>
        <w:tc>
          <w:tcPr>
            <w:tcW w:w="2752" w:type="dxa"/>
          </w:tcPr>
          <w:p w14:paraId="5C1D3C1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36.9</w:t>
            </w:r>
          </w:p>
        </w:tc>
      </w:tr>
      <w:tr w:rsidR="006116EE" w:rsidRPr="00A75385" w14:paraId="5CA5BC41" w14:textId="77777777" w:rsidTr="006116EE">
        <w:trPr>
          <w:trHeight w:val="360"/>
        </w:trPr>
        <w:tc>
          <w:tcPr>
            <w:tcW w:w="2206" w:type="dxa"/>
            <w:vMerge/>
          </w:tcPr>
          <w:p w14:paraId="382697DB" w14:textId="77777777" w:rsidR="006116EE" w:rsidRPr="00A75385" w:rsidRDefault="006116EE" w:rsidP="00A75385">
            <w:pPr>
              <w:spacing w:after="0" w:line="360" w:lineRule="auto"/>
              <w:rPr>
                <w:rFonts w:ascii="Times New Roman" w:eastAsia="Times New Roman" w:hAnsi="Times New Roman" w:cs="Times New Roman"/>
                <w:b/>
                <w:bCs/>
                <w:color w:val="000000" w:themeColor="text1"/>
                <w:sz w:val="24"/>
                <w:szCs w:val="24"/>
              </w:rPr>
            </w:pPr>
          </w:p>
        </w:tc>
        <w:tc>
          <w:tcPr>
            <w:tcW w:w="2678" w:type="dxa"/>
          </w:tcPr>
          <w:p w14:paraId="3B9C80B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2</w:t>
            </w:r>
          </w:p>
        </w:tc>
        <w:tc>
          <w:tcPr>
            <w:tcW w:w="1714" w:type="dxa"/>
          </w:tcPr>
          <w:p w14:paraId="7E02528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42</w:t>
            </w:r>
          </w:p>
        </w:tc>
        <w:tc>
          <w:tcPr>
            <w:tcW w:w="2752" w:type="dxa"/>
          </w:tcPr>
          <w:p w14:paraId="3A25F14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8.6</w:t>
            </w:r>
          </w:p>
        </w:tc>
      </w:tr>
      <w:tr w:rsidR="006116EE" w:rsidRPr="00A75385" w14:paraId="1D2964D9" w14:textId="77777777" w:rsidTr="006116EE">
        <w:trPr>
          <w:trHeight w:val="360"/>
        </w:trPr>
        <w:tc>
          <w:tcPr>
            <w:tcW w:w="2206" w:type="dxa"/>
            <w:vMerge/>
          </w:tcPr>
          <w:p w14:paraId="5D3401CC" w14:textId="77777777" w:rsidR="006116EE" w:rsidRPr="00A75385" w:rsidRDefault="006116EE" w:rsidP="00A75385">
            <w:pPr>
              <w:spacing w:after="0" w:line="360" w:lineRule="auto"/>
              <w:rPr>
                <w:rFonts w:ascii="Times New Roman" w:eastAsia="Times New Roman" w:hAnsi="Times New Roman" w:cs="Times New Roman"/>
                <w:b/>
                <w:bCs/>
                <w:color w:val="000000" w:themeColor="text1"/>
                <w:sz w:val="24"/>
                <w:szCs w:val="24"/>
              </w:rPr>
            </w:pPr>
          </w:p>
        </w:tc>
        <w:tc>
          <w:tcPr>
            <w:tcW w:w="2678" w:type="dxa"/>
          </w:tcPr>
          <w:p w14:paraId="2F35D67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3</w:t>
            </w:r>
          </w:p>
        </w:tc>
        <w:tc>
          <w:tcPr>
            <w:tcW w:w="1714" w:type="dxa"/>
          </w:tcPr>
          <w:p w14:paraId="3F704CA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83</w:t>
            </w:r>
          </w:p>
        </w:tc>
        <w:tc>
          <w:tcPr>
            <w:tcW w:w="2752" w:type="dxa"/>
          </w:tcPr>
          <w:p w14:paraId="523A2EF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17.0</w:t>
            </w:r>
          </w:p>
        </w:tc>
      </w:tr>
      <w:tr w:rsidR="006116EE" w:rsidRPr="00A75385" w14:paraId="6B37C0DB" w14:textId="77777777" w:rsidTr="006116EE">
        <w:trPr>
          <w:trHeight w:val="578"/>
        </w:trPr>
        <w:tc>
          <w:tcPr>
            <w:tcW w:w="2206" w:type="dxa"/>
            <w:vMerge/>
          </w:tcPr>
          <w:p w14:paraId="580E9081" w14:textId="77777777" w:rsidR="006116EE" w:rsidRPr="00A75385" w:rsidRDefault="006116EE" w:rsidP="00A75385">
            <w:pPr>
              <w:spacing w:after="0" w:line="360" w:lineRule="auto"/>
              <w:rPr>
                <w:rFonts w:ascii="Times New Roman" w:eastAsia="Times New Roman" w:hAnsi="Times New Roman" w:cs="Times New Roman"/>
                <w:b/>
                <w:bCs/>
                <w:color w:val="000000" w:themeColor="text1"/>
                <w:sz w:val="24"/>
                <w:szCs w:val="24"/>
              </w:rPr>
            </w:pPr>
          </w:p>
        </w:tc>
        <w:tc>
          <w:tcPr>
            <w:tcW w:w="2678" w:type="dxa"/>
          </w:tcPr>
          <w:p w14:paraId="41CA7D2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4</w:t>
            </w:r>
          </w:p>
        </w:tc>
        <w:tc>
          <w:tcPr>
            <w:tcW w:w="1714" w:type="dxa"/>
          </w:tcPr>
          <w:p w14:paraId="102F33C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183</w:t>
            </w:r>
          </w:p>
        </w:tc>
        <w:tc>
          <w:tcPr>
            <w:tcW w:w="2752" w:type="dxa"/>
          </w:tcPr>
          <w:p w14:paraId="7DE23C7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37.5</w:t>
            </w:r>
          </w:p>
        </w:tc>
      </w:tr>
      <w:tr w:rsidR="006116EE" w:rsidRPr="00A75385" w14:paraId="0C2EA173" w14:textId="77777777" w:rsidTr="006116EE">
        <w:trPr>
          <w:trHeight w:val="142"/>
        </w:trPr>
        <w:tc>
          <w:tcPr>
            <w:tcW w:w="2206" w:type="dxa"/>
            <w:vMerge w:val="restart"/>
          </w:tcPr>
          <w:p w14:paraId="54EE80FA" w14:textId="77777777" w:rsidR="006116EE" w:rsidRPr="00A75385" w:rsidRDefault="006116EE" w:rsidP="00A75385">
            <w:pPr>
              <w:spacing w:after="0" w:line="360" w:lineRule="auto"/>
              <w:rPr>
                <w:rFonts w:ascii="Times New Roman" w:eastAsia="Times New Roman" w:hAnsi="Times New Roman" w:cs="Times New Roman"/>
                <w:color w:val="000000" w:themeColor="text1"/>
                <w:sz w:val="24"/>
                <w:szCs w:val="24"/>
              </w:rPr>
            </w:pPr>
            <w:r w:rsidRPr="00A75385">
              <w:rPr>
                <w:rFonts w:ascii="Times New Roman" w:eastAsia="Times New Roman" w:hAnsi="Times New Roman" w:cs="Times New Roman"/>
                <w:color w:val="000000" w:themeColor="text1"/>
                <w:sz w:val="24"/>
                <w:szCs w:val="24"/>
              </w:rPr>
              <w:t>Having chronic disease</w:t>
            </w:r>
          </w:p>
        </w:tc>
        <w:tc>
          <w:tcPr>
            <w:tcW w:w="2678" w:type="dxa"/>
          </w:tcPr>
          <w:p w14:paraId="5CD6D48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w:t>
            </w:r>
          </w:p>
        </w:tc>
        <w:tc>
          <w:tcPr>
            <w:tcW w:w="1714" w:type="dxa"/>
          </w:tcPr>
          <w:p w14:paraId="38A52E5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316</w:t>
            </w:r>
          </w:p>
        </w:tc>
        <w:tc>
          <w:tcPr>
            <w:tcW w:w="2752" w:type="dxa"/>
          </w:tcPr>
          <w:p w14:paraId="33EFA8E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64.8%</w:t>
            </w:r>
          </w:p>
        </w:tc>
      </w:tr>
      <w:tr w:rsidR="006116EE" w:rsidRPr="00A75385" w14:paraId="625F2EFB" w14:textId="77777777" w:rsidTr="006116EE">
        <w:trPr>
          <w:trHeight w:val="123"/>
        </w:trPr>
        <w:tc>
          <w:tcPr>
            <w:tcW w:w="2206" w:type="dxa"/>
            <w:vMerge/>
          </w:tcPr>
          <w:p w14:paraId="73F466DB" w14:textId="77777777" w:rsidR="006116EE" w:rsidRPr="00A75385" w:rsidRDefault="006116EE" w:rsidP="00A75385">
            <w:pPr>
              <w:spacing w:after="0" w:line="360" w:lineRule="auto"/>
              <w:rPr>
                <w:rFonts w:ascii="Times New Roman" w:eastAsia="Times New Roman" w:hAnsi="Times New Roman" w:cs="Times New Roman"/>
                <w:b/>
                <w:bCs/>
                <w:color w:val="000000" w:themeColor="text1"/>
                <w:sz w:val="24"/>
                <w:szCs w:val="24"/>
              </w:rPr>
            </w:pPr>
          </w:p>
        </w:tc>
        <w:tc>
          <w:tcPr>
            <w:tcW w:w="2678" w:type="dxa"/>
          </w:tcPr>
          <w:p w14:paraId="021AD49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Yes</w:t>
            </w:r>
          </w:p>
        </w:tc>
        <w:tc>
          <w:tcPr>
            <w:tcW w:w="1714" w:type="dxa"/>
          </w:tcPr>
          <w:p w14:paraId="5A5AC0E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172</w:t>
            </w:r>
          </w:p>
        </w:tc>
        <w:tc>
          <w:tcPr>
            <w:tcW w:w="2752" w:type="dxa"/>
          </w:tcPr>
          <w:p w14:paraId="66A8520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35.2%</w:t>
            </w:r>
          </w:p>
        </w:tc>
      </w:tr>
    </w:tbl>
    <w:p w14:paraId="789A309E" w14:textId="77777777" w:rsidR="006116EE" w:rsidRPr="00A75385" w:rsidRDefault="006116EE" w:rsidP="00A75385">
      <w:pPr>
        <w:spacing w:line="360" w:lineRule="auto"/>
        <w:rPr>
          <w:rFonts w:ascii="Times New Roman" w:hAnsi="Times New Roman" w:cs="Times New Roman"/>
          <w:sz w:val="24"/>
          <w:szCs w:val="24"/>
        </w:rPr>
      </w:pPr>
    </w:p>
    <w:p w14:paraId="4E480AA5" w14:textId="77777777" w:rsidR="00A02951" w:rsidRPr="00A75385" w:rsidRDefault="00A02951" w:rsidP="00A75385">
      <w:pPr>
        <w:spacing w:line="360" w:lineRule="auto"/>
        <w:jc w:val="both"/>
        <w:rPr>
          <w:rFonts w:ascii="Times New Roman" w:hAnsi="Times New Roman" w:cs="Times New Roman"/>
          <w:sz w:val="24"/>
          <w:szCs w:val="24"/>
        </w:rPr>
      </w:pPr>
    </w:p>
    <w:p w14:paraId="3CCD2F7D" w14:textId="77777777" w:rsidR="00A02951" w:rsidRPr="00A75385" w:rsidRDefault="00A02951" w:rsidP="00A75385">
      <w:pPr>
        <w:spacing w:line="360" w:lineRule="auto"/>
        <w:jc w:val="both"/>
        <w:rPr>
          <w:rStyle w:val="gtfootnotemarks"/>
          <w:rFonts w:ascii="Times New Roman" w:hAnsi="Times New Roman" w:cs="Times New Roman"/>
          <w:b/>
          <w:iCs/>
          <w:color w:val="333333"/>
          <w:sz w:val="24"/>
          <w:szCs w:val="24"/>
          <w:shd w:val="clear" w:color="auto" w:fill="FFFFFF"/>
          <w:vertAlign w:val="superscript"/>
        </w:rPr>
      </w:pPr>
    </w:p>
    <w:p w14:paraId="26A39631" w14:textId="77777777" w:rsidR="006116EE" w:rsidRPr="00A75385" w:rsidRDefault="006116EE" w:rsidP="00A75385">
      <w:pPr>
        <w:spacing w:after="0" w:line="360" w:lineRule="auto"/>
        <w:rPr>
          <w:rFonts w:ascii="Times New Roman" w:hAnsi="Times New Roman" w:cs="Times New Roman"/>
          <w:b/>
          <w:sz w:val="24"/>
          <w:szCs w:val="24"/>
        </w:rPr>
      </w:pPr>
      <w:bookmarkStart w:id="16" w:name="_Toc135693419"/>
    </w:p>
    <w:p w14:paraId="6CC5B016" w14:textId="77777777" w:rsidR="006116EE" w:rsidRPr="00A75385" w:rsidRDefault="006116EE" w:rsidP="00A75385">
      <w:pPr>
        <w:spacing w:after="0" w:line="360" w:lineRule="auto"/>
        <w:rPr>
          <w:rFonts w:ascii="Times New Roman" w:hAnsi="Times New Roman" w:cs="Times New Roman"/>
          <w:b/>
          <w:sz w:val="24"/>
          <w:szCs w:val="24"/>
        </w:rPr>
      </w:pPr>
    </w:p>
    <w:p w14:paraId="77013779" w14:textId="77777777" w:rsidR="006116EE" w:rsidRPr="00A75385" w:rsidRDefault="006116EE" w:rsidP="00A75385">
      <w:pPr>
        <w:spacing w:after="0" w:line="360" w:lineRule="auto"/>
        <w:rPr>
          <w:rFonts w:ascii="Times New Roman" w:hAnsi="Times New Roman" w:cs="Times New Roman"/>
          <w:b/>
          <w:sz w:val="24"/>
          <w:szCs w:val="24"/>
        </w:rPr>
      </w:pPr>
    </w:p>
    <w:p w14:paraId="04BA03FD" w14:textId="77777777" w:rsidR="006116EE" w:rsidRPr="00A75385" w:rsidRDefault="006116EE" w:rsidP="00A75385">
      <w:pPr>
        <w:spacing w:after="0" w:line="360" w:lineRule="auto"/>
        <w:rPr>
          <w:rFonts w:ascii="Times New Roman" w:hAnsi="Times New Roman" w:cs="Times New Roman"/>
          <w:b/>
          <w:sz w:val="24"/>
          <w:szCs w:val="24"/>
        </w:rPr>
      </w:pPr>
    </w:p>
    <w:p w14:paraId="6F37AB18" w14:textId="77777777" w:rsidR="006116EE" w:rsidRPr="00A75385" w:rsidRDefault="006116EE" w:rsidP="00A75385">
      <w:pPr>
        <w:spacing w:after="0" w:line="360" w:lineRule="auto"/>
        <w:rPr>
          <w:rFonts w:ascii="Times New Roman" w:hAnsi="Times New Roman" w:cs="Times New Roman"/>
          <w:b/>
          <w:sz w:val="24"/>
          <w:szCs w:val="24"/>
        </w:rPr>
      </w:pPr>
    </w:p>
    <w:p w14:paraId="45AB9BAC" w14:textId="77777777" w:rsidR="006116EE" w:rsidRPr="00A75385" w:rsidRDefault="006116EE" w:rsidP="00A75385">
      <w:pPr>
        <w:spacing w:after="0" w:line="360" w:lineRule="auto"/>
        <w:rPr>
          <w:rFonts w:ascii="Times New Roman" w:hAnsi="Times New Roman" w:cs="Times New Roman"/>
          <w:b/>
          <w:sz w:val="24"/>
          <w:szCs w:val="24"/>
        </w:rPr>
      </w:pPr>
    </w:p>
    <w:p w14:paraId="637FFB4F" w14:textId="77777777" w:rsidR="006116EE" w:rsidRPr="00A75385" w:rsidRDefault="006116EE" w:rsidP="00A75385">
      <w:pPr>
        <w:spacing w:after="0" w:line="360" w:lineRule="auto"/>
        <w:rPr>
          <w:rFonts w:ascii="Times New Roman" w:hAnsi="Times New Roman" w:cs="Times New Roman"/>
          <w:b/>
          <w:sz w:val="24"/>
          <w:szCs w:val="24"/>
        </w:rPr>
      </w:pPr>
    </w:p>
    <w:p w14:paraId="3FD90022" w14:textId="38F59DA9" w:rsidR="006116EE" w:rsidRPr="00A75385" w:rsidRDefault="006116EE" w:rsidP="00A75385">
      <w:pPr>
        <w:spacing w:after="0" w:line="360" w:lineRule="auto"/>
        <w:rPr>
          <w:rFonts w:ascii="Times New Roman" w:hAnsi="Times New Roman" w:cs="Times New Roman"/>
          <w:b/>
          <w:i/>
          <w:sz w:val="24"/>
          <w:szCs w:val="24"/>
        </w:rPr>
      </w:pPr>
      <w:r w:rsidRPr="00A75385">
        <w:rPr>
          <w:rFonts w:ascii="Times New Roman" w:hAnsi="Times New Roman" w:cs="Times New Roman"/>
          <w:b/>
          <w:sz w:val="24"/>
          <w:szCs w:val="24"/>
        </w:rPr>
        <w:t xml:space="preserve">Table </w:t>
      </w:r>
      <w:r w:rsidRPr="00A75385">
        <w:rPr>
          <w:rFonts w:ascii="Times New Roman" w:hAnsi="Times New Roman" w:cs="Times New Roman"/>
          <w:b/>
          <w:i/>
          <w:sz w:val="24"/>
          <w:szCs w:val="24"/>
        </w:rPr>
        <w:fldChar w:fldCharType="begin"/>
      </w:r>
      <w:r w:rsidRPr="00A75385">
        <w:rPr>
          <w:rFonts w:ascii="Times New Roman" w:hAnsi="Times New Roman" w:cs="Times New Roman"/>
          <w:b/>
          <w:sz w:val="24"/>
          <w:szCs w:val="24"/>
        </w:rPr>
        <w:instrText xml:space="preserve"> SEQ Table \* ARABIC </w:instrText>
      </w:r>
      <w:r w:rsidRPr="00A75385">
        <w:rPr>
          <w:rFonts w:ascii="Times New Roman" w:hAnsi="Times New Roman" w:cs="Times New Roman"/>
          <w:b/>
          <w:i/>
          <w:sz w:val="24"/>
          <w:szCs w:val="24"/>
        </w:rPr>
        <w:fldChar w:fldCharType="separate"/>
      </w:r>
      <w:r w:rsidRPr="00A75385">
        <w:rPr>
          <w:rFonts w:ascii="Times New Roman" w:hAnsi="Times New Roman" w:cs="Times New Roman"/>
          <w:b/>
          <w:noProof/>
          <w:sz w:val="24"/>
          <w:szCs w:val="24"/>
        </w:rPr>
        <w:t>2</w:t>
      </w:r>
      <w:r w:rsidRPr="00A75385">
        <w:rPr>
          <w:rFonts w:ascii="Times New Roman" w:hAnsi="Times New Roman" w:cs="Times New Roman"/>
          <w:b/>
          <w:i/>
          <w:sz w:val="24"/>
          <w:szCs w:val="24"/>
        </w:rPr>
        <w:fldChar w:fldCharType="end"/>
      </w:r>
      <w:r w:rsidRPr="00A75385">
        <w:rPr>
          <w:rFonts w:ascii="Times New Roman" w:hAnsi="Times New Roman" w:cs="Times New Roman"/>
          <w:b/>
          <w:sz w:val="24"/>
          <w:szCs w:val="24"/>
        </w:rPr>
        <w:t xml:space="preserve">: </w:t>
      </w:r>
      <w:r w:rsidRPr="00A75385">
        <w:rPr>
          <w:rFonts w:ascii="Times New Roman" w:hAnsi="Times New Roman" w:cs="Times New Roman"/>
          <w:b/>
          <w:bCs/>
          <w:sz w:val="24"/>
          <w:szCs w:val="24"/>
        </w:rPr>
        <w:t xml:space="preserve">Chi square </w:t>
      </w:r>
      <w:r w:rsidR="00804500">
        <w:rPr>
          <w:rFonts w:ascii="Times New Roman" w:hAnsi="Times New Roman" w:cs="Times New Roman"/>
          <w:b/>
          <w:bCs/>
          <w:sz w:val="24"/>
          <w:szCs w:val="24"/>
        </w:rPr>
        <w:t>a</w:t>
      </w:r>
      <w:r w:rsidRPr="00A75385">
        <w:rPr>
          <w:rFonts w:ascii="Times New Roman" w:hAnsi="Times New Roman" w:cs="Times New Roman"/>
          <w:b/>
          <w:bCs/>
          <w:sz w:val="24"/>
          <w:szCs w:val="24"/>
        </w:rPr>
        <w:t>ssociation between health behavior and chronic diseases</w:t>
      </w:r>
      <w:bookmarkEnd w:id="16"/>
    </w:p>
    <w:tbl>
      <w:tblPr>
        <w:tblStyle w:val="TableGrid"/>
        <w:tblW w:w="9350" w:type="dxa"/>
        <w:tblLook w:val="04A0" w:firstRow="1" w:lastRow="0" w:firstColumn="1" w:lastColumn="0" w:noHBand="0" w:noVBand="1"/>
      </w:tblPr>
      <w:tblGrid>
        <w:gridCol w:w="1830"/>
        <w:gridCol w:w="2004"/>
        <w:gridCol w:w="27"/>
        <w:gridCol w:w="2292"/>
        <w:gridCol w:w="18"/>
        <w:gridCol w:w="34"/>
        <w:gridCol w:w="1382"/>
        <w:gridCol w:w="54"/>
        <w:gridCol w:w="902"/>
        <w:gridCol w:w="807"/>
      </w:tblGrid>
      <w:tr w:rsidR="006116EE" w:rsidRPr="00A75385" w14:paraId="62DD1D86" w14:textId="77777777" w:rsidTr="006116EE">
        <w:trPr>
          <w:trHeight w:val="356"/>
        </w:trPr>
        <w:tc>
          <w:tcPr>
            <w:tcW w:w="3834" w:type="dxa"/>
            <w:gridSpan w:val="2"/>
            <w:vMerge w:val="restart"/>
          </w:tcPr>
          <w:p w14:paraId="5577B180"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sz w:val="24"/>
                <w:szCs w:val="24"/>
              </w:rPr>
              <w:t xml:space="preserve">Variable </w:t>
            </w:r>
          </w:p>
        </w:tc>
        <w:tc>
          <w:tcPr>
            <w:tcW w:w="3753" w:type="dxa"/>
            <w:gridSpan w:val="5"/>
          </w:tcPr>
          <w:p w14:paraId="6BE160E0"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b/>
                <w:bCs/>
                <w:sz w:val="24"/>
                <w:szCs w:val="24"/>
              </w:rPr>
              <w:t>Chronic Diseases</w:t>
            </w:r>
          </w:p>
        </w:tc>
        <w:tc>
          <w:tcPr>
            <w:tcW w:w="956" w:type="dxa"/>
            <w:gridSpan w:val="2"/>
            <w:vMerge w:val="restart"/>
          </w:tcPr>
          <w:p w14:paraId="404E685D"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b/>
                <w:bCs/>
                <w:sz w:val="24"/>
                <w:szCs w:val="24"/>
              </w:rPr>
              <w:t>Chi-Square</w:t>
            </w:r>
          </w:p>
        </w:tc>
        <w:tc>
          <w:tcPr>
            <w:tcW w:w="807" w:type="dxa"/>
            <w:vMerge w:val="restart"/>
          </w:tcPr>
          <w:p w14:paraId="1B067C59"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b/>
                <w:bCs/>
                <w:sz w:val="24"/>
                <w:szCs w:val="24"/>
              </w:rPr>
              <w:t>P value</w:t>
            </w:r>
          </w:p>
        </w:tc>
      </w:tr>
      <w:tr w:rsidR="006116EE" w:rsidRPr="00A75385" w14:paraId="430C6930" w14:textId="77777777" w:rsidTr="006116EE">
        <w:trPr>
          <w:trHeight w:val="90"/>
        </w:trPr>
        <w:tc>
          <w:tcPr>
            <w:tcW w:w="3834" w:type="dxa"/>
            <w:gridSpan w:val="2"/>
            <w:vMerge/>
          </w:tcPr>
          <w:p w14:paraId="57C28A8D" w14:textId="77777777" w:rsidR="006116EE" w:rsidRPr="00A75385" w:rsidRDefault="006116EE" w:rsidP="00A75385">
            <w:pPr>
              <w:spacing w:after="0" w:line="360" w:lineRule="auto"/>
              <w:rPr>
                <w:rFonts w:ascii="Times New Roman" w:hAnsi="Times New Roman" w:cs="Times New Roman"/>
                <w:b/>
                <w:bCs/>
                <w:sz w:val="24"/>
                <w:szCs w:val="24"/>
              </w:rPr>
            </w:pPr>
          </w:p>
        </w:tc>
        <w:tc>
          <w:tcPr>
            <w:tcW w:w="2337" w:type="dxa"/>
            <w:gridSpan w:val="3"/>
          </w:tcPr>
          <w:p w14:paraId="5D4A1A23"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b/>
                <w:bCs/>
                <w:sz w:val="24"/>
                <w:szCs w:val="24"/>
              </w:rPr>
              <w:t>No (N, %)</w:t>
            </w:r>
          </w:p>
        </w:tc>
        <w:tc>
          <w:tcPr>
            <w:tcW w:w="1416" w:type="dxa"/>
            <w:gridSpan w:val="2"/>
          </w:tcPr>
          <w:p w14:paraId="7ED9A586"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b/>
                <w:bCs/>
                <w:sz w:val="24"/>
                <w:szCs w:val="24"/>
              </w:rPr>
              <w:t>Yes (N, %)</w:t>
            </w:r>
          </w:p>
        </w:tc>
        <w:tc>
          <w:tcPr>
            <w:tcW w:w="956" w:type="dxa"/>
            <w:gridSpan w:val="2"/>
            <w:vMerge/>
          </w:tcPr>
          <w:p w14:paraId="7EB00CB2" w14:textId="77777777" w:rsidR="006116EE" w:rsidRPr="00A75385" w:rsidRDefault="006116EE" w:rsidP="00A75385">
            <w:pPr>
              <w:spacing w:after="0" w:line="360" w:lineRule="auto"/>
              <w:rPr>
                <w:rFonts w:ascii="Times New Roman" w:hAnsi="Times New Roman" w:cs="Times New Roman"/>
                <w:b/>
                <w:bCs/>
                <w:sz w:val="24"/>
                <w:szCs w:val="24"/>
              </w:rPr>
            </w:pPr>
          </w:p>
        </w:tc>
        <w:tc>
          <w:tcPr>
            <w:tcW w:w="807" w:type="dxa"/>
            <w:vMerge/>
          </w:tcPr>
          <w:p w14:paraId="42E41528" w14:textId="77777777" w:rsidR="006116EE" w:rsidRPr="00A75385" w:rsidRDefault="006116EE" w:rsidP="00A75385">
            <w:pPr>
              <w:spacing w:after="0" w:line="360" w:lineRule="auto"/>
              <w:rPr>
                <w:rFonts w:ascii="Times New Roman" w:hAnsi="Times New Roman" w:cs="Times New Roman"/>
                <w:b/>
                <w:bCs/>
                <w:sz w:val="24"/>
                <w:szCs w:val="24"/>
              </w:rPr>
            </w:pPr>
          </w:p>
        </w:tc>
      </w:tr>
      <w:tr w:rsidR="006116EE" w:rsidRPr="00A75385" w14:paraId="43F05CD7" w14:textId="77777777" w:rsidTr="006116EE">
        <w:trPr>
          <w:trHeight w:val="262"/>
        </w:trPr>
        <w:tc>
          <w:tcPr>
            <w:tcW w:w="1830" w:type="dxa"/>
            <w:vMerge w:val="restart"/>
          </w:tcPr>
          <w:p w14:paraId="4E2C1F1E"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Gender</w:t>
            </w:r>
          </w:p>
          <w:p w14:paraId="0DB2A315"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192726A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Female</w:t>
            </w:r>
          </w:p>
        </w:tc>
        <w:tc>
          <w:tcPr>
            <w:tcW w:w="2337" w:type="dxa"/>
            <w:gridSpan w:val="3"/>
          </w:tcPr>
          <w:p w14:paraId="0E02E68F"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227(71.8%)</w:t>
            </w:r>
          </w:p>
        </w:tc>
        <w:tc>
          <w:tcPr>
            <w:tcW w:w="1416" w:type="dxa"/>
            <w:gridSpan w:val="2"/>
          </w:tcPr>
          <w:p w14:paraId="2053A22A"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120(69.8%)</w:t>
            </w:r>
          </w:p>
        </w:tc>
        <w:tc>
          <w:tcPr>
            <w:tcW w:w="956" w:type="dxa"/>
            <w:gridSpan w:val="2"/>
            <w:vMerge w:val="restart"/>
          </w:tcPr>
          <w:p w14:paraId="4380F12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.232</w:t>
            </w:r>
          </w:p>
        </w:tc>
        <w:tc>
          <w:tcPr>
            <w:tcW w:w="807" w:type="dxa"/>
            <w:vMerge w:val="restart"/>
          </w:tcPr>
          <w:p w14:paraId="44B08BC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.630</w:t>
            </w:r>
          </w:p>
        </w:tc>
      </w:tr>
      <w:tr w:rsidR="006116EE" w:rsidRPr="00A75385" w14:paraId="0E5302D4" w14:textId="77777777" w:rsidTr="006116EE">
        <w:trPr>
          <w:trHeight w:val="278"/>
        </w:trPr>
        <w:tc>
          <w:tcPr>
            <w:tcW w:w="1830" w:type="dxa"/>
            <w:vMerge/>
          </w:tcPr>
          <w:p w14:paraId="7726795F"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1A0B267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Male</w:t>
            </w:r>
          </w:p>
        </w:tc>
        <w:tc>
          <w:tcPr>
            <w:tcW w:w="2337" w:type="dxa"/>
            <w:gridSpan w:val="3"/>
          </w:tcPr>
          <w:p w14:paraId="38CFDEA0"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89(28.2%)</w:t>
            </w:r>
          </w:p>
        </w:tc>
        <w:tc>
          <w:tcPr>
            <w:tcW w:w="1416" w:type="dxa"/>
            <w:gridSpan w:val="2"/>
          </w:tcPr>
          <w:p w14:paraId="199C84D5"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52(30.2%)</w:t>
            </w:r>
          </w:p>
        </w:tc>
        <w:tc>
          <w:tcPr>
            <w:tcW w:w="956" w:type="dxa"/>
            <w:gridSpan w:val="2"/>
            <w:vMerge/>
          </w:tcPr>
          <w:p w14:paraId="24A097A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3FE6A4F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1554300A" w14:textId="77777777" w:rsidTr="006116EE">
        <w:trPr>
          <w:trHeight w:val="142"/>
        </w:trPr>
        <w:tc>
          <w:tcPr>
            <w:tcW w:w="1830" w:type="dxa"/>
            <w:vMerge w:val="restart"/>
          </w:tcPr>
          <w:p w14:paraId="21A03EDB"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Education Level</w:t>
            </w:r>
          </w:p>
        </w:tc>
        <w:tc>
          <w:tcPr>
            <w:tcW w:w="2004" w:type="dxa"/>
          </w:tcPr>
          <w:p w14:paraId="1B98281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 education</w:t>
            </w:r>
          </w:p>
        </w:tc>
        <w:tc>
          <w:tcPr>
            <w:tcW w:w="2337" w:type="dxa"/>
            <w:gridSpan w:val="3"/>
          </w:tcPr>
          <w:p w14:paraId="374777C4"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62(19.6%)</w:t>
            </w:r>
          </w:p>
        </w:tc>
        <w:tc>
          <w:tcPr>
            <w:tcW w:w="1416" w:type="dxa"/>
            <w:gridSpan w:val="2"/>
          </w:tcPr>
          <w:p w14:paraId="4BCA5984"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80(46.5%)</w:t>
            </w:r>
          </w:p>
        </w:tc>
        <w:tc>
          <w:tcPr>
            <w:tcW w:w="956" w:type="dxa"/>
            <w:gridSpan w:val="2"/>
            <w:vMerge w:val="restart"/>
          </w:tcPr>
          <w:p w14:paraId="2CD9097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41.28</w:t>
            </w:r>
          </w:p>
        </w:tc>
        <w:tc>
          <w:tcPr>
            <w:tcW w:w="807" w:type="dxa"/>
            <w:vMerge w:val="restart"/>
          </w:tcPr>
          <w:p w14:paraId="1D4C5B3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.001</w:t>
            </w:r>
          </w:p>
        </w:tc>
      </w:tr>
      <w:tr w:rsidR="006116EE" w:rsidRPr="00A75385" w14:paraId="09E713F6" w14:textId="77777777" w:rsidTr="006116EE">
        <w:trPr>
          <w:trHeight w:val="127"/>
        </w:trPr>
        <w:tc>
          <w:tcPr>
            <w:tcW w:w="1830" w:type="dxa"/>
            <w:vMerge/>
          </w:tcPr>
          <w:p w14:paraId="59C3A80D"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4212F24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Primary</w:t>
            </w:r>
          </w:p>
        </w:tc>
        <w:tc>
          <w:tcPr>
            <w:tcW w:w="2337" w:type="dxa"/>
            <w:gridSpan w:val="3"/>
          </w:tcPr>
          <w:p w14:paraId="6BE696A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10205"/>
                <w:sz w:val="24"/>
                <w:szCs w:val="24"/>
              </w:rPr>
              <w:t>158(50.0%)</w:t>
            </w:r>
          </w:p>
        </w:tc>
        <w:tc>
          <w:tcPr>
            <w:tcW w:w="1416" w:type="dxa"/>
            <w:gridSpan w:val="2"/>
          </w:tcPr>
          <w:p w14:paraId="082DF88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60(34.9%)</w:t>
            </w:r>
          </w:p>
        </w:tc>
        <w:tc>
          <w:tcPr>
            <w:tcW w:w="956" w:type="dxa"/>
            <w:gridSpan w:val="2"/>
            <w:vMerge/>
          </w:tcPr>
          <w:p w14:paraId="66A4430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46AD857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1EE4CAC6" w14:textId="77777777" w:rsidTr="006116EE">
        <w:trPr>
          <w:trHeight w:val="97"/>
        </w:trPr>
        <w:tc>
          <w:tcPr>
            <w:tcW w:w="1830" w:type="dxa"/>
            <w:vMerge/>
          </w:tcPr>
          <w:p w14:paraId="00F5680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61A4E66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SSC</w:t>
            </w:r>
          </w:p>
        </w:tc>
        <w:tc>
          <w:tcPr>
            <w:tcW w:w="2337" w:type="dxa"/>
            <w:gridSpan w:val="3"/>
          </w:tcPr>
          <w:p w14:paraId="0E28D68B"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68(21.5%)</w:t>
            </w:r>
          </w:p>
        </w:tc>
        <w:tc>
          <w:tcPr>
            <w:tcW w:w="1416" w:type="dxa"/>
            <w:gridSpan w:val="2"/>
          </w:tcPr>
          <w:p w14:paraId="4FBB4380"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18(10.5%)</w:t>
            </w:r>
          </w:p>
        </w:tc>
        <w:tc>
          <w:tcPr>
            <w:tcW w:w="956" w:type="dxa"/>
            <w:gridSpan w:val="2"/>
            <w:vMerge/>
          </w:tcPr>
          <w:p w14:paraId="5E19576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0D3AABF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5117DFD6" w14:textId="77777777" w:rsidTr="006116EE">
        <w:trPr>
          <w:trHeight w:val="120"/>
        </w:trPr>
        <w:tc>
          <w:tcPr>
            <w:tcW w:w="1830" w:type="dxa"/>
            <w:vMerge/>
          </w:tcPr>
          <w:p w14:paraId="4A43DACE"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282DF89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HSC</w:t>
            </w:r>
          </w:p>
        </w:tc>
        <w:tc>
          <w:tcPr>
            <w:tcW w:w="2337" w:type="dxa"/>
            <w:gridSpan w:val="3"/>
          </w:tcPr>
          <w:p w14:paraId="06A7687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19(6.0%)</w:t>
            </w:r>
          </w:p>
        </w:tc>
        <w:tc>
          <w:tcPr>
            <w:tcW w:w="1416" w:type="dxa"/>
            <w:gridSpan w:val="2"/>
          </w:tcPr>
          <w:p w14:paraId="5F5F775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9(5.2%)</w:t>
            </w:r>
          </w:p>
        </w:tc>
        <w:tc>
          <w:tcPr>
            <w:tcW w:w="956" w:type="dxa"/>
            <w:gridSpan w:val="2"/>
            <w:vMerge/>
          </w:tcPr>
          <w:p w14:paraId="6C733EB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1C38FB9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115E482C" w14:textId="77777777" w:rsidTr="006116EE">
        <w:trPr>
          <w:trHeight w:val="143"/>
        </w:trPr>
        <w:tc>
          <w:tcPr>
            <w:tcW w:w="1830" w:type="dxa"/>
            <w:vMerge/>
          </w:tcPr>
          <w:p w14:paraId="1BF2FFBE"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5449DE2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Graduate or higher</w:t>
            </w:r>
          </w:p>
        </w:tc>
        <w:tc>
          <w:tcPr>
            <w:tcW w:w="2337" w:type="dxa"/>
            <w:gridSpan w:val="3"/>
          </w:tcPr>
          <w:p w14:paraId="30DD99D3"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9(2.8%)</w:t>
            </w:r>
          </w:p>
        </w:tc>
        <w:tc>
          <w:tcPr>
            <w:tcW w:w="1416" w:type="dxa"/>
            <w:gridSpan w:val="2"/>
          </w:tcPr>
          <w:p w14:paraId="40630AF2"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5(2.9%)</w:t>
            </w:r>
          </w:p>
        </w:tc>
        <w:tc>
          <w:tcPr>
            <w:tcW w:w="956" w:type="dxa"/>
            <w:gridSpan w:val="2"/>
            <w:vMerge/>
          </w:tcPr>
          <w:p w14:paraId="32A7B0D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66381A8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2E83139B" w14:textId="77777777" w:rsidTr="006116EE">
        <w:trPr>
          <w:trHeight w:val="202"/>
        </w:trPr>
        <w:tc>
          <w:tcPr>
            <w:tcW w:w="1830" w:type="dxa"/>
            <w:vMerge w:val="restart"/>
          </w:tcPr>
          <w:p w14:paraId="69036A0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Employment status</w:t>
            </w:r>
          </w:p>
        </w:tc>
        <w:tc>
          <w:tcPr>
            <w:tcW w:w="2004" w:type="dxa"/>
          </w:tcPr>
          <w:p w14:paraId="430717D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Student</w:t>
            </w:r>
          </w:p>
        </w:tc>
        <w:tc>
          <w:tcPr>
            <w:tcW w:w="2337" w:type="dxa"/>
            <w:gridSpan w:val="3"/>
          </w:tcPr>
          <w:p w14:paraId="022A344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10(3.2%</w:t>
            </w:r>
          </w:p>
        </w:tc>
        <w:tc>
          <w:tcPr>
            <w:tcW w:w="1416" w:type="dxa"/>
            <w:gridSpan w:val="2"/>
          </w:tcPr>
          <w:p w14:paraId="2825335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4(2.3%)</w:t>
            </w:r>
          </w:p>
        </w:tc>
        <w:tc>
          <w:tcPr>
            <w:tcW w:w="956" w:type="dxa"/>
            <w:gridSpan w:val="2"/>
            <w:vMerge w:val="restart"/>
          </w:tcPr>
          <w:p w14:paraId="36300B8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25.515</w:t>
            </w:r>
          </w:p>
        </w:tc>
        <w:tc>
          <w:tcPr>
            <w:tcW w:w="807" w:type="dxa"/>
            <w:vMerge w:val="restart"/>
          </w:tcPr>
          <w:p w14:paraId="6C37AA0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.001</w:t>
            </w:r>
          </w:p>
        </w:tc>
      </w:tr>
      <w:tr w:rsidR="006116EE" w:rsidRPr="00A75385" w14:paraId="5435DB3C" w14:textId="77777777" w:rsidTr="006116EE">
        <w:trPr>
          <w:trHeight w:val="172"/>
        </w:trPr>
        <w:tc>
          <w:tcPr>
            <w:tcW w:w="1830" w:type="dxa"/>
            <w:vMerge/>
          </w:tcPr>
          <w:p w14:paraId="7593F05B"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4778C51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Employed</w:t>
            </w:r>
          </w:p>
        </w:tc>
        <w:tc>
          <w:tcPr>
            <w:tcW w:w="2337" w:type="dxa"/>
            <w:gridSpan w:val="3"/>
          </w:tcPr>
          <w:p w14:paraId="7F2E3B9A"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45(14.2%)</w:t>
            </w:r>
          </w:p>
        </w:tc>
        <w:tc>
          <w:tcPr>
            <w:tcW w:w="1416" w:type="dxa"/>
            <w:gridSpan w:val="2"/>
          </w:tcPr>
          <w:p w14:paraId="2BB175E3"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14(8.1%)</w:t>
            </w:r>
          </w:p>
        </w:tc>
        <w:tc>
          <w:tcPr>
            <w:tcW w:w="956" w:type="dxa"/>
            <w:gridSpan w:val="2"/>
            <w:vMerge/>
          </w:tcPr>
          <w:p w14:paraId="5204518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0AB81CC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04549670" w14:textId="77777777" w:rsidTr="006116EE">
        <w:trPr>
          <w:trHeight w:val="135"/>
        </w:trPr>
        <w:tc>
          <w:tcPr>
            <w:tcW w:w="1830" w:type="dxa"/>
            <w:vMerge/>
          </w:tcPr>
          <w:p w14:paraId="312862D1"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7563B37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Businessman</w:t>
            </w:r>
          </w:p>
        </w:tc>
        <w:tc>
          <w:tcPr>
            <w:tcW w:w="2337" w:type="dxa"/>
            <w:gridSpan w:val="3"/>
          </w:tcPr>
          <w:p w14:paraId="0CE9616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13(4.1%)</w:t>
            </w:r>
          </w:p>
        </w:tc>
        <w:tc>
          <w:tcPr>
            <w:tcW w:w="1416" w:type="dxa"/>
            <w:gridSpan w:val="2"/>
          </w:tcPr>
          <w:p w14:paraId="704B9A9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10(5.8%)</w:t>
            </w:r>
          </w:p>
        </w:tc>
        <w:tc>
          <w:tcPr>
            <w:tcW w:w="956" w:type="dxa"/>
            <w:gridSpan w:val="2"/>
            <w:vMerge/>
          </w:tcPr>
          <w:p w14:paraId="1F7686B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211A2D9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7A490C26" w14:textId="77777777" w:rsidTr="006116EE">
        <w:trPr>
          <w:trHeight w:val="112"/>
        </w:trPr>
        <w:tc>
          <w:tcPr>
            <w:tcW w:w="1830" w:type="dxa"/>
            <w:vMerge/>
          </w:tcPr>
          <w:p w14:paraId="3C1BF538"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179B377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Housewife</w:t>
            </w:r>
          </w:p>
        </w:tc>
        <w:tc>
          <w:tcPr>
            <w:tcW w:w="2337" w:type="dxa"/>
            <w:gridSpan w:val="3"/>
          </w:tcPr>
          <w:p w14:paraId="38ABAD11"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145(45.9%)</w:t>
            </w:r>
          </w:p>
        </w:tc>
        <w:tc>
          <w:tcPr>
            <w:tcW w:w="1416" w:type="dxa"/>
            <w:gridSpan w:val="2"/>
          </w:tcPr>
          <w:p w14:paraId="2D1B410A" w14:textId="77777777" w:rsidR="006116EE" w:rsidRPr="00A75385" w:rsidRDefault="006116EE" w:rsidP="00A75385">
            <w:pPr>
              <w:autoSpaceDE w:val="0"/>
              <w:autoSpaceDN w:val="0"/>
              <w:adjustRightInd w:val="0"/>
              <w:spacing w:after="0" w:line="360" w:lineRule="auto"/>
              <w:ind w:right="60"/>
              <w:rPr>
                <w:rFonts w:ascii="Times New Roman" w:hAnsi="Times New Roman" w:cs="Times New Roman"/>
                <w:color w:val="010205"/>
                <w:sz w:val="24"/>
                <w:szCs w:val="24"/>
              </w:rPr>
            </w:pPr>
            <w:r w:rsidRPr="00A75385">
              <w:rPr>
                <w:rFonts w:ascii="Times New Roman" w:hAnsi="Times New Roman" w:cs="Times New Roman"/>
                <w:color w:val="010205"/>
                <w:sz w:val="24"/>
                <w:szCs w:val="24"/>
              </w:rPr>
              <w:t>77(44.8%)</w:t>
            </w:r>
          </w:p>
        </w:tc>
        <w:tc>
          <w:tcPr>
            <w:tcW w:w="956" w:type="dxa"/>
            <w:gridSpan w:val="2"/>
            <w:vMerge/>
          </w:tcPr>
          <w:p w14:paraId="099AEAA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1728261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3337D875" w14:textId="77777777" w:rsidTr="006116EE">
        <w:trPr>
          <w:trHeight w:val="150"/>
        </w:trPr>
        <w:tc>
          <w:tcPr>
            <w:tcW w:w="1830" w:type="dxa"/>
            <w:vMerge/>
          </w:tcPr>
          <w:p w14:paraId="5F6413ED"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1D5D4A5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Day labor</w:t>
            </w:r>
          </w:p>
        </w:tc>
        <w:tc>
          <w:tcPr>
            <w:tcW w:w="2337" w:type="dxa"/>
            <w:gridSpan w:val="3"/>
          </w:tcPr>
          <w:p w14:paraId="1EF9738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60(19.0%)</w:t>
            </w:r>
          </w:p>
        </w:tc>
        <w:tc>
          <w:tcPr>
            <w:tcW w:w="1416" w:type="dxa"/>
            <w:gridSpan w:val="2"/>
          </w:tcPr>
          <w:p w14:paraId="62D2A57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25(14.5%)</w:t>
            </w:r>
          </w:p>
        </w:tc>
        <w:tc>
          <w:tcPr>
            <w:tcW w:w="956" w:type="dxa"/>
            <w:gridSpan w:val="2"/>
            <w:vMerge/>
          </w:tcPr>
          <w:p w14:paraId="4621A2E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1372B93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0F908F20" w14:textId="77777777" w:rsidTr="006116EE">
        <w:trPr>
          <w:trHeight w:val="135"/>
        </w:trPr>
        <w:tc>
          <w:tcPr>
            <w:tcW w:w="1830" w:type="dxa"/>
            <w:vMerge/>
          </w:tcPr>
          <w:p w14:paraId="0077CECF"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0F45878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Servant</w:t>
            </w:r>
          </w:p>
        </w:tc>
        <w:tc>
          <w:tcPr>
            <w:tcW w:w="2337" w:type="dxa"/>
            <w:gridSpan w:val="3"/>
          </w:tcPr>
          <w:p w14:paraId="796E40C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39(12.3%)</w:t>
            </w:r>
          </w:p>
        </w:tc>
        <w:tc>
          <w:tcPr>
            <w:tcW w:w="1416" w:type="dxa"/>
            <w:gridSpan w:val="2"/>
          </w:tcPr>
          <w:p w14:paraId="15B90B9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25(14.5%)</w:t>
            </w:r>
          </w:p>
        </w:tc>
        <w:tc>
          <w:tcPr>
            <w:tcW w:w="956" w:type="dxa"/>
            <w:gridSpan w:val="2"/>
            <w:vMerge/>
          </w:tcPr>
          <w:p w14:paraId="76FEA5E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222F670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2758B129" w14:textId="77777777" w:rsidTr="006116EE">
        <w:trPr>
          <w:trHeight w:val="120"/>
        </w:trPr>
        <w:tc>
          <w:tcPr>
            <w:tcW w:w="1830" w:type="dxa"/>
            <w:vMerge/>
          </w:tcPr>
          <w:p w14:paraId="37CF83B6"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2EFCA2B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Unemployment</w:t>
            </w:r>
          </w:p>
        </w:tc>
        <w:tc>
          <w:tcPr>
            <w:tcW w:w="2337" w:type="dxa"/>
            <w:gridSpan w:val="3"/>
          </w:tcPr>
          <w:p w14:paraId="2CFB899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2(0.6%)</w:t>
            </w:r>
          </w:p>
        </w:tc>
        <w:tc>
          <w:tcPr>
            <w:tcW w:w="1416" w:type="dxa"/>
            <w:gridSpan w:val="2"/>
          </w:tcPr>
          <w:p w14:paraId="48DA65C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11(6.4%)</w:t>
            </w:r>
          </w:p>
        </w:tc>
        <w:tc>
          <w:tcPr>
            <w:tcW w:w="956" w:type="dxa"/>
            <w:gridSpan w:val="2"/>
            <w:vMerge/>
          </w:tcPr>
          <w:p w14:paraId="7D7E9FA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7DBF1A1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08566D0C" w14:textId="77777777" w:rsidTr="006116EE">
        <w:trPr>
          <w:trHeight w:val="143"/>
        </w:trPr>
        <w:tc>
          <w:tcPr>
            <w:tcW w:w="1830" w:type="dxa"/>
            <w:vMerge/>
          </w:tcPr>
          <w:p w14:paraId="10912C6B"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2C61B30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Others</w:t>
            </w:r>
          </w:p>
        </w:tc>
        <w:tc>
          <w:tcPr>
            <w:tcW w:w="2337" w:type="dxa"/>
            <w:gridSpan w:val="3"/>
          </w:tcPr>
          <w:p w14:paraId="3B1DE93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2(0.6%)</w:t>
            </w:r>
          </w:p>
        </w:tc>
        <w:tc>
          <w:tcPr>
            <w:tcW w:w="1416" w:type="dxa"/>
            <w:gridSpan w:val="2"/>
          </w:tcPr>
          <w:p w14:paraId="0587A18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6(3.5%)</w:t>
            </w:r>
          </w:p>
        </w:tc>
        <w:tc>
          <w:tcPr>
            <w:tcW w:w="956" w:type="dxa"/>
            <w:gridSpan w:val="2"/>
            <w:vMerge/>
          </w:tcPr>
          <w:p w14:paraId="3F4C1EF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664BE32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34E63610" w14:textId="77777777" w:rsidTr="006116EE">
        <w:tc>
          <w:tcPr>
            <w:tcW w:w="1830" w:type="dxa"/>
            <w:vMerge w:val="restart"/>
          </w:tcPr>
          <w:p w14:paraId="76A20DF8"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Monthly Income</w:t>
            </w:r>
          </w:p>
        </w:tc>
        <w:tc>
          <w:tcPr>
            <w:tcW w:w="2004" w:type="dxa"/>
          </w:tcPr>
          <w:p w14:paraId="41FECE2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less than 15000</w:t>
            </w:r>
          </w:p>
        </w:tc>
        <w:tc>
          <w:tcPr>
            <w:tcW w:w="2337" w:type="dxa"/>
            <w:gridSpan w:val="3"/>
          </w:tcPr>
          <w:p w14:paraId="673810D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243(76.9%)</w:t>
            </w:r>
          </w:p>
        </w:tc>
        <w:tc>
          <w:tcPr>
            <w:tcW w:w="1416" w:type="dxa"/>
            <w:gridSpan w:val="2"/>
          </w:tcPr>
          <w:p w14:paraId="6CEA5A3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139(80.8%)</w:t>
            </w:r>
          </w:p>
        </w:tc>
        <w:tc>
          <w:tcPr>
            <w:tcW w:w="956" w:type="dxa"/>
            <w:gridSpan w:val="2"/>
            <w:vMerge w:val="restart"/>
          </w:tcPr>
          <w:p w14:paraId="75951CC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1.433</w:t>
            </w:r>
          </w:p>
        </w:tc>
        <w:tc>
          <w:tcPr>
            <w:tcW w:w="807" w:type="dxa"/>
            <w:vMerge w:val="restart"/>
          </w:tcPr>
          <w:p w14:paraId="747E85F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.489</w:t>
            </w:r>
          </w:p>
        </w:tc>
      </w:tr>
      <w:tr w:rsidR="006116EE" w:rsidRPr="00A75385" w14:paraId="41F358CA" w14:textId="77777777" w:rsidTr="006116EE">
        <w:tc>
          <w:tcPr>
            <w:tcW w:w="1830" w:type="dxa"/>
            <w:vMerge/>
          </w:tcPr>
          <w:p w14:paraId="7EB4DBD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7B63247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15000 to 30000</w:t>
            </w:r>
          </w:p>
        </w:tc>
        <w:tc>
          <w:tcPr>
            <w:tcW w:w="2337" w:type="dxa"/>
            <w:gridSpan w:val="3"/>
          </w:tcPr>
          <w:p w14:paraId="2579F2C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72(22.8%)</w:t>
            </w:r>
          </w:p>
        </w:tc>
        <w:tc>
          <w:tcPr>
            <w:tcW w:w="1416" w:type="dxa"/>
            <w:gridSpan w:val="2"/>
          </w:tcPr>
          <w:p w14:paraId="526342D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33(19.2%)</w:t>
            </w:r>
          </w:p>
        </w:tc>
        <w:tc>
          <w:tcPr>
            <w:tcW w:w="956" w:type="dxa"/>
            <w:gridSpan w:val="2"/>
            <w:vMerge/>
          </w:tcPr>
          <w:p w14:paraId="4506F7D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375E912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5D6FD627" w14:textId="77777777" w:rsidTr="006116EE">
        <w:tc>
          <w:tcPr>
            <w:tcW w:w="1830" w:type="dxa"/>
            <w:vMerge/>
          </w:tcPr>
          <w:p w14:paraId="2FA20C22"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76B84A8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30000 to 45000</w:t>
            </w:r>
          </w:p>
        </w:tc>
        <w:tc>
          <w:tcPr>
            <w:tcW w:w="2337" w:type="dxa"/>
            <w:gridSpan w:val="3"/>
          </w:tcPr>
          <w:p w14:paraId="170FA5D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1(0.3%)</w:t>
            </w:r>
          </w:p>
        </w:tc>
        <w:tc>
          <w:tcPr>
            <w:tcW w:w="1416" w:type="dxa"/>
            <w:gridSpan w:val="2"/>
          </w:tcPr>
          <w:p w14:paraId="4E58D9C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0(0.0%)</w:t>
            </w:r>
          </w:p>
        </w:tc>
        <w:tc>
          <w:tcPr>
            <w:tcW w:w="956" w:type="dxa"/>
            <w:gridSpan w:val="2"/>
            <w:vMerge/>
          </w:tcPr>
          <w:p w14:paraId="41A7907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545F0C8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60902F9B" w14:textId="77777777" w:rsidTr="006116EE">
        <w:tc>
          <w:tcPr>
            <w:tcW w:w="1830" w:type="dxa"/>
            <w:vMerge w:val="restart"/>
          </w:tcPr>
          <w:p w14:paraId="26778AD5"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Marital status</w:t>
            </w:r>
          </w:p>
        </w:tc>
        <w:tc>
          <w:tcPr>
            <w:tcW w:w="2004" w:type="dxa"/>
          </w:tcPr>
          <w:p w14:paraId="5315E01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Unmarried</w:t>
            </w:r>
          </w:p>
        </w:tc>
        <w:tc>
          <w:tcPr>
            <w:tcW w:w="2337" w:type="dxa"/>
            <w:gridSpan w:val="3"/>
          </w:tcPr>
          <w:p w14:paraId="09430D4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27(8.5%)</w:t>
            </w:r>
          </w:p>
        </w:tc>
        <w:tc>
          <w:tcPr>
            <w:tcW w:w="1416" w:type="dxa"/>
            <w:gridSpan w:val="2"/>
          </w:tcPr>
          <w:p w14:paraId="6C62243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10(5.8%)</w:t>
            </w:r>
          </w:p>
        </w:tc>
        <w:tc>
          <w:tcPr>
            <w:tcW w:w="956" w:type="dxa"/>
            <w:gridSpan w:val="2"/>
            <w:vMerge w:val="restart"/>
          </w:tcPr>
          <w:p w14:paraId="0C14BC6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10.638</w:t>
            </w:r>
          </w:p>
        </w:tc>
        <w:tc>
          <w:tcPr>
            <w:tcW w:w="807" w:type="dxa"/>
            <w:vMerge w:val="restart"/>
          </w:tcPr>
          <w:p w14:paraId="128DAF7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.031</w:t>
            </w:r>
          </w:p>
        </w:tc>
      </w:tr>
      <w:tr w:rsidR="006116EE" w:rsidRPr="00A75385" w14:paraId="7EF2DDB4" w14:textId="77777777" w:rsidTr="006116EE">
        <w:tc>
          <w:tcPr>
            <w:tcW w:w="1830" w:type="dxa"/>
            <w:vMerge/>
          </w:tcPr>
          <w:p w14:paraId="167F37EF"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2991918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Married</w:t>
            </w:r>
          </w:p>
        </w:tc>
        <w:tc>
          <w:tcPr>
            <w:tcW w:w="2337" w:type="dxa"/>
            <w:gridSpan w:val="3"/>
          </w:tcPr>
          <w:p w14:paraId="5087FF3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269(85.1%)</w:t>
            </w:r>
          </w:p>
        </w:tc>
        <w:tc>
          <w:tcPr>
            <w:tcW w:w="1416" w:type="dxa"/>
            <w:gridSpan w:val="2"/>
          </w:tcPr>
          <w:p w14:paraId="0C56DCC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144(83.7%)</w:t>
            </w:r>
          </w:p>
        </w:tc>
        <w:tc>
          <w:tcPr>
            <w:tcW w:w="956" w:type="dxa"/>
            <w:gridSpan w:val="2"/>
            <w:vMerge/>
          </w:tcPr>
          <w:p w14:paraId="7B60015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2D21A63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4F03A07C" w14:textId="77777777" w:rsidTr="006116EE">
        <w:tc>
          <w:tcPr>
            <w:tcW w:w="1830" w:type="dxa"/>
            <w:vMerge/>
          </w:tcPr>
          <w:p w14:paraId="46302C0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411659F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Divorce</w:t>
            </w:r>
          </w:p>
        </w:tc>
        <w:tc>
          <w:tcPr>
            <w:tcW w:w="2337" w:type="dxa"/>
            <w:gridSpan w:val="3"/>
          </w:tcPr>
          <w:p w14:paraId="11864CD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9(2.8%)</w:t>
            </w:r>
          </w:p>
        </w:tc>
        <w:tc>
          <w:tcPr>
            <w:tcW w:w="1416" w:type="dxa"/>
            <w:gridSpan w:val="2"/>
          </w:tcPr>
          <w:p w14:paraId="683FCF5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4(2.3%)</w:t>
            </w:r>
          </w:p>
        </w:tc>
        <w:tc>
          <w:tcPr>
            <w:tcW w:w="956" w:type="dxa"/>
            <w:gridSpan w:val="2"/>
            <w:vMerge/>
          </w:tcPr>
          <w:p w14:paraId="73013B2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11463FA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0ED5C3D1" w14:textId="77777777" w:rsidTr="006116EE">
        <w:tc>
          <w:tcPr>
            <w:tcW w:w="1830" w:type="dxa"/>
            <w:vMerge/>
          </w:tcPr>
          <w:p w14:paraId="59309A33"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3898789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Widower</w:t>
            </w:r>
          </w:p>
        </w:tc>
        <w:tc>
          <w:tcPr>
            <w:tcW w:w="2337" w:type="dxa"/>
            <w:gridSpan w:val="3"/>
          </w:tcPr>
          <w:p w14:paraId="4C57C99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8(2.5%)</w:t>
            </w:r>
          </w:p>
        </w:tc>
        <w:tc>
          <w:tcPr>
            <w:tcW w:w="1416" w:type="dxa"/>
            <w:gridSpan w:val="2"/>
          </w:tcPr>
          <w:p w14:paraId="5EDDACA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14(8.1%)</w:t>
            </w:r>
          </w:p>
        </w:tc>
        <w:tc>
          <w:tcPr>
            <w:tcW w:w="956" w:type="dxa"/>
            <w:gridSpan w:val="2"/>
            <w:vMerge/>
          </w:tcPr>
          <w:p w14:paraId="793553B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0DDA680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476389DC" w14:textId="77777777" w:rsidTr="006116EE">
        <w:tc>
          <w:tcPr>
            <w:tcW w:w="1830" w:type="dxa"/>
            <w:vMerge/>
          </w:tcPr>
          <w:p w14:paraId="39C5D249"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75211E8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Separated</w:t>
            </w:r>
          </w:p>
        </w:tc>
        <w:tc>
          <w:tcPr>
            <w:tcW w:w="2337" w:type="dxa"/>
            <w:gridSpan w:val="3"/>
          </w:tcPr>
          <w:p w14:paraId="129DCD8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3(0.9%)</w:t>
            </w:r>
          </w:p>
        </w:tc>
        <w:tc>
          <w:tcPr>
            <w:tcW w:w="1416" w:type="dxa"/>
            <w:gridSpan w:val="2"/>
          </w:tcPr>
          <w:p w14:paraId="4AE1B66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0(0.0%)</w:t>
            </w:r>
          </w:p>
        </w:tc>
        <w:tc>
          <w:tcPr>
            <w:tcW w:w="956" w:type="dxa"/>
            <w:gridSpan w:val="2"/>
            <w:vMerge/>
          </w:tcPr>
          <w:p w14:paraId="501EDCB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4B062FC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079114DF" w14:textId="77777777" w:rsidTr="006116EE">
        <w:tc>
          <w:tcPr>
            <w:tcW w:w="1830" w:type="dxa"/>
            <w:vMerge w:val="restart"/>
          </w:tcPr>
          <w:p w14:paraId="50AC88F9"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Religion</w:t>
            </w:r>
          </w:p>
        </w:tc>
        <w:tc>
          <w:tcPr>
            <w:tcW w:w="2004" w:type="dxa"/>
          </w:tcPr>
          <w:p w14:paraId="060FA05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Islam</w:t>
            </w:r>
          </w:p>
        </w:tc>
        <w:tc>
          <w:tcPr>
            <w:tcW w:w="2337" w:type="dxa"/>
            <w:gridSpan w:val="3"/>
          </w:tcPr>
          <w:p w14:paraId="2085C71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286(90.5%)</w:t>
            </w:r>
          </w:p>
        </w:tc>
        <w:tc>
          <w:tcPr>
            <w:tcW w:w="1416" w:type="dxa"/>
            <w:gridSpan w:val="2"/>
          </w:tcPr>
          <w:p w14:paraId="4733E01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153(89.0%)</w:t>
            </w:r>
          </w:p>
        </w:tc>
        <w:tc>
          <w:tcPr>
            <w:tcW w:w="956" w:type="dxa"/>
            <w:gridSpan w:val="2"/>
            <w:vMerge w:val="restart"/>
          </w:tcPr>
          <w:p w14:paraId="2C290D0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.297</w:t>
            </w:r>
          </w:p>
        </w:tc>
        <w:tc>
          <w:tcPr>
            <w:tcW w:w="807" w:type="dxa"/>
            <w:vMerge w:val="restart"/>
          </w:tcPr>
          <w:p w14:paraId="3DE4A4B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.586</w:t>
            </w:r>
          </w:p>
        </w:tc>
      </w:tr>
      <w:tr w:rsidR="006116EE" w:rsidRPr="00A75385" w14:paraId="0B2A2654" w14:textId="77777777" w:rsidTr="006116EE">
        <w:tc>
          <w:tcPr>
            <w:tcW w:w="1830" w:type="dxa"/>
            <w:vMerge/>
          </w:tcPr>
          <w:p w14:paraId="63DA6E8D"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4DCFF24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Hindu</w:t>
            </w:r>
          </w:p>
        </w:tc>
        <w:tc>
          <w:tcPr>
            <w:tcW w:w="2337" w:type="dxa"/>
            <w:gridSpan w:val="3"/>
          </w:tcPr>
          <w:p w14:paraId="3D8DC26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30(9.5%)</w:t>
            </w:r>
          </w:p>
        </w:tc>
        <w:tc>
          <w:tcPr>
            <w:tcW w:w="1416" w:type="dxa"/>
            <w:gridSpan w:val="2"/>
          </w:tcPr>
          <w:p w14:paraId="026840B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19(11.0%)</w:t>
            </w:r>
          </w:p>
        </w:tc>
        <w:tc>
          <w:tcPr>
            <w:tcW w:w="956" w:type="dxa"/>
            <w:gridSpan w:val="2"/>
            <w:vMerge/>
          </w:tcPr>
          <w:p w14:paraId="7486742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652302A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5837923A" w14:textId="77777777" w:rsidTr="006116EE">
        <w:trPr>
          <w:trHeight w:val="329"/>
        </w:trPr>
        <w:tc>
          <w:tcPr>
            <w:tcW w:w="1830" w:type="dxa"/>
            <w:vMerge w:val="restart"/>
          </w:tcPr>
          <w:p w14:paraId="6B0D0D93"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Physical exercise (150min/week)</w:t>
            </w:r>
          </w:p>
        </w:tc>
        <w:tc>
          <w:tcPr>
            <w:tcW w:w="2004" w:type="dxa"/>
          </w:tcPr>
          <w:p w14:paraId="6ECEAEE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w:t>
            </w:r>
          </w:p>
        </w:tc>
        <w:tc>
          <w:tcPr>
            <w:tcW w:w="2337" w:type="dxa"/>
            <w:gridSpan w:val="3"/>
          </w:tcPr>
          <w:p w14:paraId="0A196A9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235(74.4%)</w:t>
            </w:r>
          </w:p>
        </w:tc>
        <w:tc>
          <w:tcPr>
            <w:tcW w:w="1416" w:type="dxa"/>
            <w:gridSpan w:val="2"/>
          </w:tcPr>
          <w:p w14:paraId="0C1A775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108(62.8%)</w:t>
            </w:r>
          </w:p>
        </w:tc>
        <w:tc>
          <w:tcPr>
            <w:tcW w:w="956" w:type="dxa"/>
            <w:gridSpan w:val="2"/>
            <w:vMerge w:val="restart"/>
          </w:tcPr>
          <w:p w14:paraId="6E60708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7.147</w:t>
            </w:r>
          </w:p>
        </w:tc>
        <w:tc>
          <w:tcPr>
            <w:tcW w:w="807" w:type="dxa"/>
            <w:vMerge w:val="restart"/>
          </w:tcPr>
          <w:p w14:paraId="04CA194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.008</w:t>
            </w:r>
          </w:p>
        </w:tc>
      </w:tr>
      <w:tr w:rsidR="006116EE" w:rsidRPr="00A75385" w14:paraId="734AB3D5" w14:textId="77777777" w:rsidTr="006116EE">
        <w:trPr>
          <w:trHeight w:val="268"/>
        </w:trPr>
        <w:tc>
          <w:tcPr>
            <w:tcW w:w="1830" w:type="dxa"/>
            <w:vMerge/>
          </w:tcPr>
          <w:p w14:paraId="66F19D13"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5E23D23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Yes</w:t>
            </w:r>
          </w:p>
        </w:tc>
        <w:tc>
          <w:tcPr>
            <w:tcW w:w="2337" w:type="dxa"/>
            <w:gridSpan w:val="3"/>
          </w:tcPr>
          <w:p w14:paraId="1F4492E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81(25.6%)</w:t>
            </w:r>
          </w:p>
        </w:tc>
        <w:tc>
          <w:tcPr>
            <w:tcW w:w="1416" w:type="dxa"/>
            <w:gridSpan w:val="2"/>
          </w:tcPr>
          <w:p w14:paraId="24C4524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64(37.2%)</w:t>
            </w:r>
          </w:p>
        </w:tc>
        <w:tc>
          <w:tcPr>
            <w:tcW w:w="956" w:type="dxa"/>
            <w:gridSpan w:val="2"/>
            <w:vMerge/>
          </w:tcPr>
          <w:p w14:paraId="1A94532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4746698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64D93E29" w14:textId="77777777" w:rsidTr="006116EE">
        <w:tc>
          <w:tcPr>
            <w:tcW w:w="1830" w:type="dxa"/>
            <w:vMerge w:val="restart"/>
          </w:tcPr>
          <w:p w14:paraId="13E1EC2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Smoking Status</w:t>
            </w:r>
          </w:p>
        </w:tc>
        <w:tc>
          <w:tcPr>
            <w:tcW w:w="2004" w:type="dxa"/>
          </w:tcPr>
          <w:p w14:paraId="5D2CDAF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Never smoked</w:t>
            </w:r>
          </w:p>
        </w:tc>
        <w:tc>
          <w:tcPr>
            <w:tcW w:w="2337" w:type="dxa"/>
            <w:gridSpan w:val="3"/>
          </w:tcPr>
          <w:p w14:paraId="1CDA522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245(77.5%)</w:t>
            </w:r>
          </w:p>
        </w:tc>
        <w:tc>
          <w:tcPr>
            <w:tcW w:w="1416" w:type="dxa"/>
            <w:gridSpan w:val="2"/>
          </w:tcPr>
          <w:p w14:paraId="7E8DD8F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125(72.7%)</w:t>
            </w:r>
          </w:p>
        </w:tc>
        <w:tc>
          <w:tcPr>
            <w:tcW w:w="956" w:type="dxa"/>
            <w:gridSpan w:val="2"/>
            <w:vMerge w:val="restart"/>
          </w:tcPr>
          <w:p w14:paraId="22C943D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1.494</w:t>
            </w:r>
          </w:p>
        </w:tc>
        <w:tc>
          <w:tcPr>
            <w:tcW w:w="807" w:type="dxa"/>
            <w:vMerge w:val="restart"/>
          </w:tcPr>
          <w:p w14:paraId="1E3B528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.474</w:t>
            </w:r>
          </w:p>
        </w:tc>
      </w:tr>
      <w:tr w:rsidR="006116EE" w:rsidRPr="00A75385" w14:paraId="103F4BE4" w14:textId="77777777" w:rsidTr="006116EE">
        <w:tc>
          <w:tcPr>
            <w:tcW w:w="1830" w:type="dxa"/>
            <w:vMerge/>
          </w:tcPr>
          <w:p w14:paraId="7D328B2D"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171226D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Former smoker</w:t>
            </w:r>
          </w:p>
        </w:tc>
        <w:tc>
          <w:tcPr>
            <w:tcW w:w="2337" w:type="dxa"/>
            <w:gridSpan w:val="3"/>
          </w:tcPr>
          <w:p w14:paraId="2E69231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18(5.7%)</w:t>
            </w:r>
          </w:p>
        </w:tc>
        <w:tc>
          <w:tcPr>
            <w:tcW w:w="1416" w:type="dxa"/>
            <w:gridSpan w:val="2"/>
          </w:tcPr>
          <w:p w14:paraId="1273A4B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11(6.4%)</w:t>
            </w:r>
          </w:p>
        </w:tc>
        <w:tc>
          <w:tcPr>
            <w:tcW w:w="956" w:type="dxa"/>
            <w:gridSpan w:val="2"/>
            <w:vMerge/>
          </w:tcPr>
          <w:p w14:paraId="7982A9E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24BD610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074A0D7F" w14:textId="77777777" w:rsidTr="006116EE">
        <w:tc>
          <w:tcPr>
            <w:tcW w:w="1830" w:type="dxa"/>
            <w:vMerge/>
          </w:tcPr>
          <w:p w14:paraId="674F2C36"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4" w:type="dxa"/>
          </w:tcPr>
          <w:p w14:paraId="6360114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Current smoker</w:t>
            </w:r>
          </w:p>
        </w:tc>
        <w:tc>
          <w:tcPr>
            <w:tcW w:w="2337" w:type="dxa"/>
            <w:gridSpan w:val="3"/>
          </w:tcPr>
          <w:p w14:paraId="7783755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53(16.8%)</w:t>
            </w:r>
          </w:p>
        </w:tc>
        <w:tc>
          <w:tcPr>
            <w:tcW w:w="1416" w:type="dxa"/>
            <w:gridSpan w:val="2"/>
          </w:tcPr>
          <w:p w14:paraId="093A167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36(20.9%)</w:t>
            </w:r>
          </w:p>
        </w:tc>
        <w:tc>
          <w:tcPr>
            <w:tcW w:w="956" w:type="dxa"/>
            <w:gridSpan w:val="2"/>
            <w:vMerge/>
          </w:tcPr>
          <w:p w14:paraId="147D07E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1BA4407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39A396AA" w14:textId="77777777" w:rsidTr="006116EE">
        <w:tc>
          <w:tcPr>
            <w:tcW w:w="1830" w:type="dxa"/>
            <w:vMerge w:val="restart"/>
          </w:tcPr>
          <w:p w14:paraId="3EF462B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lastRenderedPageBreak/>
              <w:t>Mental Health</w:t>
            </w:r>
          </w:p>
        </w:tc>
        <w:tc>
          <w:tcPr>
            <w:tcW w:w="2031" w:type="dxa"/>
            <w:gridSpan w:val="2"/>
          </w:tcPr>
          <w:p w14:paraId="407B7B9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 symptoms of depression or anxiety</w:t>
            </w:r>
          </w:p>
        </w:tc>
        <w:tc>
          <w:tcPr>
            <w:tcW w:w="2292" w:type="dxa"/>
          </w:tcPr>
          <w:p w14:paraId="5C42294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81(25.6%)</w:t>
            </w:r>
          </w:p>
        </w:tc>
        <w:tc>
          <w:tcPr>
            <w:tcW w:w="1488" w:type="dxa"/>
            <w:gridSpan w:val="4"/>
          </w:tcPr>
          <w:p w14:paraId="71364A3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24(14.0%)</w:t>
            </w:r>
          </w:p>
        </w:tc>
        <w:tc>
          <w:tcPr>
            <w:tcW w:w="902" w:type="dxa"/>
            <w:vMerge w:val="restart"/>
          </w:tcPr>
          <w:p w14:paraId="4AC99CA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27.895</w:t>
            </w:r>
          </w:p>
        </w:tc>
        <w:tc>
          <w:tcPr>
            <w:tcW w:w="807" w:type="dxa"/>
            <w:vMerge w:val="restart"/>
          </w:tcPr>
          <w:p w14:paraId="338CBFB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.001</w:t>
            </w:r>
          </w:p>
        </w:tc>
      </w:tr>
      <w:tr w:rsidR="006116EE" w:rsidRPr="00A75385" w14:paraId="5E5E2D47" w14:textId="77777777" w:rsidTr="006116EE">
        <w:tc>
          <w:tcPr>
            <w:tcW w:w="1830" w:type="dxa"/>
            <w:vMerge/>
          </w:tcPr>
          <w:p w14:paraId="53D7C0A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31" w:type="dxa"/>
            <w:gridSpan w:val="2"/>
          </w:tcPr>
          <w:p w14:paraId="1707097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Mild symptoms of depression or anxiety</w:t>
            </w:r>
          </w:p>
        </w:tc>
        <w:tc>
          <w:tcPr>
            <w:tcW w:w="2292" w:type="dxa"/>
          </w:tcPr>
          <w:p w14:paraId="040397B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215(68.0%)</w:t>
            </w:r>
          </w:p>
        </w:tc>
        <w:tc>
          <w:tcPr>
            <w:tcW w:w="1488" w:type="dxa"/>
            <w:gridSpan w:val="4"/>
          </w:tcPr>
          <w:p w14:paraId="18E00DC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112(65.1%)</w:t>
            </w:r>
          </w:p>
        </w:tc>
        <w:tc>
          <w:tcPr>
            <w:tcW w:w="902" w:type="dxa"/>
            <w:vMerge/>
          </w:tcPr>
          <w:p w14:paraId="667CDA3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5ECC4AC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3F880CDE" w14:textId="77777777" w:rsidTr="006116EE">
        <w:tc>
          <w:tcPr>
            <w:tcW w:w="1830" w:type="dxa"/>
            <w:vMerge/>
          </w:tcPr>
          <w:p w14:paraId="5DFBED55"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31" w:type="dxa"/>
            <w:gridSpan w:val="2"/>
          </w:tcPr>
          <w:p w14:paraId="24CCCF5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Moderate to severe symptoms of depression or anxiety</w:t>
            </w:r>
          </w:p>
        </w:tc>
        <w:tc>
          <w:tcPr>
            <w:tcW w:w="2292" w:type="dxa"/>
          </w:tcPr>
          <w:p w14:paraId="603B00F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20(6.3%)</w:t>
            </w:r>
          </w:p>
        </w:tc>
        <w:tc>
          <w:tcPr>
            <w:tcW w:w="1488" w:type="dxa"/>
            <w:gridSpan w:val="4"/>
          </w:tcPr>
          <w:p w14:paraId="529FEA3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36(20.9%)</w:t>
            </w:r>
          </w:p>
        </w:tc>
        <w:tc>
          <w:tcPr>
            <w:tcW w:w="902" w:type="dxa"/>
            <w:vMerge/>
          </w:tcPr>
          <w:p w14:paraId="5BE89FC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0645D1A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04267DC6" w14:textId="77777777" w:rsidTr="006116EE">
        <w:tc>
          <w:tcPr>
            <w:tcW w:w="1830" w:type="dxa"/>
            <w:vMerge w:val="restart"/>
          </w:tcPr>
          <w:p w14:paraId="61627265"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Health Screenings</w:t>
            </w:r>
          </w:p>
        </w:tc>
        <w:tc>
          <w:tcPr>
            <w:tcW w:w="2031" w:type="dxa"/>
            <w:gridSpan w:val="2"/>
          </w:tcPr>
          <w:p w14:paraId="18CB6D0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Up-to-date on recommended health screenings</w:t>
            </w:r>
          </w:p>
        </w:tc>
        <w:tc>
          <w:tcPr>
            <w:tcW w:w="2292" w:type="dxa"/>
          </w:tcPr>
          <w:p w14:paraId="4F2355D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125(39.6%)</w:t>
            </w:r>
          </w:p>
        </w:tc>
        <w:tc>
          <w:tcPr>
            <w:tcW w:w="1488" w:type="dxa"/>
            <w:gridSpan w:val="4"/>
          </w:tcPr>
          <w:p w14:paraId="19A0722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60(34.9%)</w:t>
            </w:r>
          </w:p>
        </w:tc>
        <w:tc>
          <w:tcPr>
            <w:tcW w:w="902" w:type="dxa"/>
            <w:vMerge w:val="restart"/>
          </w:tcPr>
          <w:p w14:paraId="3B47BDE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1.033</w:t>
            </w:r>
          </w:p>
        </w:tc>
        <w:tc>
          <w:tcPr>
            <w:tcW w:w="807" w:type="dxa"/>
            <w:vMerge w:val="restart"/>
          </w:tcPr>
          <w:p w14:paraId="4A4CECD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.309</w:t>
            </w:r>
          </w:p>
        </w:tc>
      </w:tr>
      <w:tr w:rsidR="006116EE" w:rsidRPr="00A75385" w14:paraId="2A27FC8A" w14:textId="77777777" w:rsidTr="006116EE">
        <w:tc>
          <w:tcPr>
            <w:tcW w:w="1830" w:type="dxa"/>
            <w:vMerge/>
          </w:tcPr>
          <w:p w14:paraId="53B3D8F7"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31" w:type="dxa"/>
            <w:gridSpan w:val="2"/>
          </w:tcPr>
          <w:p w14:paraId="359752D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Not up-to-date on recommended health screenings</w:t>
            </w:r>
          </w:p>
        </w:tc>
        <w:tc>
          <w:tcPr>
            <w:tcW w:w="2292" w:type="dxa"/>
          </w:tcPr>
          <w:p w14:paraId="0953185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191(60.4%)</w:t>
            </w:r>
          </w:p>
        </w:tc>
        <w:tc>
          <w:tcPr>
            <w:tcW w:w="1488" w:type="dxa"/>
            <w:gridSpan w:val="4"/>
          </w:tcPr>
          <w:p w14:paraId="53DAA27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112(65.1%)</w:t>
            </w:r>
          </w:p>
        </w:tc>
        <w:tc>
          <w:tcPr>
            <w:tcW w:w="902" w:type="dxa"/>
            <w:vMerge/>
          </w:tcPr>
          <w:p w14:paraId="0596B02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00F09F9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7928509A" w14:textId="77777777" w:rsidTr="006116EE">
        <w:tc>
          <w:tcPr>
            <w:tcW w:w="1830" w:type="dxa"/>
            <w:vMerge w:val="restart"/>
          </w:tcPr>
          <w:p w14:paraId="5B0FFDF1"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Access to Healthcare</w:t>
            </w:r>
          </w:p>
        </w:tc>
        <w:tc>
          <w:tcPr>
            <w:tcW w:w="2031" w:type="dxa"/>
            <w:gridSpan w:val="2"/>
          </w:tcPr>
          <w:p w14:paraId="0F8DFAA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Has access to affordable and high-quality healthcare</w:t>
            </w:r>
          </w:p>
        </w:tc>
        <w:tc>
          <w:tcPr>
            <w:tcW w:w="2292" w:type="dxa"/>
          </w:tcPr>
          <w:p w14:paraId="54D5B0A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34(10.8%)</w:t>
            </w:r>
          </w:p>
        </w:tc>
        <w:tc>
          <w:tcPr>
            <w:tcW w:w="1488" w:type="dxa"/>
            <w:gridSpan w:val="4"/>
          </w:tcPr>
          <w:p w14:paraId="24E61A2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19(11.0%)</w:t>
            </w:r>
          </w:p>
        </w:tc>
        <w:tc>
          <w:tcPr>
            <w:tcW w:w="902" w:type="dxa"/>
            <w:vMerge w:val="restart"/>
          </w:tcPr>
          <w:p w14:paraId="2A8557A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.009</w:t>
            </w:r>
          </w:p>
        </w:tc>
        <w:tc>
          <w:tcPr>
            <w:tcW w:w="807" w:type="dxa"/>
            <w:vMerge w:val="restart"/>
          </w:tcPr>
          <w:p w14:paraId="5881731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.992</w:t>
            </w:r>
          </w:p>
        </w:tc>
      </w:tr>
      <w:tr w:rsidR="006116EE" w:rsidRPr="00A75385" w14:paraId="66AD2064" w14:textId="77777777" w:rsidTr="006116EE">
        <w:tc>
          <w:tcPr>
            <w:tcW w:w="1830" w:type="dxa"/>
            <w:vMerge/>
          </w:tcPr>
          <w:p w14:paraId="1AA926B3"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31" w:type="dxa"/>
            <w:gridSpan w:val="2"/>
          </w:tcPr>
          <w:p w14:paraId="663E532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Does not have access to affordable and high-quality healthcare</w:t>
            </w:r>
          </w:p>
        </w:tc>
        <w:tc>
          <w:tcPr>
            <w:tcW w:w="2292" w:type="dxa"/>
          </w:tcPr>
          <w:p w14:paraId="0008ECD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282(89.2%)</w:t>
            </w:r>
          </w:p>
        </w:tc>
        <w:tc>
          <w:tcPr>
            <w:tcW w:w="1488" w:type="dxa"/>
            <w:gridSpan w:val="4"/>
          </w:tcPr>
          <w:p w14:paraId="7173B12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153(89.0%)</w:t>
            </w:r>
          </w:p>
        </w:tc>
        <w:tc>
          <w:tcPr>
            <w:tcW w:w="902" w:type="dxa"/>
            <w:vMerge/>
          </w:tcPr>
          <w:p w14:paraId="7E5F067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1E881C2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39E17B71" w14:textId="77777777" w:rsidTr="006116EE">
        <w:tc>
          <w:tcPr>
            <w:tcW w:w="1830" w:type="dxa"/>
            <w:vMerge w:val="restart"/>
          </w:tcPr>
          <w:p w14:paraId="1AC091D1"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BMI Category</w:t>
            </w:r>
          </w:p>
        </w:tc>
        <w:tc>
          <w:tcPr>
            <w:tcW w:w="2031" w:type="dxa"/>
            <w:gridSpan w:val="2"/>
          </w:tcPr>
          <w:p w14:paraId="68A6D19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Underweight</w:t>
            </w:r>
          </w:p>
        </w:tc>
        <w:tc>
          <w:tcPr>
            <w:tcW w:w="2292" w:type="dxa"/>
          </w:tcPr>
          <w:p w14:paraId="62C2B54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67(21.2%)</w:t>
            </w:r>
          </w:p>
        </w:tc>
        <w:tc>
          <w:tcPr>
            <w:tcW w:w="1488" w:type="dxa"/>
            <w:gridSpan w:val="4"/>
          </w:tcPr>
          <w:p w14:paraId="62B1BD4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28(16.3%)</w:t>
            </w:r>
          </w:p>
        </w:tc>
        <w:tc>
          <w:tcPr>
            <w:tcW w:w="902" w:type="dxa"/>
            <w:vMerge w:val="restart"/>
          </w:tcPr>
          <w:p w14:paraId="57B683F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2.863</w:t>
            </w:r>
          </w:p>
        </w:tc>
        <w:tc>
          <w:tcPr>
            <w:tcW w:w="807" w:type="dxa"/>
            <w:vMerge w:val="restart"/>
          </w:tcPr>
          <w:p w14:paraId="0FF15F4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.239</w:t>
            </w:r>
          </w:p>
        </w:tc>
      </w:tr>
      <w:tr w:rsidR="006116EE" w:rsidRPr="00A75385" w14:paraId="39830950" w14:textId="77777777" w:rsidTr="006116EE">
        <w:tc>
          <w:tcPr>
            <w:tcW w:w="1830" w:type="dxa"/>
            <w:vMerge/>
          </w:tcPr>
          <w:p w14:paraId="1A49649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2031" w:type="dxa"/>
            <w:gridSpan w:val="2"/>
          </w:tcPr>
          <w:p w14:paraId="0CA398D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Normal Weight</w:t>
            </w:r>
          </w:p>
        </w:tc>
        <w:tc>
          <w:tcPr>
            <w:tcW w:w="2292" w:type="dxa"/>
          </w:tcPr>
          <w:p w14:paraId="7B2C4B1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203(64.2%)</w:t>
            </w:r>
          </w:p>
        </w:tc>
        <w:tc>
          <w:tcPr>
            <w:tcW w:w="1488" w:type="dxa"/>
            <w:gridSpan w:val="4"/>
          </w:tcPr>
          <w:p w14:paraId="6D49DEB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111(64.5%)</w:t>
            </w:r>
          </w:p>
        </w:tc>
        <w:tc>
          <w:tcPr>
            <w:tcW w:w="902" w:type="dxa"/>
            <w:vMerge/>
          </w:tcPr>
          <w:p w14:paraId="45F2DEC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1159B50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5BE3D4B9" w14:textId="77777777" w:rsidTr="006116EE">
        <w:tc>
          <w:tcPr>
            <w:tcW w:w="1830" w:type="dxa"/>
            <w:vMerge/>
          </w:tcPr>
          <w:p w14:paraId="7309233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2031" w:type="dxa"/>
            <w:gridSpan w:val="2"/>
          </w:tcPr>
          <w:p w14:paraId="4099F1E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Overweight</w:t>
            </w:r>
          </w:p>
        </w:tc>
        <w:tc>
          <w:tcPr>
            <w:tcW w:w="2292" w:type="dxa"/>
          </w:tcPr>
          <w:p w14:paraId="6CE2898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46(14.6%)</w:t>
            </w:r>
          </w:p>
        </w:tc>
        <w:tc>
          <w:tcPr>
            <w:tcW w:w="1488" w:type="dxa"/>
            <w:gridSpan w:val="4"/>
          </w:tcPr>
          <w:p w14:paraId="49C2F2F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33(19.2%)</w:t>
            </w:r>
          </w:p>
        </w:tc>
        <w:tc>
          <w:tcPr>
            <w:tcW w:w="902" w:type="dxa"/>
            <w:vMerge/>
          </w:tcPr>
          <w:p w14:paraId="56F0799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6275CA6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1279408B" w14:textId="77777777" w:rsidTr="006116EE">
        <w:tc>
          <w:tcPr>
            <w:tcW w:w="1830" w:type="dxa"/>
            <w:vMerge w:val="restart"/>
          </w:tcPr>
          <w:p w14:paraId="4E64933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Dietary habits of the community</w:t>
            </w:r>
          </w:p>
        </w:tc>
        <w:tc>
          <w:tcPr>
            <w:tcW w:w="2031" w:type="dxa"/>
            <w:gridSpan w:val="2"/>
          </w:tcPr>
          <w:p w14:paraId="0370DFA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Unhealthy Diet</w:t>
            </w:r>
          </w:p>
        </w:tc>
        <w:tc>
          <w:tcPr>
            <w:tcW w:w="2292" w:type="dxa"/>
          </w:tcPr>
          <w:p w14:paraId="1C3FE8E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142(44.9%)</w:t>
            </w:r>
          </w:p>
        </w:tc>
        <w:tc>
          <w:tcPr>
            <w:tcW w:w="1488" w:type="dxa"/>
            <w:gridSpan w:val="4"/>
          </w:tcPr>
          <w:p w14:paraId="5AD5947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57(33.1%)</w:t>
            </w:r>
          </w:p>
        </w:tc>
        <w:tc>
          <w:tcPr>
            <w:tcW w:w="902" w:type="dxa"/>
            <w:vMerge w:val="restart"/>
          </w:tcPr>
          <w:p w14:paraId="4EAE8BA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6.419</w:t>
            </w:r>
          </w:p>
        </w:tc>
        <w:tc>
          <w:tcPr>
            <w:tcW w:w="807" w:type="dxa"/>
            <w:vMerge w:val="restart"/>
          </w:tcPr>
          <w:p w14:paraId="193146E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.011</w:t>
            </w:r>
          </w:p>
        </w:tc>
      </w:tr>
      <w:tr w:rsidR="006116EE" w:rsidRPr="00A75385" w14:paraId="45622887" w14:textId="77777777" w:rsidTr="006116EE">
        <w:tc>
          <w:tcPr>
            <w:tcW w:w="1830" w:type="dxa"/>
            <w:vMerge/>
          </w:tcPr>
          <w:p w14:paraId="50ADD25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2031" w:type="dxa"/>
            <w:gridSpan w:val="2"/>
          </w:tcPr>
          <w:p w14:paraId="376A1B4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Healthy Diet</w:t>
            </w:r>
          </w:p>
        </w:tc>
        <w:tc>
          <w:tcPr>
            <w:tcW w:w="2292" w:type="dxa"/>
          </w:tcPr>
          <w:p w14:paraId="7CA5794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174(55.1%)</w:t>
            </w:r>
          </w:p>
        </w:tc>
        <w:tc>
          <w:tcPr>
            <w:tcW w:w="1488" w:type="dxa"/>
            <w:gridSpan w:val="4"/>
          </w:tcPr>
          <w:p w14:paraId="732AE77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115(66.9%)</w:t>
            </w:r>
          </w:p>
        </w:tc>
        <w:tc>
          <w:tcPr>
            <w:tcW w:w="902" w:type="dxa"/>
            <w:vMerge/>
          </w:tcPr>
          <w:p w14:paraId="4FFDD90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587CC36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5BD39C9B" w14:textId="77777777" w:rsidTr="006116EE">
        <w:tc>
          <w:tcPr>
            <w:tcW w:w="1830" w:type="dxa"/>
          </w:tcPr>
          <w:p w14:paraId="61B9AD8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eastAsia="Times New Roman" w:hAnsi="Times New Roman" w:cs="Times New Roman"/>
                <w:color w:val="000000" w:themeColor="text1"/>
                <w:sz w:val="24"/>
                <w:szCs w:val="24"/>
              </w:rPr>
              <w:lastRenderedPageBreak/>
              <w:t>Readiness of the community to address a particular issue or problem</w:t>
            </w:r>
          </w:p>
        </w:tc>
        <w:tc>
          <w:tcPr>
            <w:tcW w:w="2031" w:type="dxa"/>
            <w:gridSpan w:val="2"/>
          </w:tcPr>
          <w:p w14:paraId="2B427F1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Preparation stage or higher</w:t>
            </w:r>
          </w:p>
        </w:tc>
        <w:tc>
          <w:tcPr>
            <w:tcW w:w="2292" w:type="dxa"/>
          </w:tcPr>
          <w:p w14:paraId="3111680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316(100.0%)</w:t>
            </w:r>
          </w:p>
        </w:tc>
        <w:tc>
          <w:tcPr>
            <w:tcW w:w="1488" w:type="dxa"/>
            <w:gridSpan w:val="4"/>
          </w:tcPr>
          <w:p w14:paraId="03D1690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172(100.0%)</w:t>
            </w:r>
          </w:p>
        </w:tc>
        <w:tc>
          <w:tcPr>
            <w:tcW w:w="902" w:type="dxa"/>
          </w:tcPr>
          <w:p w14:paraId="13B7152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tcPr>
          <w:p w14:paraId="71B22F7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06A9A9A4" w14:textId="77777777" w:rsidTr="006116EE">
        <w:trPr>
          <w:trHeight w:val="851"/>
        </w:trPr>
        <w:tc>
          <w:tcPr>
            <w:tcW w:w="1830" w:type="dxa"/>
            <w:vMerge w:val="restart"/>
          </w:tcPr>
          <w:p w14:paraId="602BBEF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eastAsia="Times New Roman" w:hAnsi="Times New Roman" w:cs="Times New Roman"/>
                <w:color w:val="000000" w:themeColor="text1"/>
                <w:sz w:val="24"/>
                <w:szCs w:val="24"/>
              </w:rPr>
              <w:t>Individual's exposure to freeway air pollution and health impacts</w:t>
            </w:r>
          </w:p>
        </w:tc>
        <w:tc>
          <w:tcPr>
            <w:tcW w:w="2031" w:type="dxa"/>
            <w:gridSpan w:val="2"/>
          </w:tcPr>
          <w:p w14:paraId="0949458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Individuals at lower risk for adverse health outcomes</w:t>
            </w:r>
          </w:p>
        </w:tc>
        <w:tc>
          <w:tcPr>
            <w:tcW w:w="2292" w:type="dxa"/>
          </w:tcPr>
          <w:p w14:paraId="5AFDDA7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32(10.1%)</w:t>
            </w:r>
          </w:p>
        </w:tc>
        <w:tc>
          <w:tcPr>
            <w:tcW w:w="1488" w:type="dxa"/>
            <w:gridSpan w:val="4"/>
          </w:tcPr>
          <w:p w14:paraId="57B2A91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43(25.0%)</w:t>
            </w:r>
          </w:p>
        </w:tc>
        <w:tc>
          <w:tcPr>
            <w:tcW w:w="902" w:type="dxa"/>
            <w:vMerge w:val="restart"/>
          </w:tcPr>
          <w:p w14:paraId="7C0E01D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18.943</w:t>
            </w:r>
          </w:p>
        </w:tc>
        <w:tc>
          <w:tcPr>
            <w:tcW w:w="807" w:type="dxa"/>
            <w:vMerge w:val="restart"/>
          </w:tcPr>
          <w:p w14:paraId="406891A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.001</w:t>
            </w:r>
          </w:p>
        </w:tc>
      </w:tr>
      <w:tr w:rsidR="006116EE" w:rsidRPr="00A75385" w14:paraId="54A0537A" w14:textId="77777777" w:rsidTr="006116EE">
        <w:trPr>
          <w:trHeight w:val="689"/>
        </w:trPr>
        <w:tc>
          <w:tcPr>
            <w:tcW w:w="1830" w:type="dxa"/>
            <w:vMerge/>
          </w:tcPr>
          <w:p w14:paraId="35DD9B7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2031" w:type="dxa"/>
            <w:gridSpan w:val="2"/>
          </w:tcPr>
          <w:p w14:paraId="11A3235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Individuals at increased risk for adverse health outcomes</w:t>
            </w:r>
          </w:p>
        </w:tc>
        <w:tc>
          <w:tcPr>
            <w:tcW w:w="2292" w:type="dxa"/>
          </w:tcPr>
          <w:p w14:paraId="3A8F900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284(89.9%)</w:t>
            </w:r>
          </w:p>
        </w:tc>
        <w:tc>
          <w:tcPr>
            <w:tcW w:w="1488" w:type="dxa"/>
            <w:gridSpan w:val="4"/>
          </w:tcPr>
          <w:p w14:paraId="30954B1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129(75.0%)</w:t>
            </w:r>
          </w:p>
        </w:tc>
        <w:tc>
          <w:tcPr>
            <w:tcW w:w="902" w:type="dxa"/>
            <w:vMerge/>
          </w:tcPr>
          <w:p w14:paraId="6A6D7B9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052AC3A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080194E1" w14:textId="77777777" w:rsidTr="006116EE">
        <w:trPr>
          <w:trHeight w:val="105"/>
        </w:trPr>
        <w:tc>
          <w:tcPr>
            <w:tcW w:w="1830" w:type="dxa"/>
            <w:vMerge w:val="restart"/>
          </w:tcPr>
          <w:p w14:paraId="25AF548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of community health promotion activities</w:t>
            </w:r>
          </w:p>
        </w:tc>
        <w:tc>
          <w:tcPr>
            <w:tcW w:w="2031" w:type="dxa"/>
            <w:gridSpan w:val="2"/>
          </w:tcPr>
          <w:p w14:paraId="524B67E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Lower level of community health promotion activities</w:t>
            </w:r>
          </w:p>
        </w:tc>
        <w:tc>
          <w:tcPr>
            <w:tcW w:w="2344" w:type="dxa"/>
            <w:gridSpan w:val="3"/>
          </w:tcPr>
          <w:p w14:paraId="31DE227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309(97.8%)</w:t>
            </w:r>
          </w:p>
        </w:tc>
        <w:tc>
          <w:tcPr>
            <w:tcW w:w="1436" w:type="dxa"/>
            <w:gridSpan w:val="2"/>
          </w:tcPr>
          <w:p w14:paraId="31DC503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160(93.0%)</w:t>
            </w:r>
          </w:p>
        </w:tc>
        <w:tc>
          <w:tcPr>
            <w:tcW w:w="902" w:type="dxa"/>
            <w:vMerge w:val="restart"/>
          </w:tcPr>
          <w:p w14:paraId="6BFE684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6.748</w:t>
            </w:r>
          </w:p>
        </w:tc>
        <w:tc>
          <w:tcPr>
            <w:tcW w:w="807" w:type="dxa"/>
            <w:vMerge w:val="restart"/>
          </w:tcPr>
          <w:p w14:paraId="19F285B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.009</w:t>
            </w:r>
          </w:p>
        </w:tc>
      </w:tr>
      <w:tr w:rsidR="006116EE" w:rsidRPr="00A75385" w14:paraId="32E4B8EA" w14:textId="77777777" w:rsidTr="006116EE">
        <w:trPr>
          <w:trHeight w:val="105"/>
        </w:trPr>
        <w:tc>
          <w:tcPr>
            <w:tcW w:w="1830" w:type="dxa"/>
            <w:vMerge/>
          </w:tcPr>
          <w:p w14:paraId="3FB940D3"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31" w:type="dxa"/>
            <w:gridSpan w:val="2"/>
          </w:tcPr>
          <w:p w14:paraId="40F8A44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Higher level of community health promotion activities</w:t>
            </w:r>
          </w:p>
        </w:tc>
        <w:tc>
          <w:tcPr>
            <w:tcW w:w="2344" w:type="dxa"/>
            <w:gridSpan w:val="3"/>
          </w:tcPr>
          <w:p w14:paraId="1DC26E5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7(2.2%)</w:t>
            </w:r>
          </w:p>
        </w:tc>
        <w:tc>
          <w:tcPr>
            <w:tcW w:w="1436" w:type="dxa"/>
            <w:gridSpan w:val="2"/>
          </w:tcPr>
          <w:p w14:paraId="4710BF5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12(7.0%)</w:t>
            </w:r>
          </w:p>
        </w:tc>
        <w:tc>
          <w:tcPr>
            <w:tcW w:w="902" w:type="dxa"/>
            <w:vMerge/>
          </w:tcPr>
          <w:p w14:paraId="6888AF5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5EBA79E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72995F6F" w14:textId="77777777" w:rsidTr="006116EE">
        <w:trPr>
          <w:trHeight w:val="643"/>
        </w:trPr>
        <w:tc>
          <w:tcPr>
            <w:tcW w:w="1830" w:type="dxa"/>
            <w:vMerge w:val="restart"/>
          </w:tcPr>
          <w:p w14:paraId="0B96C2D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Patient's self-efficacy in managing their chronic disease</w:t>
            </w:r>
          </w:p>
        </w:tc>
        <w:tc>
          <w:tcPr>
            <w:tcW w:w="2031" w:type="dxa"/>
            <w:gridSpan w:val="2"/>
          </w:tcPr>
          <w:p w14:paraId="31BDD08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Patients’ high self-efficacy</w:t>
            </w:r>
          </w:p>
        </w:tc>
        <w:tc>
          <w:tcPr>
            <w:tcW w:w="2344" w:type="dxa"/>
            <w:gridSpan w:val="3"/>
          </w:tcPr>
          <w:p w14:paraId="59F4BE4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314(99.4%)</w:t>
            </w:r>
          </w:p>
        </w:tc>
        <w:tc>
          <w:tcPr>
            <w:tcW w:w="1436" w:type="dxa"/>
            <w:gridSpan w:val="2"/>
          </w:tcPr>
          <w:p w14:paraId="1D3391D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69(40.1%)</w:t>
            </w:r>
          </w:p>
        </w:tc>
        <w:tc>
          <w:tcPr>
            <w:tcW w:w="902" w:type="dxa"/>
            <w:vMerge w:val="restart"/>
          </w:tcPr>
          <w:p w14:paraId="5E6EB0D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6.419</w:t>
            </w:r>
          </w:p>
        </w:tc>
        <w:tc>
          <w:tcPr>
            <w:tcW w:w="807" w:type="dxa"/>
            <w:vMerge w:val="restart"/>
          </w:tcPr>
          <w:p w14:paraId="5783B3E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.011</w:t>
            </w:r>
          </w:p>
        </w:tc>
      </w:tr>
      <w:tr w:rsidR="006116EE" w:rsidRPr="00A75385" w14:paraId="7DF556AF" w14:textId="77777777" w:rsidTr="006116EE">
        <w:trPr>
          <w:trHeight w:val="105"/>
        </w:trPr>
        <w:tc>
          <w:tcPr>
            <w:tcW w:w="1830" w:type="dxa"/>
            <w:vMerge/>
          </w:tcPr>
          <w:p w14:paraId="00EF2036"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31" w:type="dxa"/>
            <w:gridSpan w:val="2"/>
          </w:tcPr>
          <w:p w14:paraId="70B366E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Patients’ low self-efficacy</w:t>
            </w:r>
          </w:p>
        </w:tc>
        <w:tc>
          <w:tcPr>
            <w:tcW w:w="2344" w:type="dxa"/>
            <w:gridSpan w:val="3"/>
          </w:tcPr>
          <w:p w14:paraId="2D7F50A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2(0.6%)</w:t>
            </w:r>
          </w:p>
        </w:tc>
        <w:tc>
          <w:tcPr>
            <w:tcW w:w="1436" w:type="dxa"/>
            <w:gridSpan w:val="2"/>
          </w:tcPr>
          <w:p w14:paraId="08453C6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103(59.9%)</w:t>
            </w:r>
          </w:p>
        </w:tc>
        <w:tc>
          <w:tcPr>
            <w:tcW w:w="902" w:type="dxa"/>
            <w:vMerge/>
          </w:tcPr>
          <w:p w14:paraId="632A33C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6511FBC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109D66B5" w14:textId="77777777" w:rsidTr="006116EE">
        <w:trPr>
          <w:trHeight w:val="598"/>
        </w:trPr>
        <w:tc>
          <w:tcPr>
            <w:tcW w:w="1830" w:type="dxa"/>
            <w:vMerge w:val="restart"/>
          </w:tcPr>
          <w:p w14:paraId="480B83C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eastAsia="Times New Roman" w:hAnsi="Times New Roman" w:cs="Times New Roman"/>
                <w:color w:val="000000" w:themeColor="text1"/>
                <w:sz w:val="24"/>
                <w:szCs w:val="24"/>
              </w:rPr>
              <w:t xml:space="preserve">Patients' knowledge, skills, and confidence in managing their </w:t>
            </w:r>
            <w:r w:rsidRPr="00A75385">
              <w:rPr>
                <w:rFonts w:ascii="Times New Roman" w:eastAsia="Times New Roman" w:hAnsi="Times New Roman" w:cs="Times New Roman"/>
                <w:color w:val="000000" w:themeColor="text1"/>
                <w:sz w:val="24"/>
                <w:szCs w:val="24"/>
              </w:rPr>
              <w:lastRenderedPageBreak/>
              <w:t>health and healthcare</w:t>
            </w:r>
          </w:p>
        </w:tc>
        <w:tc>
          <w:tcPr>
            <w:tcW w:w="2031" w:type="dxa"/>
            <w:gridSpan w:val="2"/>
          </w:tcPr>
          <w:p w14:paraId="7CCACA5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lastRenderedPageBreak/>
              <w:t>Level 1</w:t>
            </w:r>
          </w:p>
        </w:tc>
        <w:tc>
          <w:tcPr>
            <w:tcW w:w="2344" w:type="dxa"/>
            <w:gridSpan w:val="3"/>
          </w:tcPr>
          <w:p w14:paraId="0AC1918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119(37.7%)</w:t>
            </w:r>
          </w:p>
        </w:tc>
        <w:tc>
          <w:tcPr>
            <w:tcW w:w="1436" w:type="dxa"/>
            <w:gridSpan w:val="2"/>
          </w:tcPr>
          <w:p w14:paraId="3EF794F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61(35.5%)</w:t>
            </w:r>
          </w:p>
        </w:tc>
        <w:tc>
          <w:tcPr>
            <w:tcW w:w="902" w:type="dxa"/>
            <w:vMerge w:val="restart"/>
          </w:tcPr>
          <w:p w14:paraId="3B1AD42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3.170</w:t>
            </w:r>
          </w:p>
        </w:tc>
        <w:tc>
          <w:tcPr>
            <w:tcW w:w="807" w:type="dxa"/>
            <w:vMerge w:val="restart"/>
          </w:tcPr>
          <w:p w14:paraId="0F49786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.366</w:t>
            </w:r>
          </w:p>
        </w:tc>
      </w:tr>
      <w:tr w:rsidR="006116EE" w:rsidRPr="00A75385" w14:paraId="6E4266C8" w14:textId="77777777" w:rsidTr="006116EE">
        <w:trPr>
          <w:trHeight w:val="616"/>
        </w:trPr>
        <w:tc>
          <w:tcPr>
            <w:tcW w:w="1830" w:type="dxa"/>
            <w:vMerge/>
          </w:tcPr>
          <w:p w14:paraId="0179EC53" w14:textId="77777777" w:rsidR="006116EE" w:rsidRPr="00A75385" w:rsidRDefault="006116EE" w:rsidP="00A75385">
            <w:pPr>
              <w:spacing w:after="0" w:line="360" w:lineRule="auto"/>
              <w:rPr>
                <w:rFonts w:ascii="Times New Roman" w:eastAsia="Times New Roman" w:hAnsi="Times New Roman" w:cs="Times New Roman"/>
                <w:b/>
                <w:bCs/>
                <w:color w:val="000000" w:themeColor="text1"/>
                <w:sz w:val="24"/>
                <w:szCs w:val="24"/>
              </w:rPr>
            </w:pPr>
          </w:p>
        </w:tc>
        <w:tc>
          <w:tcPr>
            <w:tcW w:w="2031" w:type="dxa"/>
            <w:gridSpan w:val="2"/>
          </w:tcPr>
          <w:p w14:paraId="3D6BD2F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2</w:t>
            </w:r>
          </w:p>
        </w:tc>
        <w:tc>
          <w:tcPr>
            <w:tcW w:w="2344" w:type="dxa"/>
            <w:gridSpan w:val="3"/>
          </w:tcPr>
          <w:p w14:paraId="6C892B0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29(9.2%)</w:t>
            </w:r>
          </w:p>
        </w:tc>
        <w:tc>
          <w:tcPr>
            <w:tcW w:w="1436" w:type="dxa"/>
            <w:gridSpan w:val="2"/>
          </w:tcPr>
          <w:p w14:paraId="6544233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13(7.6%)</w:t>
            </w:r>
          </w:p>
        </w:tc>
        <w:tc>
          <w:tcPr>
            <w:tcW w:w="902" w:type="dxa"/>
            <w:vMerge/>
          </w:tcPr>
          <w:p w14:paraId="02083BC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10E9A3E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1DF2CE88" w14:textId="77777777" w:rsidTr="006116EE">
        <w:trPr>
          <w:trHeight w:val="544"/>
        </w:trPr>
        <w:tc>
          <w:tcPr>
            <w:tcW w:w="1830" w:type="dxa"/>
            <w:vMerge/>
          </w:tcPr>
          <w:p w14:paraId="046DF388" w14:textId="77777777" w:rsidR="006116EE" w:rsidRPr="00A75385" w:rsidRDefault="006116EE" w:rsidP="00A75385">
            <w:pPr>
              <w:spacing w:after="0" w:line="360" w:lineRule="auto"/>
              <w:rPr>
                <w:rFonts w:ascii="Times New Roman" w:eastAsia="Times New Roman" w:hAnsi="Times New Roman" w:cs="Times New Roman"/>
                <w:b/>
                <w:bCs/>
                <w:color w:val="000000" w:themeColor="text1"/>
                <w:sz w:val="24"/>
                <w:szCs w:val="24"/>
              </w:rPr>
            </w:pPr>
          </w:p>
        </w:tc>
        <w:tc>
          <w:tcPr>
            <w:tcW w:w="2031" w:type="dxa"/>
            <w:gridSpan w:val="2"/>
          </w:tcPr>
          <w:p w14:paraId="0924590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3</w:t>
            </w:r>
          </w:p>
        </w:tc>
        <w:tc>
          <w:tcPr>
            <w:tcW w:w="2344" w:type="dxa"/>
            <w:gridSpan w:val="3"/>
          </w:tcPr>
          <w:p w14:paraId="527883B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58(18.4%)</w:t>
            </w:r>
          </w:p>
        </w:tc>
        <w:tc>
          <w:tcPr>
            <w:tcW w:w="1436" w:type="dxa"/>
            <w:gridSpan w:val="2"/>
          </w:tcPr>
          <w:p w14:paraId="7460D37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25(14.5%)</w:t>
            </w:r>
          </w:p>
        </w:tc>
        <w:tc>
          <w:tcPr>
            <w:tcW w:w="902" w:type="dxa"/>
            <w:vMerge/>
          </w:tcPr>
          <w:p w14:paraId="419DAF4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595B485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r w:rsidR="006116EE" w:rsidRPr="00A75385" w14:paraId="69A02146" w14:textId="77777777" w:rsidTr="006116EE">
        <w:trPr>
          <w:trHeight w:val="517"/>
        </w:trPr>
        <w:tc>
          <w:tcPr>
            <w:tcW w:w="1830" w:type="dxa"/>
            <w:vMerge/>
          </w:tcPr>
          <w:p w14:paraId="06E9EF3B" w14:textId="77777777" w:rsidR="006116EE" w:rsidRPr="00A75385" w:rsidRDefault="006116EE" w:rsidP="00A75385">
            <w:pPr>
              <w:spacing w:after="0" w:line="360" w:lineRule="auto"/>
              <w:rPr>
                <w:rFonts w:ascii="Times New Roman" w:eastAsia="Times New Roman" w:hAnsi="Times New Roman" w:cs="Times New Roman"/>
                <w:b/>
                <w:bCs/>
                <w:color w:val="000000" w:themeColor="text1"/>
                <w:sz w:val="24"/>
                <w:szCs w:val="24"/>
              </w:rPr>
            </w:pPr>
          </w:p>
        </w:tc>
        <w:tc>
          <w:tcPr>
            <w:tcW w:w="2031" w:type="dxa"/>
            <w:gridSpan w:val="2"/>
          </w:tcPr>
          <w:p w14:paraId="578B6A4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4</w:t>
            </w:r>
          </w:p>
        </w:tc>
        <w:tc>
          <w:tcPr>
            <w:tcW w:w="2344" w:type="dxa"/>
            <w:gridSpan w:val="3"/>
          </w:tcPr>
          <w:p w14:paraId="1A78CFF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110(34.8%)</w:t>
            </w:r>
          </w:p>
        </w:tc>
        <w:tc>
          <w:tcPr>
            <w:tcW w:w="1436" w:type="dxa"/>
            <w:gridSpan w:val="2"/>
          </w:tcPr>
          <w:p w14:paraId="27CF8DC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73(42.4%)</w:t>
            </w:r>
          </w:p>
        </w:tc>
        <w:tc>
          <w:tcPr>
            <w:tcW w:w="902" w:type="dxa"/>
            <w:vMerge/>
          </w:tcPr>
          <w:p w14:paraId="607ECA9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c>
          <w:tcPr>
            <w:tcW w:w="807" w:type="dxa"/>
            <w:vMerge/>
          </w:tcPr>
          <w:p w14:paraId="7B2F88C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p>
        </w:tc>
      </w:tr>
    </w:tbl>
    <w:p w14:paraId="3F295D8F" w14:textId="77777777" w:rsidR="006116EE" w:rsidRPr="00A75385" w:rsidRDefault="006116EE" w:rsidP="00A75385">
      <w:pPr>
        <w:spacing w:after="0" w:line="360" w:lineRule="auto"/>
        <w:jc w:val="both"/>
        <w:rPr>
          <w:rFonts w:ascii="Times New Roman" w:hAnsi="Times New Roman" w:cs="Times New Roman"/>
          <w:b/>
          <w:i/>
          <w:iCs/>
          <w:sz w:val="24"/>
          <w:szCs w:val="24"/>
        </w:rPr>
      </w:pPr>
    </w:p>
    <w:p w14:paraId="1D837D52" w14:textId="77777777" w:rsidR="006116EE" w:rsidRPr="00A75385" w:rsidRDefault="006116EE" w:rsidP="00A75385">
      <w:pPr>
        <w:pStyle w:val="Caption"/>
        <w:keepNext/>
        <w:spacing w:after="0" w:line="360" w:lineRule="auto"/>
        <w:rPr>
          <w:rFonts w:ascii="Times New Roman" w:hAnsi="Times New Roman" w:cs="Times New Roman"/>
          <w:b/>
          <w:i w:val="0"/>
          <w:color w:val="auto"/>
          <w:sz w:val="24"/>
          <w:szCs w:val="24"/>
        </w:rPr>
      </w:pPr>
      <w:bookmarkStart w:id="17" w:name="_Toc135693420"/>
    </w:p>
    <w:p w14:paraId="586B770C" w14:textId="77777777" w:rsidR="006116EE" w:rsidRPr="00A75385" w:rsidRDefault="006116EE" w:rsidP="00A75385">
      <w:pPr>
        <w:pStyle w:val="Caption"/>
        <w:keepNext/>
        <w:spacing w:after="0" w:line="360" w:lineRule="auto"/>
        <w:rPr>
          <w:rFonts w:ascii="Times New Roman" w:hAnsi="Times New Roman" w:cs="Times New Roman"/>
          <w:b/>
          <w:i w:val="0"/>
          <w:color w:val="auto"/>
          <w:sz w:val="24"/>
          <w:szCs w:val="24"/>
        </w:rPr>
      </w:pPr>
    </w:p>
    <w:bookmarkEnd w:id="17"/>
    <w:p w14:paraId="553B1982" w14:textId="77777777" w:rsidR="00BC54A8" w:rsidRDefault="00BC54A8" w:rsidP="00A75385">
      <w:pPr>
        <w:pStyle w:val="Caption"/>
        <w:keepNext/>
        <w:spacing w:after="0" w:line="360" w:lineRule="auto"/>
        <w:rPr>
          <w:rFonts w:ascii="Times New Roman" w:hAnsi="Times New Roman" w:cs="Times New Roman"/>
          <w:b/>
          <w:i w:val="0"/>
          <w:color w:val="auto"/>
          <w:sz w:val="24"/>
          <w:szCs w:val="24"/>
        </w:rPr>
      </w:pPr>
    </w:p>
    <w:p w14:paraId="76F17837" w14:textId="77777777" w:rsidR="00BC54A8" w:rsidRDefault="00BC54A8" w:rsidP="00A75385">
      <w:pPr>
        <w:pStyle w:val="Caption"/>
        <w:keepNext/>
        <w:spacing w:after="0" w:line="360" w:lineRule="auto"/>
        <w:rPr>
          <w:rFonts w:ascii="Times New Roman" w:hAnsi="Times New Roman" w:cs="Times New Roman"/>
          <w:b/>
          <w:i w:val="0"/>
          <w:color w:val="auto"/>
          <w:sz w:val="24"/>
          <w:szCs w:val="24"/>
        </w:rPr>
      </w:pPr>
    </w:p>
    <w:p w14:paraId="068836E6" w14:textId="77777777" w:rsidR="00BC54A8" w:rsidRDefault="00BC54A8" w:rsidP="00A75385">
      <w:pPr>
        <w:pStyle w:val="Caption"/>
        <w:keepNext/>
        <w:spacing w:after="0" w:line="360" w:lineRule="auto"/>
        <w:rPr>
          <w:rFonts w:ascii="Times New Roman" w:hAnsi="Times New Roman" w:cs="Times New Roman"/>
          <w:b/>
          <w:i w:val="0"/>
          <w:color w:val="auto"/>
          <w:sz w:val="24"/>
          <w:szCs w:val="24"/>
        </w:rPr>
      </w:pPr>
    </w:p>
    <w:p w14:paraId="3B868E72" w14:textId="0C2BC744" w:rsidR="006116EE" w:rsidRPr="00A75385" w:rsidRDefault="006116EE" w:rsidP="00A75385">
      <w:pPr>
        <w:pStyle w:val="Caption"/>
        <w:keepNext/>
        <w:spacing w:after="0" w:line="360" w:lineRule="auto"/>
        <w:rPr>
          <w:rFonts w:ascii="Times New Roman" w:hAnsi="Times New Roman" w:cs="Times New Roman"/>
          <w:b/>
          <w:i w:val="0"/>
          <w:color w:val="auto"/>
          <w:sz w:val="24"/>
          <w:szCs w:val="24"/>
        </w:rPr>
      </w:pPr>
      <w:r w:rsidRPr="00A75385">
        <w:rPr>
          <w:rFonts w:ascii="Times New Roman" w:hAnsi="Times New Roman" w:cs="Times New Roman"/>
          <w:b/>
          <w:i w:val="0"/>
          <w:color w:val="auto"/>
          <w:sz w:val="24"/>
          <w:szCs w:val="24"/>
        </w:rPr>
        <w:t xml:space="preserve">Table </w:t>
      </w:r>
      <w:r w:rsidRPr="00A75385">
        <w:rPr>
          <w:rFonts w:ascii="Times New Roman" w:hAnsi="Times New Roman" w:cs="Times New Roman"/>
          <w:b/>
          <w:i w:val="0"/>
          <w:color w:val="auto"/>
          <w:sz w:val="24"/>
          <w:szCs w:val="24"/>
        </w:rPr>
        <w:fldChar w:fldCharType="begin"/>
      </w:r>
      <w:r w:rsidRPr="00A75385">
        <w:rPr>
          <w:rFonts w:ascii="Times New Roman" w:hAnsi="Times New Roman" w:cs="Times New Roman"/>
          <w:b/>
          <w:i w:val="0"/>
          <w:color w:val="auto"/>
          <w:sz w:val="24"/>
          <w:szCs w:val="24"/>
        </w:rPr>
        <w:instrText xml:space="preserve"> SEQ Table \* ARABIC </w:instrText>
      </w:r>
      <w:r w:rsidRPr="00A75385">
        <w:rPr>
          <w:rFonts w:ascii="Times New Roman" w:hAnsi="Times New Roman" w:cs="Times New Roman"/>
          <w:b/>
          <w:i w:val="0"/>
          <w:color w:val="auto"/>
          <w:sz w:val="24"/>
          <w:szCs w:val="24"/>
        </w:rPr>
        <w:fldChar w:fldCharType="separate"/>
      </w:r>
      <w:r w:rsidRPr="00A75385">
        <w:rPr>
          <w:rFonts w:ascii="Times New Roman" w:hAnsi="Times New Roman" w:cs="Times New Roman"/>
          <w:b/>
          <w:i w:val="0"/>
          <w:noProof/>
          <w:color w:val="auto"/>
          <w:sz w:val="24"/>
          <w:szCs w:val="24"/>
        </w:rPr>
        <w:t>3</w:t>
      </w:r>
      <w:r w:rsidRPr="00A75385">
        <w:rPr>
          <w:rFonts w:ascii="Times New Roman" w:hAnsi="Times New Roman" w:cs="Times New Roman"/>
          <w:b/>
          <w:i w:val="0"/>
          <w:color w:val="auto"/>
          <w:sz w:val="24"/>
          <w:szCs w:val="24"/>
        </w:rPr>
        <w:fldChar w:fldCharType="end"/>
      </w:r>
      <w:r w:rsidRPr="00A75385">
        <w:rPr>
          <w:rFonts w:ascii="Times New Roman" w:hAnsi="Times New Roman" w:cs="Times New Roman"/>
          <w:b/>
          <w:i w:val="0"/>
          <w:color w:val="auto"/>
          <w:sz w:val="24"/>
          <w:szCs w:val="24"/>
        </w:rPr>
        <w:t xml:space="preserve">: Regression </w:t>
      </w:r>
      <w:r w:rsidR="00804500">
        <w:rPr>
          <w:rFonts w:ascii="Times New Roman" w:hAnsi="Times New Roman" w:cs="Times New Roman"/>
          <w:b/>
          <w:i w:val="0"/>
          <w:color w:val="auto"/>
          <w:sz w:val="24"/>
          <w:szCs w:val="24"/>
        </w:rPr>
        <w:t>analysis</w:t>
      </w:r>
      <w:r w:rsidRPr="00A75385">
        <w:rPr>
          <w:rFonts w:ascii="Times New Roman" w:hAnsi="Times New Roman" w:cs="Times New Roman"/>
          <w:b/>
          <w:i w:val="0"/>
          <w:color w:val="auto"/>
          <w:sz w:val="24"/>
          <w:szCs w:val="24"/>
        </w:rPr>
        <w:t xml:space="preserve"> between health behavior and chronic diseases</w:t>
      </w:r>
    </w:p>
    <w:tbl>
      <w:tblPr>
        <w:tblStyle w:val="TableGrid"/>
        <w:tblW w:w="9265" w:type="dxa"/>
        <w:tblLook w:val="04A0" w:firstRow="1" w:lastRow="0" w:firstColumn="1" w:lastColumn="0" w:noHBand="0" w:noVBand="1"/>
      </w:tblPr>
      <w:tblGrid>
        <w:gridCol w:w="1723"/>
        <w:gridCol w:w="2002"/>
        <w:gridCol w:w="2934"/>
        <w:gridCol w:w="2606"/>
      </w:tblGrid>
      <w:tr w:rsidR="006116EE" w:rsidRPr="00A75385" w14:paraId="4B045AA5" w14:textId="77777777" w:rsidTr="006116EE">
        <w:trPr>
          <w:trHeight w:val="712"/>
        </w:trPr>
        <w:tc>
          <w:tcPr>
            <w:tcW w:w="3725" w:type="dxa"/>
            <w:gridSpan w:val="2"/>
          </w:tcPr>
          <w:p w14:paraId="341389FA"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sz w:val="24"/>
                <w:szCs w:val="24"/>
              </w:rPr>
              <w:t xml:space="preserve">Variable </w:t>
            </w:r>
          </w:p>
        </w:tc>
        <w:tc>
          <w:tcPr>
            <w:tcW w:w="2934" w:type="dxa"/>
          </w:tcPr>
          <w:p w14:paraId="6CA0F823" w14:textId="77777777" w:rsidR="006116EE" w:rsidRPr="00A75385" w:rsidRDefault="006116EE" w:rsidP="00A75385">
            <w:pPr>
              <w:spacing w:after="0" w:line="360" w:lineRule="auto"/>
              <w:rPr>
                <w:rFonts w:ascii="Times New Roman" w:hAnsi="Times New Roman" w:cs="Times New Roman"/>
                <w:b/>
                <w:bCs/>
                <w:sz w:val="24"/>
                <w:szCs w:val="24"/>
              </w:rPr>
            </w:pPr>
            <w:r w:rsidRPr="00A75385">
              <w:rPr>
                <w:rFonts w:ascii="Times New Roman" w:hAnsi="Times New Roman" w:cs="Times New Roman"/>
                <w:sz w:val="24"/>
                <w:szCs w:val="24"/>
              </w:rPr>
              <w:t>crude(95%CI), p-value</w:t>
            </w:r>
          </w:p>
        </w:tc>
        <w:tc>
          <w:tcPr>
            <w:tcW w:w="2606" w:type="dxa"/>
          </w:tcPr>
          <w:p w14:paraId="765C3905" w14:textId="77777777" w:rsidR="006116EE" w:rsidRPr="00A75385" w:rsidRDefault="006116EE" w:rsidP="00A75385">
            <w:pPr>
              <w:spacing w:after="0" w:line="360" w:lineRule="auto"/>
              <w:rPr>
                <w:rFonts w:ascii="Times New Roman" w:hAnsi="Times New Roman" w:cs="Times New Roman"/>
                <w:b/>
                <w:bCs/>
                <w:sz w:val="24"/>
                <w:szCs w:val="24"/>
              </w:rPr>
            </w:pPr>
            <w:proofErr w:type="spellStart"/>
            <w:r w:rsidRPr="00A75385">
              <w:rPr>
                <w:rFonts w:ascii="Times New Roman" w:hAnsi="Times New Roman" w:cs="Times New Roman"/>
                <w:sz w:val="24"/>
                <w:szCs w:val="24"/>
              </w:rPr>
              <w:t>aOR</w:t>
            </w:r>
            <w:proofErr w:type="spellEnd"/>
            <w:r w:rsidRPr="00A75385">
              <w:rPr>
                <w:rFonts w:ascii="Times New Roman" w:hAnsi="Times New Roman" w:cs="Times New Roman"/>
                <w:sz w:val="24"/>
                <w:szCs w:val="24"/>
              </w:rPr>
              <w:t>(95%CI), p-value</w:t>
            </w:r>
          </w:p>
        </w:tc>
      </w:tr>
      <w:tr w:rsidR="006116EE" w:rsidRPr="00A75385" w14:paraId="2B511490" w14:textId="77777777" w:rsidTr="006116EE">
        <w:trPr>
          <w:trHeight w:val="224"/>
        </w:trPr>
        <w:tc>
          <w:tcPr>
            <w:tcW w:w="3725" w:type="dxa"/>
            <w:gridSpan w:val="2"/>
          </w:tcPr>
          <w:p w14:paraId="0116401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Age </w:t>
            </w:r>
          </w:p>
        </w:tc>
        <w:tc>
          <w:tcPr>
            <w:tcW w:w="2934" w:type="dxa"/>
          </w:tcPr>
          <w:p w14:paraId="4DA5652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1.038(1.023-1.052), .001</w:t>
            </w:r>
          </w:p>
        </w:tc>
        <w:tc>
          <w:tcPr>
            <w:tcW w:w="2606" w:type="dxa"/>
          </w:tcPr>
          <w:p w14:paraId="5D268F3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1.036(1.011-1.061), .004</w:t>
            </w:r>
          </w:p>
        </w:tc>
      </w:tr>
      <w:tr w:rsidR="006116EE" w:rsidRPr="00A75385" w14:paraId="372E2AB4" w14:textId="77777777" w:rsidTr="006116EE">
        <w:trPr>
          <w:trHeight w:val="320"/>
        </w:trPr>
        <w:tc>
          <w:tcPr>
            <w:tcW w:w="1723" w:type="dxa"/>
            <w:vMerge w:val="restart"/>
          </w:tcPr>
          <w:p w14:paraId="608E9B26"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Gender</w:t>
            </w:r>
          </w:p>
          <w:p w14:paraId="59E2DB8B"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6F0D3C0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Female</w:t>
            </w:r>
          </w:p>
        </w:tc>
        <w:tc>
          <w:tcPr>
            <w:tcW w:w="2934" w:type="dxa"/>
          </w:tcPr>
          <w:p w14:paraId="69C6001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w:t>
            </w:r>
            <w:r w:rsidRPr="00A75385">
              <w:rPr>
                <w:rFonts w:ascii="Times New Roman" w:hAnsi="Times New Roman" w:cs="Times New Roman"/>
                <w:color w:val="010205"/>
                <w:sz w:val="24"/>
                <w:szCs w:val="24"/>
              </w:rPr>
              <w:t>905(.602-1.360), .630</w:t>
            </w:r>
          </w:p>
        </w:tc>
        <w:tc>
          <w:tcPr>
            <w:tcW w:w="2606" w:type="dxa"/>
          </w:tcPr>
          <w:p w14:paraId="6BFF2B5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1.661(.306-9.007), .556</w:t>
            </w:r>
          </w:p>
        </w:tc>
      </w:tr>
      <w:tr w:rsidR="006116EE" w:rsidRPr="00A75385" w14:paraId="0CA7A141" w14:textId="77777777" w:rsidTr="006116EE">
        <w:trPr>
          <w:trHeight w:val="278"/>
        </w:trPr>
        <w:tc>
          <w:tcPr>
            <w:tcW w:w="1723" w:type="dxa"/>
            <w:vMerge/>
          </w:tcPr>
          <w:p w14:paraId="01291888"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209EC46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Male</w:t>
            </w:r>
          </w:p>
        </w:tc>
        <w:tc>
          <w:tcPr>
            <w:tcW w:w="2934" w:type="dxa"/>
          </w:tcPr>
          <w:p w14:paraId="05E1FA6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c>
          <w:tcPr>
            <w:tcW w:w="2606" w:type="dxa"/>
          </w:tcPr>
          <w:p w14:paraId="494F922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r>
      <w:tr w:rsidR="006116EE" w:rsidRPr="00A75385" w14:paraId="169A82CD" w14:textId="77777777" w:rsidTr="006116EE">
        <w:trPr>
          <w:trHeight w:val="278"/>
        </w:trPr>
        <w:tc>
          <w:tcPr>
            <w:tcW w:w="1723" w:type="dxa"/>
            <w:vMerge w:val="restart"/>
          </w:tcPr>
          <w:p w14:paraId="15E1EEC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Education Level</w:t>
            </w:r>
          </w:p>
        </w:tc>
        <w:tc>
          <w:tcPr>
            <w:tcW w:w="2002" w:type="dxa"/>
          </w:tcPr>
          <w:p w14:paraId="179198D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 education</w:t>
            </w:r>
          </w:p>
        </w:tc>
        <w:tc>
          <w:tcPr>
            <w:tcW w:w="2934" w:type="dxa"/>
          </w:tcPr>
          <w:p w14:paraId="47A230F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2.323(.741-7.280), .148</w:t>
            </w:r>
          </w:p>
        </w:tc>
        <w:tc>
          <w:tcPr>
            <w:tcW w:w="2606" w:type="dxa"/>
          </w:tcPr>
          <w:p w14:paraId="343CABE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3.079(.130-73.18), .487</w:t>
            </w:r>
          </w:p>
        </w:tc>
      </w:tr>
      <w:tr w:rsidR="006116EE" w:rsidRPr="00A75385" w14:paraId="30C46E30" w14:textId="77777777" w:rsidTr="006116EE">
        <w:trPr>
          <w:trHeight w:val="278"/>
        </w:trPr>
        <w:tc>
          <w:tcPr>
            <w:tcW w:w="1723" w:type="dxa"/>
            <w:vMerge/>
          </w:tcPr>
          <w:p w14:paraId="40989E75"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3A03B9E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Primary</w:t>
            </w:r>
          </w:p>
        </w:tc>
        <w:tc>
          <w:tcPr>
            <w:tcW w:w="2934" w:type="dxa"/>
          </w:tcPr>
          <w:p w14:paraId="3BFEE29A"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.684(.220-2.122), .510</w:t>
            </w:r>
          </w:p>
        </w:tc>
        <w:tc>
          <w:tcPr>
            <w:tcW w:w="2606" w:type="dxa"/>
          </w:tcPr>
          <w:p w14:paraId="3C47FD12"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1.869(.086-40.722), .691</w:t>
            </w:r>
          </w:p>
        </w:tc>
      </w:tr>
      <w:tr w:rsidR="006116EE" w:rsidRPr="00A75385" w14:paraId="7A4B2EAD" w14:textId="77777777" w:rsidTr="006116EE">
        <w:trPr>
          <w:trHeight w:val="278"/>
        </w:trPr>
        <w:tc>
          <w:tcPr>
            <w:tcW w:w="1723" w:type="dxa"/>
            <w:vMerge/>
          </w:tcPr>
          <w:p w14:paraId="7AC3E852"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48B49D8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SSC</w:t>
            </w:r>
          </w:p>
        </w:tc>
        <w:tc>
          <w:tcPr>
            <w:tcW w:w="2934" w:type="dxa"/>
          </w:tcPr>
          <w:p w14:paraId="540C3B1A"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.476(.142-1.598), .230</w:t>
            </w:r>
          </w:p>
        </w:tc>
        <w:tc>
          <w:tcPr>
            <w:tcW w:w="2606" w:type="dxa"/>
          </w:tcPr>
          <w:p w14:paraId="74444655"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1.017(.045-23.012), .992</w:t>
            </w:r>
          </w:p>
        </w:tc>
      </w:tr>
      <w:tr w:rsidR="006116EE" w:rsidRPr="00A75385" w14:paraId="02F5F69B" w14:textId="77777777" w:rsidTr="006116EE">
        <w:trPr>
          <w:trHeight w:val="278"/>
        </w:trPr>
        <w:tc>
          <w:tcPr>
            <w:tcW w:w="1723" w:type="dxa"/>
            <w:vMerge/>
          </w:tcPr>
          <w:p w14:paraId="314A902B"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14899C1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HSC</w:t>
            </w:r>
          </w:p>
        </w:tc>
        <w:tc>
          <w:tcPr>
            <w:tcW w:w="2934" w:type="dxa"/>
          </w:tcPr>
          <w:p w14:paraId="7E34CE80"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.853(.221-3.291), .817</w:t>
            </w:r>
          </w:p>
        </w:tc>
        <w:tc>
          <w:tcPr>
            <w:tcW w:w="2606" w:type="dxa"/>
          </w:tcPr>
          <w:p w14:paraId="4AE309A6"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1.084(.026-45.012), .996</w:t>
            </w:r>
          </w:p>
        </w:tc>
      </w:tr>
      <w:tr w:rsidR="006116EE" w:rsidRPr="00A75385" w14:paraId="1385875C" w14:textId="77777777" w:rsidTr="006116EE">
        <w:trPr>
          <w:trHeight w:val="278"/>
        </w:trPr>
        <w:tc>
          <w:tcPr>
            <w:tcW w:w="1723" w:type="dxa"/>
            <w:vMerge/>
          </w:tcPr>
          <w:p w14:paraId="31024EDC"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40980A6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Graduate or higher</w:t>
            </w:r>
          </w:p>
        </w:tc>
        <w:tc>
          <w:tcPr>
            <w:tcW w:w="2934" w:type="dxa"/>
          </w:tcPr>
          <w:p w14:paraId="23D37F36"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c>
          <w:tcPr>
            <w:tcW w:w="2606" w:type="dxa"/>
          </w:tcPr>
          <w:p w14:paraId="03C40F24"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r>
      <w:tr w:rsidR="006116EE" w:rsidRPr="00A75385" w14:paraId="149FCCB6" w14:textId="77777777" w:rsidTr="006116EE">
        <w:trPr>
          <w:trHeight w:val="278"/>
        </w:trPr>
        <w:tc>
          <w:tcPr>
            <w:tcW w:w="1723" w:type="dxa"/>
            <w:vMerge w:val="restart"/>
          </w:tcPr>
          <w:p w14:paraId="04A69F81"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Employment status</w:t>
            </w:r>
          </w:p>
        </w:tc>
        <w:tc>
          <w:tcPr>
            <w:tcW w:w="2002" w:type="dxa"/>
          </w:tcPr>
          <w:p w14:paraId="0741CB7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Student</w:t>
            </w:r>
          </w:p>
        </w:tc>
        <w:tc>
          <w:tcPr>
            <w:tcW w:w="2934" w:type="dxa"/>
          </w:tcPr>
          <w:p w14:paraId="02285A0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.133(.018-.962), .046</w:t>
            </w:r>
          </w:p>
        </w:tc>
        <w:tc>
          <w:tcPr>
            <w:tcW w:w="2606" w:type="dxa"/>
          </w:tcPr>
          <w:p w14:paraId="611242F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.281(.002-35.254), .607</w:t>
            </w:r>
          </w:p>
        </w:tc>
      </w:tr>
      <w:tr w:rsidR="006116EE" w:rsidRPr="00A75385" w14:paraId="5FD82004" w14:textId="77777777" w:rsidTr="006116EE">
        <w:trPr>
          <w:trHeight w:val="278"/>
        </w:trPr>
        <w:tc>
          <w:tcPr>
            <w:tcW w:w="1723" w:type="dxa"/>
            <w:vMerge/>
          </w:tcPr>
          <w:p w14:paraId="517D1777"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46FA16A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Employed</w:t>
            </w:r>
          </w:p>
        </w:tc>
        <w:tc>
          <w:tcPr>
            <w:tcW w:w="2934" w:type="dxa"/>
          </w:tcPr>
          <w:p w14:paraId="0344107D"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.104(.019-.573), .009</w:t>
            </w:r>
          </w:p>
        </w:tc>
        <w:tc>
          <w:tcPr>
            <w:tcW w:w="2606" w:type="dxa"/>
          </w:tcPr>
          <w:p w14:paraId="65393CA3"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.128(.003-4.895), .269</w:t>
            </w:r>
          </w:p>
        </w:tc>
      </w:tr>
      <w:tr w:rsidR="006116EE" w:rsidRPr="00A75385" w14:paraId="299E9A40" w14:textId="77777777" w:rsidTr="006116EE">
        <w:trPr>
          <w:trHeight w:val="278"/>
        </w:trPr>
        <w:tc>
          <w:tcPr>
            <w:tcW w:w="1723" w:type="dxa"/>
            <w:vMerge/>
          </w:tcPr>
          <w:p w14:paraId="0151326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2306E04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Businessman</w:t>
            </w:r>
          </w:p>
        </w:tc>
        <w:tc>
          <w:tcPr>
            <w:tcW w:w="2934" w:type="dxa"/>
          </w:tcPr>
          <w:p w14:paraId="59D5BA63"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.256(.042-1.551), .138</w:t>
            </w:r>
          </w:p>
        </w:tc>
        <w:tc>
          <w:tcPr>
            <w:tcW w:w="2606" w:type="dxa"/>
          </w:tcPr>
          <w:p w14:paraId="775C43B6"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1.033(.033-32.126), .985</w:t>
            </w:r>
          </w:p>
        </w:tc>
      </w:tr>
      <w:tr w:rsidR="006116EE" w:rsidRPr="00A75385" w14:paraId="155BA95E" w14:textId="77777777" w:rsidTr="006116EE">
        <w:trPr>
          <w:trHeight w:val="278"/>
        </w:trPr>
        <w:tc>
          <w:tcPr>
            <w:tcW w:w="1723" w:type="dxa"/>
            <w:vMerge/>
          </w:tcPr>
          <w:p w14:paraId="449049E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6E70667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Housewife</w:t>
            </w:r>
          </w:p>
        </w:tc>
        <w:tc>
          <w:tcPr>
            <w:tcW w:w="2934" w:type="dxa"/>
          </w:tcPr>
          <w:p w14:paraId="691859AB"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.177(.035-.898), .037</w:t>
            </w:r>
          </w:p>
        </w:tc>
        <w:tc>
          <w:tcPr>
            <w:tcW w:w="2606" w:type="dxa"/>
          </w:tcPr>
          <w:p w14:paraId="6634DEFE"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.410(.017-10.076), .585</w:t>
            </w:r>
          </w:p>
        </w:tc>
      </w:tr>
      <w:tr w:rsidR="006116EE" w:rsidRPr="00A75385" w14:paraId="5CD972F9" w14:textId="77777777" w:rsidTr="006116EE">
        <w:trPr>
          <w:trHeight w:val="278"/>
        </w:trPr>
        <w:tc>
          <w:tcPr>
            <w:tcW w:w="1723" w:type="dxa"/>
            <w:vMerge/>
          </w:tcPr>
          <w:p w14:paraId="787D2E9F"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757281C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Day labor</w:t>
            </w:r>
          </w:p>
        </w:tc>
        <w:tc>
          <w:tcPr>
            <w:tcW w:w="2934" w:type="dxa"/>
          </w:tcPr>
          <w:p w14:paraId="44EA48A6"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.139(.026-.736), .020</w:t>
            </w:r>
          </w:p>
        </w:tc>
        <w:tc>
          <w:tcPr>
            <w:tcW w:w="2606" w:type="dxa"/>
          </w:tcPr>
          <w:p w14:paraId="6AF1E48A"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.857(.035-20.897), .925</w:t>
            </w:r>
          </w:p>
        </w:tc>
      </w:tr>
      <w:tr w:rsidR="006116EE" w:rsidRPr="00A75385" w14:paraId="0E45C16A" w14:textId="77777777" w:rsidTr="006116EE">
        <w:trPr>
          <w:trHeight w:val="278"/>
        </w:trPr>
        <w:tc>
          <w:tcPr>
            <w:tcW w:w="1723" w:type="dxa"/>
            <w:vMerge/>
          </w:tcPr>
          <w:p w14:paraId="1D1CA99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6FA2548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Servant</w:t>
            </w:r>
          </w:p>
        </w:tc>
        <w:tc>
          <w:tcPr>
            <w:tcW w:w="2934" w:type="dxa"/>
          </w:tcPr>
          <w:p w14:paraId="4192917F"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.214(.040-1.143), .071</w:t>
            </w:r>
          </w:p>
        </w:tc>
        <w:tc>
          <w:tcPr>
            <w:tcW w:w="2606" w:type="dxa"/>
          </w:tcPr>
          <w:p w14:paraId="2EE47ABF"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.403(.015-10.924), .589</w:t>
            </w:r>
          </w:p>
        </w:tc>
      </w:tr>
      <w:tr w:rsidR="006116EE" w:rsidRPr="00A75385" w14:paraId="244F74F5" w14:textId="77777777" w:rsidTr="006116EE">
        <w:trPr>
          <w:trHeight w:val="278"/>
        </w:trPr>
        <w:tc>
          <w:tcPr>
            <w:tcW w:w="1723" w:type="dxa"/>
            <w:vMerge/>
          </w:tcPr>
          <w:p w14:paraId="2519B2B0"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65E8BFB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Unemployment</w:t>
            </w:r>
          </w:p>
        </w:tc>
        <w:tc>
          <w:tcPr>
            <w:tcW w:w="2934" w:type="dxa"/>
          </w:tcPr>
          <w:p w14:paraId="2D10792C"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1.833(.204-16.512), .589</w:t>
            </w:r>
          </w:p>
        </w:tc>
        <w:tc>
          <w:tcPr>
            <w:tcW w:w="2606" w:type="dxa"/>
          </w:tcPr>
          <w:p w14:paraId="6C0559B5"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1.438(.033-62.571), .850</w:t>
            </w:r>
          </w:p>
        </w:tc>
      </w:tr>
      <w:tr w:rsidR="006116EE" w:rsidRPr="00A75385" w14:paraId="0EF5FF31" w14:textId="77777777" w:rsidTr="006116EE">
        <w:trPr>
          <w:trHeight w:val="278"/>
        </w:trPr>
        <w:tc>
          <w:tcPr>
            <w:tcW w:w="1723" w:type="dxa"/>
            <w:vMerge/>
          </w:tcPr>
          <w:p w14:paraId="1746ACC1"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0D5E221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Others</w:t>
            </w:r>
          </w:p>
        </w:tc>
        <w:tc>
          <w:tcPr>
            <w:tcW w:w="2934" w:type="dxa"/>
          </w:tcPr>
          <w:p w14:paraId="6F4F5646"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c>
          <w:tcPr>
            <w:tcW w:w="2606" w:type="dxa"/>
          </w:tcPr>
          <w:p w14:paraId="51ADADEB"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r>
      <w:tr w:rsidR="006116EE" w:rsidRPr="00A75385" w14:paraId="65929EE0" w14:textId="77777777" w:rsidTr="006116EE">
        <w:trPr>
          <w:trHeight w:val="278"/>
        </w:trPr>
        <w:tc>
          <w:tcPr>
            <w:tcW w:w="1723" w:type="dxa"/>
            <w:vMerge w:val="restart"/>
          </w:tcPr>
          <w:p w14:paraId="0E4BC715"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Monthly Income</w:t>
            </w:r>
          </w:p>
        </w:tc>
        <w:tc>
          <w:tcPr>
            <w:tcW w:w="2002" w:type="dxa"/>
          </w:tcPr>
          <w:p w14:paraId="0C2120A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less than 15000</w:t>
            </w:r>
          </w:p>
        </w:tc>
        <w:tc>
          <w:tcPr>
            <w:tcW w:w="2934" w:type="dxa"/>
          </w:tcPr>
          <w:p w14:paraId="6DEEB76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1.265(.798-2.006), .317</w:t>
            </w:r>
          </w:p>
        </w:tc>
        <w:tc>
          <w:tcPr>
            <w:tcW w:w="2606" w:type="dxa"/>
          </w:tcPr>
          <w:p w14:paraId="79FFCE1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.770(.302-1.962), .584</w:t>
            </w:r>
          </w:p>
        </w:tc>
      </w:tr>
      <w:tr w:rsidR="006116EE" w:rsidRPr="00A75385" w14:paraId="461210FB" w14:textId="77777777" w:rsidTr="006116EE">
        <w:trPr>
          <w:trHeight w:val="278"/>
        </w:trPr>
        <w:tc>
          <w:tcPr>
            <w:tcW w:w="1723" w:type="dxa"/>
            <w:vMerge/>
          </w:tcPr>
          <w:p w14:paraId="44E5D2B6"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3FD17A1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15000 to 30000</w:t>
            </w:r>
          </w:p>
        </w:tc>
        <w:tc>
          <w:tcPr>
            <w:tcW w:w="2934" w:type="dxa"/>
          </w:tcPr>
          <w:p w14:paraId="6244B1DE"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c>
          <w:tcPr>
            <w:tcW w:w="2606" w:type="dxa"/>
          </w:tcPr>
          <w:p w14:paraId="00688DBC"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r>
      <w:tr w:rsidR="006116EE" w:rsidRPr="00A75385" w14:paraId="329344F9" w14:textId="77777777" w:rsidTr="006116EE">
        <w:trPr>
          <w:trHeight w:val="278"/>
        </w:trPr>
        <w:tc>
          <w:tcPr>
            <w:tcW w:w="1723" w:type="dxa"/>
            <w:vMerge w:val="restart"/>
          </w:tcPr>
          <w:p w14:paraId="3E22430E"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Marital status</w:t>
            </w:r>
          </w:p>
        </w:tc>
        <w:tc>
          <w:tcPr>
            <w:tcW w:w="2002" w:type="dxa"/>
          </w:tcPr>
          <w:p w14:paraId="4373381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Unmarried</w:t>
            </w:r>
          </w:p>
        </w:tc>
        <w:tc>
          <w:tcPr>
            <w:tcW w:w="2934" w:type="dxa"/>
          </w:tcPr>
          <w:p w14:paraId="363BB98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.212(.068-.656), .007</w:t>
            </w:r>
          </w:p>
        </w:tc>
        <w:tc>
          <w:tcPr>
            <w:tcW w:w="2606" w:type="dxa"/>
          </w:tcPr>
          <w:p w14:paraId="2C4A1EF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.759(.068-8.519), .823</w:t>
            </w:r>
          </w:p>
        </w:tc>
      </w:tr>
      <w:tr w:rsidR="006116EE" w:rsidRPr="00A75385" w14:paraId="5FF39697" w14:textId="77777777" w:rsidTr="006116EE">
        <w:trPr>
          <w:trHeight w:val="278"/>
        </w:trPr>
        <w:tc>
          <w:tcPr>
            <w:tcW w:w="1723" w:type="dxa"/>
            <w:vMerge/>
          </w:tcPr>
          <w:p w14:paraId="56C9CA5D"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16653DA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Married</w:t>
            </w:r>
          </w:p>
        </w:tc>
        <w:tc>
          <w:tcPr>
            <w:tcW w:w="2934" w:type="dxa"/>
          </w:tcPr>
          <w:p w14:paraId="44FC2BA1"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.306(.125-.746), .009</w:t>
            </w:r>
          </w:p>
        </w:tc>
        <w:tc>
          <w:tcPr>
            <w:tcW w:w="2606" w:type="dxa"/>
          </w:tcPr>
          <w:p w14:paraId="19229D27"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1.526(.345-6.752), .577</w:t>
            </w:r>
          </w:p>
        </w:tc>
      </w:tr>
      <w:tr w:rsidR="006116EE" w:rsidRPr="00A75385" w14:paraId="5A8E8953" w14:textId="77777777" w:rsidTr="006116EE">
        <w:trPr>
          <w:trHeight w:val="278"/>
        </w:trPr>
        <w:tc>
          <w:tcPr>
            <w:tcW w:w="1723" w:type="dxa"/>
            <w:vMerge/>
          </w:tcPr>
          <w:p w14:paraId="1EE50C41"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5413D49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Divorce/Separated</w:t>
            </w:r>
          </w:p>
        </w:tc>
        <w:tc>
          <w:tcPr>
            <w:tcW w:w="2934" w:type="dxa"/>
          </w:tcPr>
          <w:p w14:paraId="17CF3019"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.190(.046-.793), .023</w:t>
            </w:r>
          </w:p>
        </w:tc>
        <w:tc>
          <w:tcPr>
            <w:tcW w:w="2606" w:type="dxa"/>
          </w:tcPr>
          <w:p w14:paraId="0274EC01"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.575(.058-5.743), .637</w:t>
            </w:r>
          </w:p>
        </w:tc>
      </w:tr>
      <w:tr w:rsidR="006116EE" w:rsidRPr="00A75385" w14:paraId="12571A00" w14:textId="77777777" w:rsidTr="006116EE">
        <w:trPr>
          <w:trHeight w:val="278"/>
        </w:trPr>
        <w:tc>
          <w:tcPr>
            <w:tcW w:w="1723" w:type="dxa"/>
            <w:vMerge/>
          </w:tcPr>
          <w:p w14:paraId="29372061"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42E1F0F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Widower</w:t>
            </w:r>
          </w:p>
        </w:tc>
        <w:tc>
          <w:tcPr>
            <w:tcW w:w="2934" w:type="dxa"/>
          </w:tcPr>
          <w:p w14:paraId="70E5473B"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c>
          <w:tcPr>
            <w:tcW w:w="2606" w:type="dxa"/>
          </w:tcPr>
          <w:p w14:paraId="26EAA20A"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r>
      <w:tr w:rsidR="006116EE" w:rsidRPr="00A75385" w14:paraId="6F509BD5" w14:textId="77777777" w:rsidTr="006116EE">
        <w:trPr>
          <w:trHeight w:val="278"/>
        </w:trPr>
        <w:tc>
          <w:tcPr>
            <w:tcW w:w="1723" w:type="dxa"/>
            <w:vMerge w:val="restart"/>
          </w:tcPr>
          <w:p w14:paraId="328D269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Religion</w:t>
            </w:r>
          </w:p>
        </w:tc>
        <w:tc>
          <w:tcPr>
            <w:tcW w:w="2002" w:type="dxa"/>
          </w:tcPr>
          <w:p w14:paraId="6C0EA90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Islam</w:t>
            </w:r>
          </w:p>
        </w:tc>
        <w:tc>
          <w:tcPr>
            <w:tcW w:w="2934" w:type="dxa"/>
          </w:tcPr>
          <w:p w14:paraId="0978400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.845(.460-1.550), .586</w:t>
            </w:r>
          </w:p>
        </w:tc>
        <w:tc>
          <w:tcPr>
            <w:tcW w:w="2606" w:type="dxa"/>
          </w:tcPr>
          <w:p w14:paraId="653CFA0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1.650(.420-6.484), .473</w:t>
            </w:r>
          </w:p>
        </w:tc>
      </w:tr>
      <w:tr w:rsidR="006116EE" w:rsidRPr="00A75385" w14:paraId="2DA7D4E1" w14:textId="77777777" w:rsidTr="006116EE">
        <w:trPr>
          <w:trHeight w:val="278"/>
        </w:trPr>
        <w:tc>
          <w:tcPr>
            <w:tcW w:w="1723" w:type="dxa"/>
            <w:vMerge/>
          </w:tcPr>
          <w:p w14:paraId="02772A8D"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30A8138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Hindu</w:t>
            </w:r>
          </w:p>
        </w:tc>
        <w:tc>
          <w:tcPr>
            <w:tcW w:w="2934" w:type="dxa"/>
          </w:tcPr>
          <w:p w14:paraId="3B02E822"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c>
          <w:tcPr>
            <w:tcW w:w="2606" w:type="dxa"/>
          </w:tcPr>
          <w:p w14:paraId="79903E02"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r>
      <w:tr w:rsidR="006116EE" w:rsidRPr="00A75385" w14:paraId="0D68A648" w14:textId="77777777" w:rsidTr="006116EE">
        <w:trPr>
          <w:trHeight w:val="278"/>
        </w:trPr>
        <w:tc>
          <w:tcPr>
            <w:tcW w:w="1723" w:type="dxa"/>
            <w:vMerge w:val="restart"/>
          </w:tcPr>
          <w:p w14:paraId="1A9E82D9"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Physical exercise (150min/week)</w:t>
            </w:r>
          </w:p>
        </w:tc>
        <w:tc>
          <w:tcPr>
            <w:tcW w:w="2002" w:type="dxa"/>
          </w:tcPr>
          <w:p w14:paraId="4E0E80C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w:t>
            </w:r>
          </w:p>
        </w:tc>
        <w:tc>
          <w:tcPr>
            <w:tcW w:w="2934" w:type="dxa"/>
          </w:tcPr>
          <w:p w14:paraId="1D6ED96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1.719(1.153-2.563), .008</w:t>
            </w:r>
          </w:p>
        </w:tc>
        <w:tc>
          <w:tcPr>
            <w:tcW w:w="2606" w:type="dxa"/>
          </w:tcPr>
          <w:p w14:paraId="409774C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.372(.164-.847), .019</w:t>
            </w:r>
          </w:p>
        </w:tc>
      </w:tr>
      <w:tr w:rsidR="006116EE" w:rsidRPr="00A75385" w14:paraId="65860762" w14:textId="77777777" w:rsidTr="006116EE">
        <w:trPr>
          <w:trHeight w:val="278"/>
        </w:trPr>
        <w:tc>
          <w:tcPr>
            <w:tcW w:w="1723" w:type="dxa"/>
            <w:vMerge/>
          </w:tcPr>
          <w:p w14:paraId="02BFC86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12783D1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Yes</w:t>
            </w:r>
          </w:p>
        </w:tc>
        <w:tc>
          <w:tcPr>
            <w:tcW w:w="2934" w:type="dxa"/>
          </w:tcPr>
          <w:p w14:paraId="29CC3FC6"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c>
          <w:tcPr>
            <w:tcW w:w="2606" w:type="dxa"/>
          </w:tcPr>
          <w:p w14:paraId="1BB7640D"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r>
      <w:tr w:rsidR="006116EE" w:rsidRPr="00A75385" w14:paraId="061A09C2" w14:textId="77777777" w:rsidTr="006116EE">
        <w:trPr>
          <w:trHeight w:val="278"/>
        </w:trPr>
        <w:tc>
          <w:tcPr>
            <w:tcW w:w="1723" w:type="dxa"/>
            <w:vMerge w:val="restart"/>
          </w:tcPr>
          <w:p w14:paraId="61D63170"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Smoking Status</w:t>
            </w:r>
          </w:p>
        </w:tc>
        <w:tc>
          <w:tcPr>
            <w:tcW w:w="2002" w:type="dxa"/>
          </w:tcPr>
          <w:p w14:paraId="713372A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Never smoked</w:t>
            </w:r>
          </w:p>
        </w:tc>
        <w:tc>
          <w:tcPr>
            <w:tcW w:w="2934" w:type="dxa"/>
          </w:tcPr>
          <w:p w14:paraId="5DC31A4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.751(.467-1.208), .238</w:t>
            </w:r>
          </w:p>
        </w:tc>
        <w:tc>
          <w:tcPr>
            <w:tcW w:w="2606" w:type="dxa"/>
          </w:tcPr>
          <w:p w14:paraId="20D4284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2.991(.742-12.067), .124</w:t>
            </w:r>
          </w:p>
        </w:tc>
      </w:tr>
      <w:tr w:rsidR="006116EE" w:rsidRPr="00A75385" w14:paraId="23AA83D6" w14:textId="77777777" w:rsidTr="006116EE">
        <w:trPr>
          <w:trHeight w:val="278"/>
        </w:trPr>
        <w:tc>
          <w:tcPr>
            <w:tcW w:w="1723" w:type="dxa"/>
            <w:vMerge/>
          </w:tcPr>
          <w:p w14:paraId="2FF50269"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656A530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Former smoker</w:t>
            </w:r>
          </w:p>
        </w:tc>
        <w:tc>
          <w:tcPr>
            <w:tcW w:w="2934" w:type="dxa"/>
          </w:tcPr>
          <w:p w14:paraId="3B0122EB"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.900(.380-2.129), .810</w:t>
            </w:r>
          </w:p>
        </w:tc>
        <w:tc>
          <w:tcPr>
            <w:tcW w:w="2606" w:type="dxa"/>
          </w:tcPr>
          <w:p w14:paraId="35A55B40"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10205"/>
                <w:sz w:val="24"/>
                <w:szCs w:val="24"/>
              </w:rPr>
              <w:t>4.099(.979-17.164), .054</w:t>
            </w:r>
          </w:p>
        </w:tc>
      </w:tr>
      <w:tr w:rsidR="006116EE" w:rsidRPr="00A75385" w14:paraId="22E07F9F" w14:textId="77777777" w:rsidTr="006116EE">
        <w:trPr>
          <w:trHeight w:val="278"/>
        </w:trPr>
        <w:tc>
          <w:tcPr>
            <w:tcW w:w="1723" w:type="dxa"/>
            <w:vMerge/>
          </w:tcPr>
          <w:p w14:paraId="5F907D8F"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452DC87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Current smoker</w:t>
            </w:r>
          </w:p>
        </w:tc>
        <w:tc>
          <w:tcPr>
            <w:tcW w:w="2934" w:type="dxa"/>
          </w:tcPr>
          <w:p w14:paraId="08705E31"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c>
          <w:tcPr>
            <w:tcW w:w="2606" w:type="dxa"/>
          </w:tcPr>
          <w:p w14:paraId="59DA32EC" w14:textId="77777777" w:rsidR="006116EE" w:rsidRPr="00A75385" w:rsidRDefault="006116EE" w:rsidP="00A75385">
            <w:pPr>
              <w:spacing w:after="0" w:line="360" w:lineRule="auto"/>
              <w:rPr>
                <w:rFonts w:ascii="Times New Roman" w:hAnsi="Times New Roman" w:cs="Times New Roman"/>
                <w:color w:val="010205"/>
                <w:sz w:val="24"/>
                <w:szCs w:val="24"/>
              </w:rPr>
            </w:pPr>
            <w:r w:rsidRPr="00A75385">
              <w:rPr>
                <w:rFonts w:ascii="Times New Roman" w:hAnsi="Times New Roman" w:cs="Times New Roman"/>
                <w:color w:val="000000" w:themeColor="text1"/>
                <w:sz w:val="24"/>
                <w:szCs w:val="24"/>
              </w:rPr>
              <w:t>Ref</w:t>
            </w:r>
          </w:p>
        </w:tc>
      </w:tr>
      <w:tr w:rsidR="006116EE" w:rsidRPr="00A75385" w14:paraId="7BD70B93" w14:textId="77777777" w:rsidTr="006116EE">
        <w:trPr>
          <w:trHeight w:val="278"/>
        </w:trPr>
        <w:tc>
          <w:tcPr>
            <w:tcW w:w="1723" w:type="dxa"/>
            <w:vMerge w:val="restart"/>
          </w:tcPr>
          <w:p w14:paraId="198CC238"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Mental Health</w:t>
            </w:r>
          </w:p>
        </w:tc>
        <w:tc>
          <w:tcPr>
            <w:tcW w:w="2002" w:type="dxa"/>
          </w:tcPr>
          <w:p w14:paraId="48038E7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 symptoms of depression or anxiety</w:t>
            </w:r>
          </w:p>
        </w:tc>
        <w:tc>
          <w:tcPr>
            <w:tcW w:w="2934" w:type="dxa"/>
          </w:tcPr>
          <w:p w14:paraId="4B7C9CC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.165(.081-.335), .001</w:t>
            </w:r>
          </w:p>
        </w:tc>
        <w:tc>
          <w:tcPr>
            <w:tcW w:w="2606" w:type="dxa"/>
          </w:tcPr>
          <w:p w14:paraId="069777A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.223(.060-.826), .025</w:t>
            </w:r>
          </w:p>
        </w:tc>
      </w:tr>
      <w:tr w:rsidR="006116EE" w:rsidRPr="00A75385" w14:paraId="1998E500" w14:textId="77777777" w:rsidTr="006116EE">
        <w:trPr>
          <w:trHeight w:val="278"/>
        </w:trPr>
        <w:tc>
          <w:tcPr>
            <w:tcW w:w="1723" w:type="dxa"/>
            <w:vMerge/>
          </w:tcPr>
          <w:p w14:paraId="03E3FD8B"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5C8269C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Mild symptoms of depression or anxiety</w:t>
            </w:r>
          </w:p>
        </w:tc>
        <w:tc>
          <w:tcPr>
            <w:tcW w:w="2934" w:type="dxa"/>
          </w:tcPr>
          <w:p w14:paraId="1220DE8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.289(.160-.523), .001</w:t>
            </w:r>
          </w:p>
        </w:tc>
        <w:tc>
          <w:tcPr>
            <w:tcW w:w="2606" w:type="dxa"/>
          </w:tcPr>
          <w:p w14:paraId="12065FE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.132(.045-.383), .001</w:t>
            </w:r>
          </w:p>
        </w:tc>
      </w:tr>
      <w:tr w:rsidR="006116EE" w:rsidRPr="00A75385" w14:paraId="7620BC6D" w14:textId="77777777" w:rsidTr="006116EE">
        <w:trPr>
          <w:trHeight w:val="278"/>
        </w:trPr>
        <w:tc>
          <w:tcPr>
            <w:tcW w:w="1723" w:type="dxa"/>
            <w:vMerge/>
          </w:tcPr>
          <w:p w14:paraId="1995F590"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28FA508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Moderate to severe symptoms of depression or anxiety</w:t>
            </w:r>
          </w:p>
        </w:tc>
        <w:tc>
          <w:tcPr>
            <w:tcW w:w="2934" w:type="dxa"/>
          </w:tcPr>
          <w:p w14:paraId="25EF51B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c>
          <w:tcPr>
            <w:tcW w:w="2606" w:type="dxa"/>
          </w:tcPr>
          <w:p w14:paraId="691F703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r>
      <w:tr w:rsidR="006116EE" w:rsidRPr="00A75385" w14:paraId="7915D0C9" w14:textId="77777777" w:rsidTr="006116EE">
        <w:trPr>
          <w:trHeight w:val="278"/>
        </w:trPr>
        <w:tc>
          <w:tcPr>
            <w:tcW w:w="1723" w:type="dxa"/>
            <w:vMerge w:val="restart"/>
          </w:tcPr>
          <w:p w14:paraId="60E9A89E"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lastRenderedPageBreak/>
              <w:t>Health Screenings</w:t>
            </w:r>
          </w:p>
        </w:tc>
        <w:tc>
          <w:tcPr>
            <w:tcW w:w="2002" w:type="dxa"/>
          </w:tcPr>
          <w:p w14:paraId="7EF69B8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Up-to-date on recommended health screenings</w:t>
            </w:r>
          </w:p>
        </w:tc>
        <w:tc>
          <w:tcPr>
            <w:tcW w:w="2934" w:type="dxa"/>
          </w:tcPr>
          <w:p w14:paraId="55B9539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.819(.556-1.204), .310</w:t>
            </w:r>
          </w:p>
        </w:tc>
        <w:tc>
          <w:tcPr>
            <w:tcW w:w="2606" w:type="dxa"/>
          </w:tcPr>
          <w:p w14:paraId="41C9E2F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1.506(.614-3.695), .371</w:t>
            </w:r>
          </w:p>
        </w:tc>
      </w:tr>
      <w:tr w:rsidR="006116EE" w:rsidRPr="00A75385" w14:paraId="14245925" w14:textId="77777777" w:rsidTr="006116EE">
        <w:trPr>
          <w:trHeight w:val="278"/>
        </w:trPr>
        <w:tc>
          <w:tcPr>
            <w:tcW w:w="1723" w:type="dxa"/>
            <w:vMerge/>
          </w:tcPr>
          <w:p w14:paraId="54F796CB"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3960D99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Not up-to-date on recommended health screenings</w:t>
            </w:r>
          </w:p>
        </w:tc>
        <w:tc>
          <w:tcPr>
            <w:tcW w:w="2934" w:type="dxa"/>
          </w:tcPr>
          <w:p w14:paraId="53893D2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c>
          <w:tcPr>
            <w:tcW w:w="2606" w:type="dxa"/>
          </w:tcPr>
          <w:p w14:paraId="52FB778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r>
      <w:tr w:rsidR="006116EE" w:rsidRPr="00A75385" w14:paraId="4CC23E52" w14:textId="77777777" w:rsidTr="006116EE">
        <w:trPr>
          <w:trHeight w:val="278"/>
        </w:trPr>
        <w:tc>
          <w:tcPr>
            <w:tcW w:w="1723" w:type="dxa"/>
            <w:vMerge w:val="restart"/>
          </w:tcPr>
          <w:p w14:paraId="517CACA5"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Access to Healthcare</w:t>
            </w:r>
          </w:p>
        </w:tc>
        <w:tc>
          <w:tcPr>
            <w:tcW w:w="2002" w:type="dxa"/>
          </w:tcPr>
          <w:p w14:paraId="36F8055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Has access to affordable and high-quality healthcare</w:t>
            </w:r>
          </w:p>
        </w:tc>
        <w:tc>
          <w:tcPr>
            <w:tcW w:w="2934" w:type="dxa"/>
          </w:tcPr>
          <w:p w14:paraId="63F2AF4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.971(.536-1.760), .009</w:t>
            </w:r>
          </w:p>
        </w:tc>
        <w:tc>
          <w:tcPr>
            <w:tcW w:w="2606" w:type="dxa"/>
          </w:tcPr>
          <w:p w14:paraId="703C1A1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.553(.109-2.810), .475</w:t>
            </w:r>
          </w:p>
        </w:tc>
      </w:tr>
      <w:tr w:rsidR="006116EE" w:rsidRPr="00A75385" w14:paraId="4E1582AD" w14:textId="77777777" w:rsidTr="006116EE">
        <w:trPr>
          <w:trHeight w:val="278"/>
        </w:trPr>
        <w:tc>
          <w:tcPr>
            <w:tcW w:w="1723" w:type="dxa"/>
            <w:vMerge/>
          </w:tcPr>
          <w:p w14:paraId="52DDB8C3"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1F05FD0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Does not have access to affordable and high-quality healthcare</w:t>
            </w:r>
          </w:p>
        </w:tc>
        <w:tc>
          <w:tcPr>
            <w:tcW w:w="2934" w:type="dxa"/>
          </w:tcPr>
          <w:p w14:paraId="43C9273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c>
          <w:tcPr>
            <w:tcW w:w="2606" w:type="dxa"/>
          </w:tcPr>
          <w:p w14:paraId="16F19CB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r>
      <w:tr w:rsidR="006116EE" w:rsidRPr="00A75385" w14:paraId="682C1852" w14:textId="77777777" w:rsidTr="006116EE">
        <w:trPr>
          <w:trHeight w:val="278"/>
        </w:trPr>
        <w:tc>
          <w:tcPr>
            <w:tcW w:w="1723" w:type="dxa"/>
            <w:vMerge w:val="restart"/>
          </w:tcPr>
          <w:p w14:paraId="2A430628"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BMI Category</w:t>
            </w:r>
          </w:p>
        </w:tc>
        <w:tc>
          <w:tcPr>
            <w:tcW w:w="2002" w:type="dxa"/>
          </w:tcPr>
          <w:p w14:paraId="6850082B"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Underweight</w:t>
            </w:r>
          </w:p>
        </w:tc>
        <w:tc>
          <w:tcPr>
            <w:tcW w:w="2934" w:type="dxa"/>
          </w:tcPr>
          <w:p w14:paraId="6156391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.583(.311-1.092), .092</w:t>
            </w:r>
          </w:p>
        </w:tc>
        <w:tc>
          <w:tcPr>
            <w:tcW w:w="2606" w:type="dxa"/>
          </w:tcPr>
          <w:p w14:paraId="43D89DD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.471(.150-1.473), .196</w:t>
            </w:r>
          </w:p>
        </w:tc>
      </w:tr>
      <w:tr w:rsidR="006116EE" w:rsidRPr="00A75385" w14:paraId="6B0B2D0B" w14:textId="77777777" w:rsidTr="006116EE">
        <w:trPr>
          <w:trHeight w:val="278"/>
        </w:trPr>
        <w:tc>
          <w:tcPr>
            <w:tcW w:w="1723" w:type="dxa"/>
            <w:vMerge/>
          </w:tcPr>
          <w:p w14:paraId="7EADEC1C"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7147E4B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Normal Weight</w:t>
            </w:r>
          </w:p>
        </w:tc>
        <w:tc>
          <w:tcPr>
            <w:tcW w:w="2934" w:type="dxa"/>
          </w:tcPr>
          <w:p w14:paraId="6E1DDB6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.762(.461-1.261), .290</w:t>
            </w:r>
          </w:p>
        </w:tc>
        <w:tc>
          <w:tcPr>
            <w:tcW w:w="2606" w:type="dxa"/>
          </w:tcPr>
          <w:p w14:paraId="0A75FA2C"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.553(.237-1.292), .171</w:t>
            </w:r>
          </w:p>
        </w:tc>
      </w:tr>
      <w:tr w:rsidR="006116EE" w:rsidRPr="00A75385" w14:paraId="76319FEE" w14:textId="77777777" w:rsidTr="006116EE">
        <w:trPr>
          <w:trHeight w:val="278"/>
        </w:trPr>
        <w:tc>
          <w:tcPr>
            <w:tcW w:w="1723" w:type="dxa"/>
            <w:vMerge/>
          </w:tcPr>
          <w:p w14:paraId="26CBEEA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788ED5ED"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Overweight</w:t>
            </w:r>
          </w:p>
        </w:tc>
        <w:tc>
          <w:tcPr>
            <w:tcW w:w="2934" w:type="dxa"/>
          </w:tcPr>
          <w:p w14:paraId="1AB1E8D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c>
          <w:tcPr>
            <w:tcW w:w="2606" w:type="dxa"/>
          </w:tcPr>
          <w:p w14:paraId="363DA6B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r>
      <w:tr w:rsidR="006116EE" w:rsidRPr="00A75385" w14:paraId="2D214FB2" w14:textId="77777777" w:rsidTr="006116EE">
        <w:trPr>
          <w:trHeight w:val="278"/>
        </w:trPr>
        <w:tc>
          <w:tcPr>
            <w:tcW w:w="1723" w:type="dxa"/>
            <w:vMerge w:val="restart"/>
          </w:tcPr>
          <w:p w14:paraId="68D16B6A"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Dietary habits of the community</w:t>
            </w:r>
          </w:p>
        </w:tc>
        <w:tc>
          <w:tcPr>
            <w:tcW w:w="2002" w:type="dxa"/>
          </w:tcPr>
          <w:p w14:paraId="4512A86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Unhealthy Diet</w:t>
            </w:r>
          </w:p>
        </w:tc>
        <w:tc>
          <w:tcPr>
            <w:tcW w:w="2934" w:type="dxa"/>
          </w:tcPr>
          <w:p w14:paraId="77D2A08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.607(.412-.895), .012</w:t>
            </w:r>
          </w:p>
        </w:tc>
        <w:tc>
          <w:tcPr>
            <w:tcW w:w="2606" w:type="dxa"/>
          </w:tcPr>
          <w:p w14:paraId="666433B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.864(.421-1.772), .690</w:t>
            </w:r>
          </w:p>
        </w:tc>
      </w:tr>
      <w:tr w:rsidR="006116EE" w:rsidRPr="00A75385" w14:paraId="20936D05" w14:textId="77777777" w:rsidTr="006116EE">
        <w:trPr>
          <w:trHeight w:val="278"/>
        </w:trPr>
        <w:tc>
          <w:tcPr>
            <w:tcW w:w="1723" w:type="dxa"/>
            <w:vMerge/>
          </w:tcPr>
          <w:p w14:paraId="71FB336E"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4CF1060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Health Diet</w:t>
            </w:r>
          </w:p>
        </w:tc>
        <w:tc>
          <w:tcPr>
            <w:tcW w:w="2934" w:type="dxa"/>
          </w:tcPr>
          <w:p w14:paraId="55806F1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c>
          <w:tcPr>
            <w:tcW w:w="2606" w:type="dxa"/>
          </w:tcPr>
          <w:p w14:paraId="3B32A29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r>
      <w:tr w:rsidR="006116EE" w:rsidRPr="00A75385" w14:paraId="44BCFB14" w14:textId="77777777" w:rsidTr="006116EE">
        <w:trPr>
          <w:trHeight w:val="278"/>
        </w:trPr>
        <w:tc>
          <w:tcPr>
            <w:tcW w:w="1723" w:type="dxa"/>
            <w:vMerge w:val="restart"/>
          </w:tcPr>
          <w:p w14:paraId="52CA1236"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eastAsia="Times New Roman" w:hAnsi="Times New Roman" w:cs="Times New Roman"/>
                <w:color w:val="000000" w:themeColor="text1"/>
                <w:sz w:val="24"/>
                <w:szCs w:val="24"/>
              </w:rPr>
              <w:t>Individual's exposure to freeway air pollution and health impacts</w:t>
            </w:r>
          </w:p>
        </w:tc>
        <w:tc>
          <w:tcPr>
            <w:tcW w:w="2002" w:type="dxa"/>
          </w:tcPr>
          <w:p w14:paraId="2D2980B4" w14:textId="1DD63E52"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Individuals at </w:t>
            </w:r>
            <w:r w:rsidR="00117B8C">
              <w:rPr>
                <w:rFonts w:ascii="Times New Roman" w:hAnsi="Times New Roman" w:cs="Times New Roman"/>
                <w:color w:val="000000" w:themeColor="text1"/>
                <w:sz w:val="24"/>
                <w:szCs w:val="24"/>
              </w:rPr>
              <w:t xml:space="preserve">increases </w:t>
            </w:r>
            <w:r w:rsidRPr="00A75385">
              <w:rPr>
                <w:rFonts w:ascii="Times New Roman" w:hAnsi="Times New Roman" w:cs="Times New Roman"/>
                <w:color w:val="000000" w:themeColor="text1"/>
                <w:sz w:val="24"/>
                <w:szCs w:val="24"/>
              </w:rPr>
              <w:t>risk for adverse health outcomes</w:t>
            </w:r>
          </w:p>
        </w:tc>
        <w:tc>
          <w:tcPr>
            <w:tcW w:w="2934" w:type="dxa"/>
          </w:tcPr>
          <w:p w14:paraId="2C3B402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2.958(1.790-4.891), .001</w:t>
            </w:r>
          </w:p>
        </w:tc>
        <w:tc>
          <w:tcPr>
            <w:tcW w:w="2606" w:type="dxa"/>
          </w:tcPr>
          <w:p w14:paraId="7817D115"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3.012(1.229-7.385), .016</w:t>
            </w:r>
          </w:p>
        </w:tc>
      </w:tr>
      <w:tr w:rsidR="006116EE" w:rsidRPr="00A75385" w14:paraId="22A1A598" w14:textId="77777777" w:rsidTr="006116EE">
        <w:trPr>
          <w:trHeight w:val="278"/>
        </w:trPr>
        <w:tc>
          <w:tcPr>
            <w:tcW w:w="1723" w:type="dxa"/>
            <w:vMerge/>
          </w:tcPr>
          <w:p w14:paraId="20F91033"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0DEF3784" w14:textId="64440479"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 xml:space="preserve">Individuals at </w:t>
            </w:r>
            <w:r w:rsidR="00117B8C">
              <w:rPr>
                <w:rFonts w:ascii="Times New Roman" w:hAnsi="Times New Roman" w:cs="Times New Roman"/>
                <w:color w:val="000000" w:themeColor="text1"/>
                <w:sz w:val="24"/>
                <w:szCs w:val="24"/>
              </w:rPr>
              <w:t>lower</w:t>
            </w:r>
            <w:r w:rsidRPr="00A75385">
              <w:rPr>
                <w:rFonts w:ascii="Times New Roman" w:hAnsi="Times New Roman" w:cs="Times New Roman"/>
                <w:color w:val="000000" w:themeColor="text1"/>
                <w:sz w:val="24"/>
                <w:szCs w:val="24"/>
              </w:rPr>
              <w:t xml:space="preserve"> risk for adverse health outcomes</w:t>
            </w:r>
          </w:p>
        </w:tc>
        <w:tc>
          <w:tcPr>
            <w:tcW w:w="2934" w:type="dxa"/>
          </w:tcPr>
          <w:p w14:paraId="2D31854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c>
          <w:tcPr>
            <w:tcW w:w="2606" w:type="dxa"/>
          </w:tcPr>
          <w:p w14:paraId="5FD25206"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r>
      <w:tr w:rsidR="006116EE" w:rsidRPr="00A75385" w14:paraId="35AA9548" w14:textId="77777777" w:rsidTr="006116EE">
        <w:trPr>
          <w:trHeight w:val="278"/>
        </w:trPr>
        <w:tc>
          <w:tcPr>
            <w:tcW w:w="1723" w:type="dxa"/>
            <w:vMerge w:val="restart"/>
          </w:tcPr>
          <w:p w14:paraId="2E5A83E6"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 xml:space="preserve">Level of community </w:t>
            </w:r>
            <w:r w:rsidRPr="00A75385">
              <w:rPr>
                <w:rFonts w:ascii="Times New Roman" w:hAnsi="Times New Roman" w:cs="Times New Roman"/>
                <w:color w:val="000000" w:themeColor="text1"/>
                <w:sz w:val="24"/>
                <w:szCs w:val="24"/>
              </w:rPr>
              <w:lastRenderedPageBreak/>
              <w:t>health promotion activities</w:t>
            </w:r>
          </w:p>
        </w:tc>
        <w:tc>
          <w:tcPr>
            <w:tcW w:w="2002" w:type="dxa"/>
          </w:tcPr>
          <w:p w14:paraId="6182D39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lastRenderedPageBreak/>
              <w:t xml:space="preserve">Lower level of community health </w:t>
            </w:r>
            <w:r w:rsidRPr="00A75385">
              <w:rPr>
                <w:rFonts w:ascii="Times New Roman" w:hAnsi="Times New Roman" w:cs="Times New Roman"/>
                <w:color w:val="000000" w:themeColor="text1"/>
                <w:sz w:val="24"/>
                <w:szCs w:val="24"/>
              </w:rPr>
              <w:lastRenderedPageBreak/>
              <w:t>promotion activities</w:t>
            </w:r>
          </w:p>
        </w:tc>
        <w:tc>
          <w:tcPr>
            <w:tcW w:w="2934" w:type="dxa"/>
          </w:tcPr>
          <w:p w14:paraId="72FB205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lastRenderedPageBreak/>
              <w:t>.302(.117-.782), .014</w:t>
            </w:r>
          </w:p>
        </w:tc>
        <w:tc>
          <w:tcPr>
            <w:tcW w:w="2606" w:type="dxa"/>
          </w:tcPr>
          <w:p w14:paraId="2713979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.379(.052-2.772), .339</w:t>
            </w:r>
          </w:p>
        </w:tc>
      </w:tr>
      <w:tr w:rsidR="006116EE" w:rsidRPr="00A75385" w14:paraId="7D5C44F1" w14:textId="77777777" w:rsidTr="006116EE">
        <w:trPr>
          <w:trHeight w:val="278"/>
        </w:trPr>
        <w:tc>
          <w:tcPr>
            <w:tcW w:w="1723" w:type="dxa"/>
            <w:vMerge/>
          </w:tcPr>
          <w:p w14:paraId="6C2DAB71"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2F170869"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Higher level of community health promotion activities</w:t>
            </w:r>
          </w:p>
        </w:tc>
        <w:tc>
          <w:tcPr>
            <w:tcW w:w="2934" w:type="dxa"/>
          </w:tcPr>
          <w:p w14:paraId="21AA6F7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c>
          <w:tcPr>
            <w:tcW w:w="2606" w:type="dxa"/>
          </w:tcPr>
          <w:p w14:paraId="2282574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r>
      <w:tr w:rsidR="006116EE" w:rsidRPr="00A75385" w14:paraId="3884DC7A" w14:textId="77777777" w:rsidTr="006116EE">
        <w:trPr>
          <w:trHeight w:val="278"/>
        </w:trPr>
        <w:tc>
          <w:tcPr>
            <w:tcW w:w="1723" w:type="dxa"/>
            <w:vMerge w:val="restart"/>
          </w:tcPr>
          <w:p w14:paraId="57CDCA2F"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hAnsi="Times New Roman" w:cs="Times New Roman"/>
                <w:color w:val="000000" w:themeColor="text1"/>
                <w:sz w:val="24"/>
                <w:szCs w:val="24"/>
              </w:rPr>
              <w:t>Patient's self-efficacy in managing their chronic disease</w:t>
            </w:r>
          </w:p>
        </w:tc>
        <w:tc>
          <w:tcPr>
            <w:tcW w:w="2002" w:type="dxa"/>
          </w:tcPr>
          <w:p w14:paraId="0CD2580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Patients’ high self-efficacy</w:t>
            </w:r>
          </w:p>
        </w:tc>
        <w:tc>
          <w:tcPr>
            <w:tcW w:w="2934" w:type="dxa"/>
          </w:tcPr>
          <w:p w14:paraId="7C86B33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.004(.001-.018), .001</w:t>
            </w:r>
          </w:p>
        </w:tc>
        <w:tc>
          <w:tcPr>
            <w:tcW w:w="2606" w:type="dxa"/>
          </w:tcPr>
          <w:p w14:paraId="56954BAC" w14:textId="7D9079AE"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.00</w:t>
            </w:r>
            <w:r w:rsidR="00117B8C">
              <w:rPr>
                <w:rFonts w:ascii="Times New Roman" w:hAnsi="Times New Roman" w:cs="Times New Roman"/>
                <w:color w:val="010205"/>
                <w:sz w:val="24"/>
                <w:szCs w:val="24"/>
              </w:rPr>
              <w:t>1</w:t>
            </w:r>
            <w:r w:rsidRPr="00A75385">
              <w:rPr>
                <w:rFonts w:ascii="Times New Roman" w:hAnsi="Times New Roman" w:cs="Times New Roman"/>
                <w:color w:val="010205"/>
                <w:sz w:val="24"/>
                <w:szCs w:val="24"/>
              </w:rPr>
              <w:t>(.000-.003),.001</w:t>
            </w:r>
          </w:p>
        </w:tc>
      </w:tr>
      <w:tr w:rsidR="006116EE" w:rsidRPr="00A75385" w14:paraId="629BBA66" w14:textId="77777777" w:rsidTr="006116EE">
        <w:trPr>
          <w:trHeight w:val="278"/>
        </w:trPr>
        <w:tc>
          <w:tcPr>
            <w:tcW w:w="1723" w:type="dxa"/>
            <w:vMerge/>
          </w:tcPr>
          <w:p w14:paraId="5C0B09BD"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2E81743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Patients’ low self-efficacy</w:t>
            </w:r>
          </w:p>
        </w:tc>
        <w:tc>
          <w:tcPr>
            <w:tcW w:w="2934" w:type="dxa"/>
          </w:tcPr>
          <w:p w14:paraId="37538884"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c>
          <w:tcPr>
            <w:tcW w:w="2606" w:type="dxa"/>
          </w:tcPr>
          <w:p w14:paraId="1AA90E71"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r>
      <w:tr w:rsidR="006116EE" w:rsidRPr="00A75385" w14:paraId="47C776A5" w14:textId="77777777" w:rsidTr="006116EE">
        <w:trPr>
          <w:trHeight w:val="278"/>
        </w:trPr>
        <w:tc>
          <w:tcPr>
            <w:tcW w:w="1723" w:type="dxa"/>
            <w:vMerge w:val="restart"/>
          </w:tcPr>
          <w:p w14:paraId="0B4AC17C"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r w:rsidRPr="00A75385">
              <w:rPr>
                <w:rFonts w:ascii="Times New Roman" w:eastAsia="Times New Roman" w:hAnsi="Times New Roman" w:cs="Times New Roman"/>
                <w:color w:val="000000" w:themeColor="text1"/>
                <w:sz w:val="24"/>
                <w:szCs w:val="24"/>
              </w:rPr>
              <w:t>Patients' knowledge, skills, and confidence in managing their health and healthcare</w:t>
            </w:r>
          </w:p>
        </w:tc>
        <w:tc>
          <w:tcPr>
            <w:tcW w:w="2002" w:type="dxa"/>
          </w:tcPr>
          <w:p w14:paraId="4DED712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1</w:t>
            </w:r>
          </w:p>
        </w:tc>
        <w:tc>
          <w:tcPr>
            <w:tcW w:w="2934" w:type="dxa"/>
          </w:tcPr>
          <w:p w14:paraId="291A234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.772(.504-1.185), .237</w:t>
            </w:r>
          </w:p>
        </w:tc>
        <w:tc>
          <w:tcPr>
            <w:tcW w:w="2606" w:type="dxa"/>
          </w:tcPr>
          <w:p w14:paraId="6AC94E2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 xml:space="preserve">4.996(1.445-17.268), .011 </w:t>
            </w:r>
          </w:p>
        </w:tc>
      </w:tr>
      <w:tr w:rsidR="006116EE" w:rsidRPr="00A75385" w14:paraId="0A76A7BC" w14:textId="77777777" w:rsidTr="006116EE">
        <w:trPr>
          <w:trHeight w:val="278"/>
        </w:trPr>
        <w:tc>
          <w:tcPr>
            <w:tcW w:w="1723" w:type="dxa"/>
            <w:vMerge/>
          </w:tcPr>
          <w:p w14:paraId="4A1F815D"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35B2BC6E"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2</w:t>
            </w:r>
          </w:p>
        </w:tc>
        <w:tc>
          <w:tcPr>
            <w:tcW w:w="2934" w:type="dxa"/>
          </w:tcPr>
          <w:p w14:paraId="24F3942A"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.675(.329-1.385), .284</w:t>
            </w:r>
          </w:p>
        </w:tc>
        <w:tc>
          <w:tcPr>
            <w:tcW w:w="2606" w:type="dxa"/>
          </w:tcPr>
          <w:p w14:paraId="2F87DEA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4.765(1.036-21.924), .045</w:t>
            </w:r>
          </w:p>
        </w:tc>
      </w:tr>
      <w:tr w:rsidR="006116EE" w:rsidRPr="00A75385" w14:paraId="6F35C637" w14:textId="77777777" w:rsidTr="006116EE">
        <w:trPr>
          <w:trHeight w:val="278"/>
        </w:trPr>
        <w:tc>
          <w:tcPr>
            <w:tcW w:w="1723" w:type="dxa"/>
            <w:vMerge/>
          </w:tcPr>
          <w:p w14:paraId="050D87B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731BC4E7"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3</w:t>
            </w:r>
          </w:p>
        </w:tc>
        <w:tc>
          <w:tcPr>
            <w:tcW w:w="2934" w:type="dxa"/>
          </w:tcPr>
          <w:p w14:paraId="0B5DBAD2"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.650(.373-1.131), .127</w:t>
            </w:r>
          </w:p>
        </w:tc>
        <w:tc>
          <w:tcPr>
            <w:tcW w:w="2606" w:type="dxa"/>
          </w:tcPr>
          <w:p w14:paraId="25D4C928"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10205"/>
                <w:sz w:val="24"/>
                <w:szCs w:val="24"/>
              </w:rPr>
              <w:t>3.315(.916-11.997), .068</w:t>
            </w:r>
          </w:p>
        </w:tc>
      </w:tr>
      <w:tr w:rsidR="006116EE" w:rsidRPr="00A75385" w14:paraId="0481A1F6" w14:textId="77777777" w:rsidTr="006116EE">
        <w:trPr>
          <w:trHeight w:val="278"/>
        </w:trPr>
        <w:tc>
          <w:tcPr>
            <w:tcW w:w="1723" w:type="dxa"/>
            <w:vMerge/>
          </w:tcPr>
          <w:p w14:paraId="7D021F24" w14:textId="77777777" w:rsidR="006116EE" w:rsidRPr="00A75385" w:rsidRDefault="006116EE" w:rsidP="00A75385">
            <w:pPr>
              <w:spacing w:after="0" w:line="360" w:lineRule="auto"/>
              <w:rPr>
                <w:rFonts w:ascii="Times New Roman" w:hAnsi="Times New Roman" w:cs="Times New Roman"/>
                <w:b/>
                <w:bCs/>
                <w:color w:val="000000" w:themeColor="text1"/>
                <w:sz w:val="24"/>
                <w:szCs w:val="24"/>
              </w:rPr>
            </w:pPr>
          </w:p>
        </w:tc>
        <w:tc>
          <w:tcPr>
            <w:tcW w:w="2002" w:type="dxa"/>
          </w:tcPr>
          <w:p w14:paraId="5571AF53"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Level 4</w:t>
            </w:r>
          </w:p>
        </w:tc>
        <w:tc>
          <w:tcPr>
            <w:tcW w:w="2934" w:type="dxa"/>
          </w:tcPr>
          <w:p w14:paraId="055FD7C0"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c>
          <w:tcPr>
            <w:tcW w:w="2606" w:type="dxa"/>
          </w:tcPr>
          <w:p w14:paraId="48E496FF" w14:textId="77777777" w:rsidR="006116EE" w:rsidRPr="00A75385" w:rsidRDefault="006116EE" w:rsidP="00A75385">
            <w:pPr>
              <w:spacing w:after="0" w:line="360" w:lineRule="auto"/>
              <w:rPr>
                <w:rFonts w:ascii="Times New Roman" w:hAnsi="Times New Roman" w:cs="Times New Roman"/>
                <w:color w:val="000000" w:themeColor="text1"/>
                <w:sz w:val="24"/>
                <w:szCs w:val="24"/>
              </w:rPr>
            </w:pPr>
            <w:r w:rsidRPr="00A75385">
              <w:rPr>
                <w:rFonts w:ascii="Times New Roman" w:hAnsi="Times New Roman" w:cs="Times New Roman"/>
                <w:color w:val="000000" w:themeColor="text1"/>
                <w:sz w:val="24"/>
                <w:szCs w:val="24"/>
              </w:rPr>
              <w:t>Ref</w:t>
            </w:r>
          </w:p>
        </w:tc>
      </w:tr>
    </w:tbl>
    <w:p w14:paraId="7C2F0E5D" w14:textId="77777777" w:rsidR="006116EE" w:rsidRPr="00A75385" w:rsidRDefault="006116EE" w:rsidP="00A75385">
      <w:pPr>
        <w:pStyle w:val="Caption"/>
        <w:keepNext/>
        <w:spacing w:after="0" w:line="360" w:lineRule="auto"/>
        <w:rPr>
          <w:rFonts w:ascii="Times New Roman" w:hAnsi="Times New Roman" w:cs="Times New Roman"/>
          <w:i w:val="0"/>
          <w:iCs w:val="0"/>
          <w:color w:val="auto"/>
          <w:sz w:val="24"/>
          <w:szCs w:val="24"/>
        </w:rPr>
      </w:pPr>
      <w:bookmarkStart w:id="18" w:name="_Toc135693421"/>
    </w:p>
    <w:p w14:paraId="3447083D" w14:textId="77777777" w:rsidR="006116EE" w:rsidRPr="00A75385" w:rsidRDefault="006116EE" w:rsidP="00A75385">
      <w:pPr>
        <w:pStyle w:val="Caption"/>
        <w:keepNext/>
        <w:spacing w:after="0" w:line="360" w:lineRule="auto"/>
        <w:rPr>
          <w:rFonts w:ascii="Times New Roman" w:hAnsi="Times New Roman" w:cs="Times New Roman"/>
          <w:b/>
          <w:bCs/>
          <w:i w:val="0"/>
          <w:iCs w:val="0"/>
          <w:color w:val="auto"/>
          <w:sz w:val="24"/>
          <w:szCs w:val="24"/>
        </w:rPr>
      </w:pPr>
      <w:r w:rsidRPr="00A75385">
        <w:rPr>
          <w:rFonts w:ascii="Times New Roman" w:hAnsi="Times New Roman" w:cs="Times New Roman"/>
          <w:b/>
          <w:bCs/>
          <w:i w:val="0"/>
          <w:iCs w:val="0"/>
          <w:color w:val="auto"/>
          <w:sz w:val="24"/>
          <w:szCs w:val="24"/>
        </w:rPr>
        <w:t xml:space="preserve">Table </w:t>
      </w:r>
      <w:r w:rsidRPr="00A75385">
        <w:rPr>
          <w:rFonts w:ascii="Times New Roman" w:hAnsi="Times New Roman" w:cs="Times New Roman"/>
          <w:b/>
          <w:bCs/>
          <w:i w:val="0"/>
          <w:iCs w:val="0"/>
          <w:color w:val="auto"/>
          <w:sz w:val="24"/>
          <w:szCs w:val="24"/>
        </w:rPr>
        <w:fldChar w:fldCharType="begin"/>
      </w:r>
      <w:r w:rsidRPr="00A75385">
        <w:rPr>
          <w:rFonts w:ascii="Times New Roman" w:hAnsi="Times New Roman" w:cs="Times New Roman"/>
          <w:b/>
          <w:bCs/>
          <w:i w:val="0"/>
          <w:iCs w:val="0"/>
          <w:color w:val="auto"/>
          <w:sz w:val="24"/>
          <w:szCs w:val="24"/>
        </w:rPr>
        <w:instrText xml:space="preserve"> SEQ Table \* ARABIC </w:instrText>
      </w:r>
      <w:r w:rsidRPr="00A75385">
        <w:rPr>
          <w:rFonts w:ascii="Times New Roman" w:hAnsi="Times New Roman" w:cs="Times New Roman"/>
          <w:b/>
          <w:bCs/>
          <w:i w:val="0"/>
          <w:iCs w:val="0"/>
          <w:color w:val="auto"/>
          <w:sz w:val="24"/>
          <w:szCs w:val="24"/>
        </w:rPr>
        <w:fldChar w:fldCharType="separate"/>
      </w:r>
      <w:r w:rsidRPr="00A75385">
        <w:rPr>
          <w:rFonts w:ascii="Times New Roman" w:hAnsi="Times New Roman" w:cs="Times New Roman"/>
          <w:b/>
          <w:bCs/>
          <w:i w:val="0"/>
          <w:iCs w:val="0"/>
          <w:noProof/>
          <w:color w:val="auto"/>
          <w:sz w:val="24"/>
          <w:szCs w:val="24"/>
        </w:rPr>
        <w:t>4</w:t>
      </w:r>
      <w:r w:rsidRPr="00A75385">
        <w:rPr>
          <w:rFonts w:ascii="Times New Roman" w:hAnsi="Times New Roman" w:cs="Times New Roman"/>
          <w:b/>
          <w:bCs/>
          <w:i w:val="0"/>
          <w:iCs w:val="0"/>
          <w:color w:val="auto"/>
          <w:sz w:val="24"/>
          <w:szCs w:val="24"/>
        </w:rPr>
        <w:fldChar w:fldCharType="end"/>
      </w:r>
      <w:r w:rsidRPr="00A75385">
        <w:rPr>
          <w:rFonts w:ascii="Times New Roman" w:hAnsi="Times New Roman" w:cs="Times New Roman"/>
          <w:b/>
          <w:bCs/>
          <w:i w:val="0"/>
          <w:iCs w:val="0"/>
          <w:color w:val="auto"/>
          <w:sz w:val="24"/>
          <w:szCs w:val="24"/>
        </w:rPr>
        <w:t xml:space="preserve">: Structural Equation </w:t>
      </w:r>
      <w:bookmarkEnd w:id="18"/>
      <w:r w:rsidRPr="00A75385">
        <w:rPr>
          <w:rFonts w:ascii="Times New Roman" w:hAnsi="Times New Roman" w:cs="Times New Roman"/>
          <w:b/>
          <w:bCs/>
          <w:i w:val="0"/>
          <w:iCs w:val="0"/>
          <w:color w:val="auto"/>
          <w:sz w:val="24"/>
          <w:szCs w:val="24"/>
        </w:rPr>
        <w:t>Modeling fitted</w:t>
      </w:r>
    </w:p>
    <w:tbl>
      <w:tblPr>
        <w:tblStyle w:val="TableGrid"/>
        <w:tblW w:w="5000" w:type="pct"/>
        <w:tblLook w:val="04A0" w:firstRow="1" w:lastRow="0" w:firstColumn="1" w:lastColumn="0" w:noHBand="0" w:noVBand="1"/>
      </w:tblPr>
      <w:tblGrid>
        <w:gridCol w:w="3303"/>
        <w:gridCol w:w="3195"/>
        <w:gridCol w:w="2852"/>
      </w:tblGrid>
      <w:tr w:rsidR="006116EE" w:rsidRPr="00A75385" w14:paraId="21FE8A86" w14:textId="77777777" w:rsidTr="00804500">
        <w:trPr>
          <w:trHeight w:val="300"/>
        </w:trPr>
        <w:tc>
          <w:tcPr>
            <w:tcW w:w="1766" w:type="pct"/>
            <w:noWrap/>
            <w:hideMark/>
          </w:tcPr>
          <w:p w14:paraId="2413C8C7" w14:textId="77777777" w:rsidR="006116EE" w:rsidRPr="00A75385" w:rsidRDefault="006116EE" w:rsidP="00A75385">
            <w:pPr>
              <w:spacing w:after="0" w:line="360" w:lineRule="auto"/>
              <w:rPr>
                <w:rFonts w:ascii="Times New Roman" w:eastAsia="Times New Roman" w:hAnsi="Times New Roman" w:cs="Times New Roman"/>
                <w:sz w:val="24"/>
                <w:szCs w:val="24"/>
                <w:lang w:bidi="bn-IN"/>
              </w:rPr>
            </w:pPr>
          </w:p>
        </w:tc>
        <w:tc>
          <w:tcPr>
            <w:tcW w:w="1708" w:type="pct"/>
            <w:noWrap/>
            <w:hideMark/>
          </w:tcPr>
          <w:p w14:paraId="260A521C" w14:textId="77777777" w:rsidR="006116EE" w:rsidRPr="00A75385" w:rsidRDefault="006116EE" w:rsidP="00A75385">
            <w:pPr>
              <w:spacing w:after="0" w:line="360" w:lineRule="auto"/>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Saturated model</w:t>
            </w:r>
          </w:p>
        </w:tc>
        <w:tc>
          <w:tcPr>
            <w:tcW w:w="1525" w:type="pct"/>
            <w:noWrap/>
            <w:hideMark/>
          </w:tcPr>
          <w:p w14:paraId="74FCD183" w14:textId="77777777" w:rsidR="006116EE" w:rsidRPr="00A75385" w:rsidRDefault="006116EE" w:rsidP="00A75385">
            <w:pPr>
              <w:spacing w:after="0" w:line="360" w:lineRule="auto"/>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Estimated model</w:t>
            </w:r>
          </w:p>
        </w:tc>
      </w:tr>
      <w:tr w:rsidR="006116EE" w:rsidRPr="00A75385" w14:paraId="20433BCE" w14:textId="77777777" w:rsidTr="00804500">
        <w:trPr>
          <w:trHeight w:val="300"/>
        </w:trPr>
        <w:tc>
          <w:tcPr>
            <w:tcW w:w="1766" w:type="pct"/>
            <w:noWrap/>
            <w:hideMark/>
          </w:tcPr>
          <w:p w14:paraId="3D14FAF1" w14:textId="77777777" w:rsidR="006116EE" w:rsidRPr="00A75385" w:rsidRDefault="006116EE" w:rsidP="00A75385">
            <w:pPr>
              <w:spacing w:after="0" w:line="360" w:lineRule="auto"/>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SRMR</w:t>
            </w:r>
          </w:p>
        </w:tc>
        <w:tc>
          <w:tcPr>
            <w:tcW w:w="1708" w:type="pct"/>
            <w:noWrap/>
            <w:hideMark/>
          </w:tcPr>
          <w:p w14:paraId="68EBB53B" w14:textId="77777777" w:rsidR="006116EE" w:rsidRPr="00A75385" w:rsidRDefault="006116EE" w:rsidP="00A75385">
            <w:pPr>
              <w:spacing w:after="0" w:line="360" w:lineRule="auto"/>
              <w:jc w:val="right"/>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0.127</w:t>
            </w:r>
          </w:p>
        </w:tc>
        <w:tc>
          <w:tcPr>
            <w:tcW w:w="1525" w:type="pct"/>
            <w:noWrap/>
            <w:hideMark/>
          </w:tcPr>
          <w:p w14:paraId="359495CA" w14:textId="77777777" w:rsidR="006116EE" w:rsidRPr="00A75385" w:rsidRDefault="006116EE" w:rsidP="00A75385">
            <w:pPr>
              <w:spacing w:after="0" w:line="360" w:lineRule="auto"/>
              <w:jc w:val="right"/>
              <w:rPr>
                <w:rFonts w:ascii="Times New Roman" w:eastAsia="Times New Roman" w:hAnsi="Times New Roman" w:cs="Times New Roman"/>
                <w:color w:val="000000"/>
                <w:sz w:val="24"/>
                <w:szCs w:val="24"/>
                <w:lang w:bidi="bn-IN"/>
              </w:rPr>
            </w:pPr>
            <w:r w:rsidRPr="00A75385">
              <w:rPr>
                <w:rFonts w:ascii="Times New Roman" w:hAnsi="Times New Roman" w:cs="Times New Roman"/>
                <w:sz w:val="24"/>
                <w:szCs w:val="24"/>
              </w:rPr>
              <w:t>0.089</w:t>
            </w:r>
          </w:p>
        </w:tc>
      </w:tr>
      <w:tr w:rsidR="006116EE" w:rsidRPr="00A75385" w14:paraId="7AA10989" w14:textId="77777777" w:rsidTr="00804500">
        <w:trPr>
          <w:trHeight w:val="300"/>
        </w:trPr>
        <w:tc>
          <w:tcPr>
            <w:tcW w:w="1766" w:type="pct"/>
            <w:noWrap/>
            <w:hideMark/>
          </w:tcPr>
          <w:p w14:paraId="4E5A0402" w14:textId="77777777" w:rsidR="006116EE" w:rsidRPr="00A75385" w:rsidRDefault="006116EE" w:rsidP="00A75385">
            <w:pPr>
              <w:spacing w:after="0" w:line="360" w:lineRule="auto"/>
              <w:rPr>
                <w:rFonts w:ascii="Times New Roman" w:eastAsia="Times New Roman" w:hAnsi="Times New Roman" w:cs="Times New Roman"/>
                <w:color w:val="000000"/>
                <w:sz w:val="24"/>
                <w:szCs w:val="24"/>
                <w:lang w:bidi="bn-IN"/>
              </w:rPr>
            </w:pPr>
            <w:proofErr w:type="spellStart"/>
            <w:r w:rsidRPr="00A75385">
              <w:rPr>
                <w:rFonts w:ascii="Times New Roman" w:eastAsia="Times New Roman" w:hAnsi="Times New Roman" w:cs="Times New Roman"/>
                <w:color w:val="000000"/>
                <w:sz w:val="24"/>
                <w:szCs w:val="24"/>
                <w:lang w:bidi="bn-IN"/>
              </w:rPr>
              <w:t>d_ULS</w:t>
            </w:r>
            <w:proofErr w:type="spellEnd"/>
          </w:p>
        </w:tc>
        <w:tc>
          <w:tcPr>
            <w:tcW w:w="1708" w:type="pct"/>
            <w:noWrap/>
            <w:hideMark/>
          </w:tcPr>
          <w:p w14:paraId="6E58A713" w14:textId="77777777" w:rsidR="006116EE" w:rsidRPr="00A75385" w:rsidRDefault="006116EE" w:rsidP="00A75385">
            <w:pPr>
              <w:spacing w:after="0" w:line="360" w:lineRule="auto"/>
              <w:jc w:val="right"/>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1.497</w:t>
            </w:r>
          </w:p>
        </w:tc>
        <w:tc>
          <w:tcPr>
            <w:tcW w:w="1525" w:type="pct"/>
            <w:noWrap/>
            <w:hideMark/>
          </w:tcPr>
          <w:p w14:paraId="5A0E88C0" w14:textId="77777777" w:rsidR="006116EE" w:rsidRPr="00A75385" w:rsidRDefault="006116EE" w:rsidP="00A75385">
            <w:pPr>
              <w:spacing w:after="0" w:line="360" w:lineRule="auto"/>
              <w:jc w:val="right"/>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3.06</w:t>
            </w:r>
          </w:p>
        </w:tc>
      </w:tr>
      <w:tr w:rsidR="006116EE" w:rsidRPr="00A75385" w14:paraId="1A8F2192" w14:textId="77777777" w:rsidTr="00804500">
        <w:trPr>
          <w:trHeight w:val="300"/>
        </w:trPr>
        <w:tc>
          <w:tcPr>
            <w:tcW w:w="1766" w:type="pct"/>
            <w:noWrap/>
            <w:hideMark/>
          </w:tcPr>
          <w:p w14:paraId="0EF7BA2B" w14:textId="77777777" w:rsidR="006116EE" w:rsidRPr="00A75385" w:rsidRDefault="006116EE" w:rsidP="00A75385">
            <w:pPr>
              <w:spacing w:after="0" w:line="360" w:lineRule="auto"/>
              <w:rPr>
                <w:rFonts w:ascii="Times New Roman" w:eastAsia="Times New Roman" w:hAnsi="Times New Roman" w:cs="Times New Roman"/>
                <w:color w:val="000000"/>
                <w:sz w:val="24"/>
                <w:szCs w:val="24"/>
                <w:lang w:bidi="bn-IN"/>
              </w:rPr>
            </w:pPr>
            <w:proofErr w:type="spellStart"/>
            <w:r w:rsidRPr="00A75385">
              <w:rPr>
                <w:rFonts w:ascii="Times New Roman" w:eastAsia="Times New Roman" w:hAnsi="Times New Roman" w:cs="Times New Roman"/>
                <w:color w:val="000000"/>
                <w:sz w:val="24"/>
                <w:szCs w:val="24"/>
                <w:lang w:bidi="bn-IN"/>
              </w:rPr>
              <w:t>d_G</w:t>
            </w:r>
            <w:proofErr w:type="spellEnd"/>
          </w:p>
        </w:tc>
        <w:tc>
          <w:tcPr>
            <w:tcW w:w="1708" w:type="pct"/>
            <w:noWrap/>
            <w:hideMark/>
          </w:tcPr>
          <w:p w14:paraId="50ADBE97" w14:textId="77777777" w:rsidR="006116EE" w:rsidRPr="00A75385" w:rsidRDefault="006116EE" w:rsidP="00A75385">
            <w:pPr>
              <w:spacing w:after="0" w:line="360" w:lineRule="auto"/>
              <w:jc w:val="right"/>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0.327</w:t>
            </w:r>
          </w:p>
        </w:tc>
        <w:tc>
          <w:tcPr>
            <w:tcW w:w="1525" w:type="pct"/>
            <w:noWrap/>
            <w:hideMark/>
          </w:tcPr>
          <w:p w14:paraId="34757ED3" w14:textId="77777777" w:rsidR="006116EE" w:rsidRPr="00A75385" w:rsidRDefault="006116EE" w:rsidP="00A75385">
            <w:pPr>
              <w:spacing w:after="0" w:line="360" w:lineRule="auto"/>
              <w:jc w:val="right"/>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0.577</w:t>
            </w:r>
          </w:p>
        </w:tc>
      </w:tr>
      <w:tr w:rsidR="006116EE" w:rsidRPr="00A75385" w14:paraId="51A656C5" w14:textId="77777777" w:rsidTr="00804500">
        <w:trPr>
          <w:trHeight w:val="300"/>
        </w:trPr>
        <w:tc>
          <w:tcPr>
            <w:tcW w:w="1766" w:type="pct"/>
            <w:noWrap/>
            <w:hideMark/>
          </w:tcPr>
          <w:p w14:paraId="0007AB5F" w14:textId="77777777" w:rsidR="006116EE" w:rsidRPr="00A75385" w:rsidRDefault="006116EE" w:rsidP="00A75385">
            <w:pPr>
              <w:spacing w:after="0" w:line="360" w:lineRule="auto"/>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Chi-square</w:t>
            </w:r>
          </w:p>
        </w:tc>
        <w:tc>
          <w:tcPr>
            <w:tcW w:w="1708" w:type="pct"/>
            <w:noWrap/>
            <w:hideMark/>
          </w:tcPr>
          <w:p w14:paraId="4145FA02" w14:textId="77777777" w:rsidR="006116EE" w:rsidRPr="00A75385" w:rsidRDefault="006116EE" w:rsidP="00A75385">
            <w:pPr>
              <w:spacing w:after="0" w:line="360" w:lineRule="auto"/>
              <w:jc w:val="right"/>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765.139</w:t>
            </w:r>
          </w:p>
        </w:tc>
        <w:tc>
          <w:tcPr>
            <w:tcW w:w="1525" w:type="pct"/>
            <w:noWrap/>
            <w:hideMark/>
          </w:tcPr>
          <w:p w14:paraId="3494F5CC" w14:textId="77777777" w:rsidR="006116EE" w:rsidRPr="00A75385" w:rsidRDefault="006116EE" w:rsidP="00A75385">
            <w:pPr>
              <w:spacing w:after="0" w:line="360" w:lineRule="auto"/>
              <w:jc w:val="right"/>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1389.626</w:t>
            </w:r>
          </w:p>
        </w:tc>
      </w:tr>
      <w:tr w:rsidR="006116EE" w:rsidRPr="00A75385" w14:paraId="74F2E0BB" w14:textId="77777777" w:rsidTr="00804500">
        <w:trPr>
          <w:trHeight w:val="300"/>
        </w:trPr>
        <w:tc>
          <w:tcPr>
            <w:tcW w:w="1766" w:type="pct"/>
            <w:noWrap/>
            <w:hideMark/>
          </w:tcPr>
          <w:p w14:paraId="755B9E3A" w14:textId="77777777" w:rsidR="006116EE" w:rsidRPr="00A75385" w:rsidRDefault="006116EE" w:rsidP="00A75385">
            <w:pPr>
              <w:spacing w:after="0" w:line="360" w:lineRule="auto"/>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NFI</w:t>
            </w:r>
          </w:p>
        </w:tc>
        <w:tc>
          <w:tcPr>
            <w:tcW w:w="1708" w:type="pct"/>
            <w:noWrap/>
            <w:hideMark/>
          </w:tcPr>
          <w:p w14:paraId="56D20F08" w14:textId="77777777" w:rsidR="006116EE" w:rsidRPr="00A75385" w:rsidRDefault="006116EE" w:rsidP="00A75385">
            <w:pPr>
              <w:spacing w:after="0" w:line="360" w:lineRule="auto"/>
              <w:jc w:val="right"/>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0.568</w:t>
            </w:r>
          </w:p>
        </w:tc>
        <w:tc>
          <w:tcPr>
            <w:tcW w:w="1525" w:type="pct"/>
            <w:noWrap/>
            <w:hideMark/>
          </w:tcPr>
          <w:p w14:paraId="53977867" w14:textId="77777777" w:rsidR="006116EE" w:rsidRPr="00A75385" w:rsidRDefault="006116EE" w:rsidP="00A75385">
            <w:pPr>
              <w:spacing w:after="0" w:line="360" w:lineRule="auto"/>
              <w:jc w:val="right"/>
              <w:rPr>
                <w:rFonts w:ascii="Times New Roman" w:eastAsia="Times New Roman" w:hAnsi="Times New Roman" w:cs="Times New Roman"/>
                <w:color w:val="000000"/>
                <w:sz w:val="24"/>
                <w:szCs w:val="24"/>
                <w:lang w:bidi="bn-IN"/>
              </w:rPr>
            </w:pPr>
            <w:r w:rsidRPr="00A75385">
              <w:rPr>
                <w:rFonts w:ascii="Times New Roman" w:eastAsia="Times New Roman" w:hAnsi="Times New Roman" w:cs="Times New Roman"/>
                <w:color w:val="000000"/>
                <w:sz w:val="24"/>
                <w:szCs w:val="24"/>
                <w:lang w:bidi="bn-IN"/>
              </w:rPr>
              <w:t>0.216</w:t>
            </w:r>
          </w:p>
        </w:tc>
      </w:tr>
    </w:tbl>
    <w:p w14:paraId="24A4538E" w14:textId="77777777" w:rsidR="006116EE" w:rsidRPr="00A75385" w:rsidRDefault="006116EE" w:rsidP="00A75385">
      <w:pPr>
        <w:spacing w:line="360" w:lineRule="auto"/>
        <w:jc w:val="both"/>
        <w:rPr>
          <w:rFonts w:ascii="Times New Roman" w:hAnsi="Times New Roman" w:cs="Times New Roman"/>
          <w:sz w:val="24"/>
          <w:szCs w:val="24"/>
        </w:rPr>
      </w:pPr>
    </w:p>
    <w:p w14:paraId="4F263E89" w14:textId="77777777" w:rsidR="0090045B" w:rsidRPr="00A75385" w:rsidRDefault="0090045B" w:rsidP="00A75385">
      <w:pPr>
        <w:spacing w:line="360" w:lineRule="auto"/>
        <w:jc w:val="center"/>
        <w:rPr>
          <w:rFonts w:ascii="Times New Roman" w:hAnsi="Times New Roman" w:cs="Times New Roman"/>
          <w:b/>
          <w:sz w:val="24"/>
          <w:szCs w:val="24"/>
          <w:u w:val="single"/>
        </w:rPr>
      </w:pPr>
    </w:p>
    <w:p w14:paraId="0939E058" w14:textId="77777777" w:rsidR="0090045B" w:rsidRPr="00A75385" w:rsidRDefault="0090045B" w:rsidP="00A75385">
      <w:pPr>
        <w:spacing w:line="360" w:lineRule="auto"/>
        <w:jc w:val="center"/>
        <w:rPr>
          <w:rFonts w:ascii="Times New Roman" w:hAnsi="Times New Roman" w:cs="Times New Roman"/>
          <w:b/>
          <w:sz w:val="24"/>
          <w:szCs w:val="24"/>
          <w:u w:val="single"/>
        </w:rPr>
      </w:pPr>
    </w:p>
    <w:p w14:paraId="0C6049E4" w14:textId="77777777" w:rsidR="0090045B" w:rsidRPr="00A75385" w:rsidRDefault="0090045B" w:rsidP="00A75385">
      <w:pPr>
        <w:spacing w:line="360" w:lineRule="auto"/>
        <w:jc w:val="center"/>
        <w:rPr>
          <w:rFonts w:ascii="Times New Roman" w:hAnsi="Times New Roman" w:cs="Times New Roman"/>
          <w:b/>
          <w:sz w:val="24"/>
          <w:szCs w:val="24"/>
          <w:u w:val="single"/>
        </w:rPr>
      </w:pPr>
    </w:p>
    <w:p w14:paraId="64FF72F6" w14:textId="77777777" w:rsidR="0090045B" w:rsidRPr="00A75385" w:rsidRDefault="0090045B" w:rsidP="00A75385">
      <w:pPr>
        <w:spacing w:line="360" w:lineRule="auto"/>
        <w:jc w:val="center"/>
        <w:rPr>
          <w:rFonts w:ascii="Times New Roman" w:hAnsi="Times New Roman" w:cs="Times New Roman"/>
          <w:b/>
          <w:sz w:val="24"/>
          <w:szCs w:val="24"/>
          <w:u w:val="single"/>
        </w:rPr>
      </w:pPr>
    </w:p>
    <w:p w14:paraId="4A67A43A" w14:textId="15462177" w:rsidR="00366BA8" w:rsidRDefault="00366BA8" w:rsidP="00A75385">
      <w:pPr>
        <w:spacing w:line="360" w:lineRule="auto"/>
        <w:jc w:val="center"/>
        <w:rPr>
          <w:rFonts w:ascii="Times New Roman" w:hAnsi="Times New Roman" w:cs="Times New Roman"/>
          <w:b/>
          <w:sz w:val="24"/>
          <w:szCs w:val="24"/>
          <w:u w:val="single"/>
        </w:rPr>
      </w:pPr>
    </w:p>
    <w:p w14:paraId="05141120" w14:textId="77777777" w:rsidR="00544DEC" w:rsidRPr="00A75385" w:rsidRDefault="006116EE" w:rsidP="00A75385">
      <w:pPr>
        <w:spacing w:line="360" w:lineRule="auto"/>
        <w:jc w:val="center"/>
        <w:rPr>
          <w:rFonts w:ascii="Times New Roman" w:hAnsi="Times New Roman" w:cs="Times New Roman"/>
          <w:b/>
          <w:sz w:val="24"/>
          <w:szCs w:val="24"/>
          <w:u w:val="single"/>
        </w:rPr>
      </w:pPr>
      <w:r w:rsidRPr="00A75385">
        <w:rPr>
          <w:rFonts w:ascii="Times New Roman" w:hAnsi="Times New Roman" w:cs="Times New Roman"/>
          <w:b/>
          <w:sz w:val="24"/>
          <w:szCs w:val="24"/>
          <w:u w:val="single"/>
        </w:rPr>
        <w:t>Figure</w:t>
      </w:r>
    </w:p>
    <w:p w14:paraId="6DE1BA1C" w14:textId="77777777" w:rsidR="0090045B" w:rsidRPr="00A75385" w:rsidRDefault="0090045B" w:rsidP="00A75385">
      <w:pPr>
        <w:spacing w:line="360" w:lineRule="auto"/>
        <w:jc w:val="center"/>
        <w:rPr>
          <w:rFonts w:ascii="Times New Roman" w:hAnsi="Times New Roman" w:cs="Times New Roman"/>
          <w:b/>
          <w:sz w:val="24"/>
          <w:szCs w:val="24"/>
          <w:u w:val="single"/>
        </w:rPr>
      </w:pPr>
      <w:r w:rsidRPr="00A75385">
        <w:rPr>
          <w:rFonts w:ascii="Times New Roman" w:hAnsi="Times New Roman" w:cs="Times New Roman"/>
          <w:noProof/>
          <w:sz w:val="24"/>
          <w:szCs w:val="24"/>
          <w:lang w:bidi="bn-IN"/>
        </w:rPr>
        <w:drawing>
          <wp:inline distT="0" distB="0" distL="0" distR="0" wp14:anchorId="44395DE5" wp14:editId="67D401D1">
            <wp:extent cx="5943600" cy="5814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14060"/>
                    </a:xfrm>
                    <a:prstGeom prst="rect">
                      <a:avLst/>
                    </a:prstGeom>
                  </pic:spPr>
                </pic:pic>
              </a:graphicData>
            </a:graphic>
          </wp:inline>
        </w:drawing>
      </w:r>
    </w:p>
    <w:p w14:paraId="07ADBAF0" w14:textId="77777777" w:rsidR="0090045B" w:rsidRPr="00A75385" w:rsidRDefault="0090045B" w:rsidP="00A75385">
      <w:pPr>
        <w:pStyle w:val="Caption"/>
        <w:spacing w:line="360" w:lineRule="auto"/>
        <w:rPr>
          <w:rFonts w:ascii="Times New Roman" w:hAnsi="Times New Roman" w:cs="Times New Roman"/>
          <w:b/>
          <w:bCs/>
          <w:i w:val="0"/>
          <w:iCs w:val="0"/>
          <w:color w:val="auto"/>
          <w:sz w:val="24"/>
          <w:szCs w:val="24"/>
        </w:rPr>
      </w:pPr>
      <w:bookmarkStart w:id="19" w:name="_Toc135693423"/>
      <w:r w:rsidRPr="00A75385">
        <w:rPr>
          <w:rFonts w:ascii="Times New Roman" w:hAnsi="Times New Roman" w:cs="Times New Roman"/>
          <w:b/>
          <w:bCs/>
          <w:i w:val="0"/>
          <w:iCs w:val="0"/>
          <w:color w:val="auto"/>
          <w:sz w:val="24"/>
          <w:szCs w:val="24"/>
        </w:rPr>
        <w:t xml:space="preserve">Figure 1: Structural Equation </w:t>
      </w:r>
      <w:bookmarkEnd w:id="19"/>
      <w:r w:rsidRPr="00A75385">
        <w:rPr>
          <w:rFonts w:ascii="Times New Roman" w:hAnsi="Times New Roman" w:cs="Times New Roman"/>
          <w:b/>
          <w:bCs/>
          <w:i w:val="0"/>
          <w:iCs w:val="0"/>
          <w:color w:val="auto"/>
          <w:sz w:val="24"/>
          <w:szCs w:val="24"/>
        </w:rPr>
        <w:t>Modeling</w:t>
      </w:r>
    </w:p>
    <w:p w14:paraId="2EE938EB" w14:textId="77777777" w:rsidR="0090045B" w:rsidRPr="00A75385" w:rsidRDefault="0090045B" w:rsidP="00A75385">
      <w:pPr>
        <w:spacing w:line="360" w:lineRule="auto"/>
        <w:jc w:val="center"/>
        <w:rPr>
          <w:rFonts w:ascii="Times New Roman" w:hAnsi="Times New Roman" w:cs="Times New Roman"/>
          <w:b/>
          <w:sz w:val="24"/>
          <w:szCs w:val="24"/>
          <w:u w:val="single"/>
        </w:rPr>
      </w:pPr>
    </w:p>
    <w:sectPr w:rsidR="0090045B" w:rsidRPr="00A75385" w:rsidSect="006F34F1">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C4AE2" w14:textId="77777777" w:rsidR="008B4140" w:rsidRDefault="008B4140" w:rsidP="006F34F1">
      <w:pPr>
        <w:spacing w:after="0" w:line="240" w:lineRule="auto"/>
      </w:pPr>
      <w:r>
        <w:separator/>
      </w:r>
    </w:p>
  </w:endnote>
  <w:endnote w:type="continuationSeparator" w:id="0">
    <w:p w14:paraId="4EEFB81F" w14:textId="77777777" w:rsidR="008B4140" w:rsidRDefault="008B4140" w:rsidP="006F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2713225"/>
      <w:docPartObj>
        <w:docPartGallery w:val="Page Numbers (Bottom of Page)"/>
        <w:docPartUnique/>
      </w:docPartObj>
    </w:sdtPr>
    <w:sdtEndPr>
      <w:rPr>
        <w:noProof/>
      </w:rPr>
    </w:sdtEndPr>
    <w:sdtContent>
      <w:p w14:paraId="62E0CE0B" w14:textId="4F67DA34" w:rsidR="006F34F1" w:rsidRDefault="006F34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8C8808" w14:textId="77777777" w:rsidR="006F34F1" w:rsidRDefault="006F3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98C67" w14:textId="77777777" w:rsidR="008B4140" w:rsidRDefault="008B4140" w:rsidP="006F34F1">
      <w:pPr>
        <w:spacing w:after="0" w:line="240" w:lineRule="auto"/>
      </w:pPr>
      <w:r>
        <w:separator/>
      </w:r>
    </w:p>
  </w:footnote>
  <w:footnote w:type="continuationSeparator" w:id="0">
    <w:p w14:paraId="3918BC07" w14:textId="77777777" w:rsidR="008B4140" w:rsidRDefault="008B4140" w:rsidP="006F3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1B19"/>
    <w:multiLevelType w:val="multilevel"/>
    <w:tmpl w:val="9092C700"/>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B6346C"/>
    <w:multiLevelType w:val="multilevel"/>
    <w:tmpl w:val="F3DE1778"/>
    <w:lvl w:ilvl="0">
      <w:start w:val="1"/>
      <w:numFmt w:val="decimal"/>
      <w:lvlText w:val="%1."/>
      <w:lvlJc w:val="left"/>
      <w:pPr>
        <w:ind w:left="630" w:hanging="360"/>
      </w:pPr>
      <w:rPr>
        <w:rFonts w:hint="default"/>
        <w:color w:val="auto"/>
      </w:rPr>
    </w:lvl>
    <w:lvl w:ilvl="1">
      <w:start w:val="2"/>
      <w:numFmt w:val="decimal"/>
      <w:isLgl/>
      <w:lvlText w:val="%1.%2."/>
      <w:lvlJc w:val="left"/>
      <w:pPr>
        <w:ind w:left="810" w:hanging="540"/>
      </w:pPr>
      <w:rPr>
        <w:rFonts w:hint="default"/>
      </w:rPr>
    </w:lvl>
    <w:lvl w:ilvl="2">
      <w:start w:val="2"/>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2" w15:restartNumberingAfterBreak="0">
    <w:nsid w:val="07504409"/>
    <w:multiLevelType w:val="multilevel"/>
    <w:tmpl w:val="A6D82E24"/>
    <w:lvl w:ilvl="0">
      <w:start w:val="4"/>
      <w:numFmt w:val="decimal"/>
      <w:lvlText w:val="%1."/>
      <w:lvlJc w:val="left"/>
      <w:pPr>
        <w:ind w:left="540" w:hanging="540"/>
      </w:pPr>
      <w:rPr>
        <w:rFonts w:hint="default"/>
      </w:rPr>
    </w:lvl>
    <w:lvl w:ilvl="1">
      <w:start w:val="1"/>
      <w:numFmt w:val="decimal"/>
      <w:lvlText w:val="%1.%2."/>
      <w:lvlJc w:val="left"/>
      <w:pPr>
        <w:ind w:left="607" w:hanging="54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2336" w:hanging="1800"/>
      </w:pPr>
      <w:rPr>
        <w:rFonts w:hint="default"/>
      </w:rPr>
    </w:lvl>
  </w:abstractNum>
  <w:abstractNum w:abstractNumId="3" w15:restartNumberingAfterBreak="0">
    <w:nsid w:val="16EB5F79"/>
    <w:multiLevelType w:val="hybridMultilevel"/>
    <w:tmpl w:val="AEF0D6A4"/>
    <w:lvl w:ilvl="0" w:tplc="9E20A710">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D0D18"/>
    <w:multiLevelType w:val="multilevel"/>
    <w:tmpl w:val="14FC62C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1D93055"/>
    <w:multiLevelType w:val="hybridMultilevel"/>
    <w:tmpl w:val="E46ED9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52919"/>
    <w:multiLevelType w:val="multilevel"/>
    <w:tmpl w:val="CA9EA7E8"/>
    <w:lvl w:ilvl="0">
      <w:start w:val="4"/>
      <w:numFmt w:val="decimal"/>
      <w:lvlText w:val="%1."/>
      <w:lvlJc w:val="left"/>
      <w:pPr>
        <w:ind w:left="540" w:hanging="540"/>
      </w:pPr>
      <w:rPr>
        <w:rFonts w:hint="default"/>
      </w:rPr>
    </w:lvl>
    <w:lvl w:ilvl="1">
      <w:start w:val="1"/>
      <w:numFmt w:val="decimal"/>
      <w:lvlText w:val="%1.%2."/>
      <w:lvlJc w:val="left"/>
      <w:pPr>
        <w:ind w:left="675" w:hanging="54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7" w15:restartNumberingAfterBreak="0">
    <w:nsid w:val="275C280D"/>
    <w:multiLevelType w:val="multilevel"/>
    <w:tmpl w:val="33689A4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8EC254C"/>
    <w:multiLevelType w:val="hybridMultilevel"/>
    <w:tmpl w:val="1A8A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AA68A0"/>
    <w:multiLevelType w:val="multilevel"/>
    <w:tmpl w:val="92FEA1B0"/>
    <w:lvl w:ilvl="0">
      <w:start w:val="1"/>
      <w:numFmt w:val="decimal"/>
      <w:lvlText w:val="%1."/>
      <w:lvlJc w:val="left"/>
      <w:pPr>
        <w:ind w:left="720" w:hanging="360"/>
      </w:pPr>
      <w:rPr>
        <w:rFonts w:ascii="Times New Roman" w:hAnsi="Times New Roman" w:cs="Times New Roman" w:hint="default"/>
        <w:color w:val="333333"/>
        <w:sz w:val="24"/>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6DD0E08"/>
    <w:multiLevelType w:val="hybridMultilevel"/>
    <w:tmpl w:val="999ECC8A"/>
    <w:lvl w:ilvl="0" w:tplc="0FE4EB82">
      <w:start w:val="1"/>
      <w:numFmt w:val="decimal"/>
      <w:lvlText w:val="%1."/>
      <w:lvlJc w:val="left"/>
      <w:pPr>
        <w:ind w:left="720" w:hanging="360"/>
      </w:pPr>
      <w:rPr>
        <w:rFonts w:ascii="Segoe UI" w:eastAsia="Times New Roman" w:hAnsi="Segoe UI" w:cs="Segoe UI" w:hint="default"/>
        <w:color w:val="37415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CF3CEB"/>
    <w:multiLevelType w:val="multilevel"/>
    <w:tmpl w:val="D79287C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BCE210D"/>
    <w:multiLevelType w:val="hybridMultilevel"/>
    <w:tmpl w:val="4088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DC785E"/>
    <w:multiLevelType w:val="multilevel"/>
    <w:tmpl w:val="CA9EA7E8"/>
    <w:lvl w:ilvl="0">
      <w:start w:val="4"/>
      <w:numFmt w:val="decimal"/>
      <w:lvlText w:val="%1."/>
      <w:lvlJc w:val="left"/>
      <w:pPr>
        <w:ind w:left="540" w:hanging="540"/>
      </w:pPr>
      <w:rPr>
        <w:rFonts w:hint="default"/>
      </w:rPr>
    </w:lvl>
    <w:lvl w:ilvl="1">
      <w:start w:val="1"/>
      <w:numFmt w:val="decimal"/>
      <w:lvlText w:val="%1.%2."/>
      <w:lvlJc w:val="left"/>
      <w:pPr>
        <w:ind w:left="675" w:hanging="54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4" w15:restartNumberingAfterBreak="0">
    <w:nsid w:val="4BF40A69"/>
    <w:multiLevelType w:val="hybridMultilevel"/>
    <w:tmpl w:val="39641BE0"/>
    <w:lvl w:ilvl="0" w:tplc="55DE79A2">
      <w:start w:val="1"/>
      <w:numFmt w:val="bullet"/>
      <w:lvlText w:val=""/>
      <w:lvlJc w:val="righ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1916AC"/>
    <w:multiLevelType w:val="multilevel"/>
    <w:tmpl w:val="CA9EA7E8"/>
    <w:lvl w:ilvl="0">
      <w:start w:val="4"/>
      <w:numFmt w:val="decimal"/>
      <w:lvlText w:val="%1."/>
      <w:lvlJc w:val="left"/>
      <w:pPr>
        <w:ind w:left="540" w:hanging="540"/>
      </w:pPr>
      <w:rPr>
        <w:rFonts w:hint="default"/>
      </w:rPr>
    </w:lvl>
    <w:lvl w:ilvl="1">
      <w:start w:val="1"/>
      <w:numFmt w:val="decimal"/>
      <w:lvlText w:val="%1.%2."/>
      <w:lvlJc w:val="left"/>
      <w:pPr>
        <w:ind w:left="675" w:hanging="54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6" w15:restartNumberingAfterBreak="0">
    <w:nsid w:val="545D29FB"/>
    <w:multiLevelType w:val="hybridMultilevel"/>
    <w:tmpl w:val="E5F23B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7220E"/>
    <w:multiLevelType w:val="hybridMultilevel"/>
    <w:tmpl w:val="D66EF8D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C4A4EAA"/>
    <w:multiLevelType w:val="hybridMultilevel"/>
    <w:tmpl w:val="36A83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6930C7"/>
    <w:multiLevelType w:val="hybridMultilevel"/>
    <w:tmpl w:val="E3466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615136"/>
    <w:multiLevelType w:val="hybridMultilevel"/>
    <w:tmpl w:val="8A0A4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E15D6"/>
    <w:multiLevelType w:val="hybridMultilevel"/>
    <w:tmpl w:val="0542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8D4D2B"/>
    <w:multiLevelType w:val="hybridMultilevel"/>
    <w:tmpl w:val="5554D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27606C"/>
    <w:multiLevelType w:val="hybridMultilevel"/>
    <w:tmpl w:val="FC5AA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B57E5"/>
    <w:multiLevelType w:val="hybridMultilevel"/>
    <w:tmpl w:val="AC48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74EEF"/>
    <w:multiLevelType w:val="hybridMultilevel"/>
    <w:tmpl w:val="2968D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9B3063"/>
    <w:multiLevelType w:val="hybridMultilevel"/>
    <w:tmpl w:val="E8B61C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3C42BF"/>
    <w:multiLevelType w:val="multilevel"/>
    <w:tmpl w:val="CAA0EEE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9544E23"/>
    <w:multiLevelType w:val="multilevel"/>
    <w:tmpl w:val="B778F6DC"/>
    <w:lvl w:ilvl="0">
      <w:start w:val="1"/>
      <w:numFmt w:val="decimal"/>
      <w:lvlText w:val="%1."/>
      <w:lvlJc w:val="left"/>
      <w:pPr>
        <w:ind w:left="630" w:hanging="360"/>
      </w:pPr>
      <w:rPr>
        <w:rFonts w:hint="default"/>
      </w:rPr>
    </w:lvl>
    <w:lvl w:ilvl="1">
      <w:start w:val="2"/>
      <w:numFmt w:val="decimal"/>
      <w:isLgl/>
      <w:lvlText w:val="%1.%2."/>
      <w:lvlJc w:val="left"/>
      <w:pPr>
        <w:ind w:left="774" w:hanging="504"/>
      </w:pPr>
      <w:rPr>
        <w:rFonts w:hint="default"/>
      </w:rPr>
    </w:lvl>
    <w:lvl w:ilvl="2">
      <w:start w:val="3"/>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29" w15:restartNumberingAfterBreak="0">
    <w:nsid w:val="79563291"/>
    <w:multiLevelType w:val="hybridMultilevel"/>
    <w:tmpl w:val="26CCD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3465327">
    <w:abstractNumId w:val="4"/>
  </w:num>
  <w:num w:numId="2" w16cid:durableId="1454709355">
    <w:abstractNumId w:val="0"/>
  </w:num>
  <w:num w:numId="3" w16cid:durableId="597910633">
    <w:abstractNumId w:val="7"/>
  </w:num>
  <w:num w:numId="4" w16cid:durableId="1599674622">
    <w:abstractNumId w:val="26"/>
  </w:num>
  <w:num w:numId="5" w16cid:durableId="2115205287">
    <w:abstractNumId w:val="10"/>
  </w:num>
  <w:num w:numId="6" w16cid:durableId="1902789707">
    <w:abstractNumId w:val="21"/>
  </w:num>
  <w:num w:numId="7" w16cid:durableId="948706991">
    <w:abstractNumId w:val="25"/>
  </w:num>
  <w:num w:numId="8" w16cid:durableId="1337925334">
    <w:abstractNumId w:val="12"/>
  </w:num>
  <w:num w:numId="9" w16cid:durableId="1531185280">
    <w:abstractNumId w:val="5"/>
  </w:num>
  <w:num w:numId="10" w16cid:durableId="1891501960">
    <w:abstractNumId w:val="19"/>
  </w:num>
  <w:num w:numId="11" w16cid:durableId="598804522">
    <w:abstractNumId w:val="3"/>
  </w:num>
  <w:num w:numId="12" w16cid:durableId="99029988">
    <w:abstractNumId w:val="9"/>
  </w:num>
  <w:num w:numId="13" w16cid:durableId="698817114">
    <w:abstractNumId w:val="1"/>
  </w:num>
  <w:num w:numId="14" w16cid:durableId="1044867389">
    <w:abstractNumId w:val="16"/>
  </w:num>
  <w:num w:numId="15" w16cid:durableId="578758161">
    <w:abstractNumId w:val="6"/>
  </w:num>
  <w:num w:numId="16" w16cid:durableId="259528535">
    <w:abstractNumId w:val="2"/>
  </w:num>
  <w:num w:numId="17" w16cid:durableId="1332877479">
    <w:abstractNumId w:val="15"/>
  </w:num>
  <w:num w:numId="18" w16cid:durableId="605231725">
    <w:abstractNumId w:val="13"/>
  </w:num>
  <w:num w:numId="19" w16cid:durableId="376899692">
    <w:abstractNumId w:val="27"/>
  </w:num>
  <w:num w:numId="20" w16cid:durableId="1963227196">
    <w:abstractNumId w:val="20"/>
  </w:num>
  <w:num w:numId="21" w16cid:durableId="992026348">
    <w:abstractNumId w:val="18"/>
  </w:num>
  <w:num w:numId="22" w16cid:durableId="2068455215">
    <w:abstractNumId w:val="11"/>
  </w:num>
  <w:num w:numId="23" w16cid:durableId="184752653">
    <w:abstractNumId w:val="24"/>
  </w:num>
  <w:num w:numId="24" w16cid:durableId="552546487">
    <w:abstractNumId w:val="29"/>
  </w:num>
  <w:num w:numId="25" w16cid:durableId="569118499">
    <w:abstractNumId w:val="23"/>
  </w:num>
  <w:num w:numId="26" w16cid:durableId="11415809">
    <w:abstractNumId w:val="28"/>
  </w:num>
  <w:num w:numId="27" w16cid:durableId="303389077">
    <w:abstractNumId w:val="17"/>
  </w:num>
  <w:num w:numId="28" w16cid:durableId="38433692">
    <w:abstractNumId w:val="14"/>
  </w:num>
  <w:num w:numId="29" w16cid:durableId="1915316259">
    <w:abstractNumId w:val="22"/>
  </w:num>
  <w:num w:numId="30" w16cid:durableId="20191142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761"/>
    <w:rsid w:val="00021B15"/>
    <w:rsid w:val="000264CE"/>
    <w:rsid w:val="00071344"/>
    <w:rsid w:val="00094C51"/>
    <w:rsid w:val="000B12BD"/>
    <w:rsid w:val="000C1E5A"/>
    <w:rsid w:val="000D3D74"/>
    <w:rsid w:val="00117B8C"/>
    <w:rsid w:val="00131940"/>
    <w:rsid w:val="00136197"/>
    <w:rsid w:val="00160729"/>
    <w:rsid w:val="002159F1"/>
    <w:rsid w:val="00232BAD"/>
    <w:rsid w:val="00246701"/>
    <w:rsid w:val="002C2185"/>
    <w:rsid w:val="002F38DE"/>
    <w:rsid w:val="0031556E"/>
    <w:rsid w:val="00322CAD"/>
    <w:rsid w:val="00324CEB"/>
    <w:rsid w:val="00325330"/>
    <w:rsid w:val="003344C1"/>
    <w:rsid w:val="00350631"/>
    <w:rsid w:val="00355FBB"/>
    <w:rsid w:val="00366BA8"/>
    <w:rsid w:val="00382539"/>
    <w:rsid w:val="003D757C"/>
    <w:rsid w:val="00402B28"/>
    <w:rsid w:val="00457955"/>
    <w:rsid w:val="004671D7"/>
    <w:rsid w:val="004831E6"/>
    <w:rsid w:val="00487E5C"/>
    <w:rsid w:val="004A6049"/>
    <w:rsid w:val="004B61C5"/>
    <w:rsid w:val="004D3316"/>
    <w:rsid w:val="00526276"/>
    <w:rsid w:val="005353E7"/>
    <w:rsid w:val="00544DEC"/>
    <w:rsid w:val="005B1DDD"/>
    <w:rsid w:val="005E185C"/>
    <w:rsid w:val="006116EE"/>
    <w:rsid w:val="006505CF"/>
    <w:rsid w:val="00650E59"/>
    <w:rsid w:val="006E009B"/>
    <w:rsid w:val="006E4FED"/>
    <w:rsid w:val="006F34F1"/>
    <w:rsid w:val="00740B47"/>
    <w:rsid w:val="00804500"/>
    <w:rsid w:val="0084082D"/>
    <w:rsid w:val="00844940"/>
    <w:rsid w:val="008B4140"/>
    <w:rsid w:val="0090045B"/>
    <w:rsid w:val="009D5723"/>
    <w:rsid w:val="00A011B7"/>
    <w:rsid w:val="00A02951"/>
    <w:rsid w:val="00A31538"/>
    <w:rsid w:val="00A339FA"/>
    <w:rsid w:val="00A75385"/>
    <w:rsid w:val="00AF390E"/>
    <w:rsid w:val="00B05440"/>
    <w:rsid w:val="00BB129D"/>
    <w:rsid w:val="00BC54A8"/>
    <w:rsid w:val="00BE36F2"/>
    <w:rsid w:val="00BE3761"/>
    <w:rsid w:val="00C620F2"/>
    <w:rsid w:val="00CC3EAA"/>
    <w:rsid w:val="00CE5B7C"/>
    <w:rsid w:val="00CF5558"/>
    <w:rsid w:val="00D24227"/>
    <w:rsid w:val="00DB27AF"/>
    <w:rsid w:val="00E12370"/>
    <w:rsid w:val="00E27E83"/>
    <w:rsid w:val="00E72614"/>
    <w:rsid w:val="00E91A9E"/>
    <w:rsid w:val="00E9360C"/>
    <w:rsid w:val="00EA6294"/>
    <w:rsid w:val="00ED726A"/>
    <w:rsid w:val="00F468E8"/>
    <w:rsid w:val="00F908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2B09"/>
  <w15:docId w15:val="{40B00B33-A8CE-4C34-8283-AB9768E8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DEC"/>
    <w:pPr>
      <w:spacing w:after="160" w:line="259" w:lineRule="auto"/>
    </w:pPr>
  </w:style>
  <w:style w:type="paragraph" w:styleId="Heading1">
    <w:name w:val="heading 1"/>
    <w:basedOn w:val="Normal"/>
    <w:next w:val="Normal"/>
    <w:link w:val="Heading1Char"/>
    <w:uiPriority w:val="9"/>
    <w:qFormat/>
    <w:rsid w:val="00487E5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87E5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825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8253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487E5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87E5C"/>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87E5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tfootnotemarks">
    <w:name w:val="gt_footnote_marks"/>
    <w:basedOn w:val="DefaultParagraphFont"/>
    <w:rsid w:val="00544DEC"/>
  </w:style>
  <w:style w:type="character" w:customStyle="1" w:styleId="Heading3Char">
    <w:name w:val="Heading 3 Char"/>
    <w:basedOn w:val="DefaultParagraphFont"/>
    <w:link w:val="Heading3"/>
    <w:uiPriority w:val="9"/>
    <w:rsid w:val="0038253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82539"/>
    <w:rPr>
      <w:rFonts w:asciiTheme="majorHAnsi" w:eastAsiaTheme="majorEastAsia" w:hAnsiTheme="majorHAnsi" w:cstheme="majorBidi"/>
      <w:i/>
      <w:iCs/>
      <w:color w:val="365F91" w:themeColor="accent1" w:themeShade="BF"/>
    </w:rPr>
  </w:style>
  <w:style w:type="paragraph" w:styleId="NoSpacing">
    <w:name w:val="No Spacing"/>
    <w:uiPriority w:val="1"/>
    <w:qFormat/>
    <w:rsid w:val="00382539"/>
    <w:pPr>
      <w:spacing w:after="0" w:line="240" w:lineRule="auto"/>
    </w:pPr>
  </w:style>
  <w:style w:type="paragraph" w:styleId="BalloonText">
    <w:name w:val="Balloon Text"/>
    <w:basedOn w:val="Normal"/>
    <w:link w:val="BalloonTextChar"/>
    <w:uiPriority w:val="99"/>
    <w:semiHidden/>
    <w:unhideWhenUsed/>
    <w:rsid w:val="0038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539"/>
    <w:rPr>
      <w:rFonts w:ascii="Tahoma" w:hAnsi="Tahoma" w:cs="Tahoma"/>
      <w:sz w:val="16"/>
      <w:szCs w:val="16"/>
    </w:rPr>
  </w:style>
  <w:style w:type="paragraph" w:styleId="ListParagraph">
    <w:name w:val="List Paragraph"/>
    <w:basedOn w:val="Normal"/>
    <w:uiPriority w:val="34"/>
    <w:qFormat/>
    <w:rsid w:val="00382539"/>
    <w:pPr>
      <w:ind w:left="720"/>
      <w:contextualSpacing/>
    </w:pPr>
  </w:style>
  <w:style w:type="character" w:customStyle="1" w:styleId="Heading1Char">
    <w:name w:val="Heading 1 Char"/>
    <w:basedOn w:val="DefaultParagraphFont"/>
    <w:link w:val="Heading1"/>
    <w:uiPriority w:val="9"/>
    <w:rsid w:val="00487E5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87E5C"/>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rsid w:val="00487E5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87E5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87E5C"/>
    <w:rPr>
      <w:rFonts w:asciiTheme="majorHAnsi" w:eastAsiaTheme="majorEastAsia" w:hAnsiTheme="majorHAnsi" w:cstheme="majorBidi"/>
      <w:i/>
      <w:iCs/>
      <w:color w:val="243F60" w:themeColor="accent1" w:themeShade="7F"/>
    </w:rPr>
  </w:style>
  <w:style w:type="table" w:styleId="TableGrid">
    <w:name w:val="Table Grid"/>
    <w:basedOn w:val="TableNormal"/>
    <w:uiPriority w:val="39"/>
    <w:rsid w:val="00487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87E5C"/>
    <w:rPr>
      <w:b/>
      <w:bCs/>
    </w:rPr>
  </w:style>
  <w:style w:type="table" w:customStyle="1" w:styleId="PlainTable11">
    <w:name w:val="Plain Table 11"/>
    <w:basedOn w:val="TableNormal"/>
    <w:uiPriority w:val="41"/>
    <w:rsid w:val="00487E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87E5C"/>
    <w:pPr>
      <w:spacing w:after="200" w:line="240" w:lineRule="auto"/>
    </w:pPr>
    <w:rPr>
      <w:i/>
      <w:iCs/>
      <w:color w:val="1F497D" w:themeColor="text2"/>
      <w:sz w:val="18"/>
      <w:szCs w:val="18"/>
    </w:rPr>
  </w:style>
  <w:style w:type="character" w:styleId="Hyperlink">
    <w:name w:val="Hyperlink"/>
    <w:basedOn w:val="DefaultParagraphFont"/>
    <w:uiPriority w:val="99"/>
    <w:unhideWhenUsed/>
    <w:rsid w:val="00487E5C"/>
    <w:rPr>
      <w:color w:val="0000FF" w:themeColor="hyperlink"/>
      <w:u w:val="single"/>
    </w:rPr>
  </w:style>
  <w:style w:type="character" w:customStyle="1" w:styleId="UnresolvedMention1">
    <w:name w:val="Unresolved Mention1"/>
    <w:basedOn w:val="DefaultParagraphFont"/>
    <w:uiPriority w:val="99"/>
    <w:semiHidden/>
    <w:unhideWhenUsed/>
    <w:rsid w:val="00487E5C"/>
    <w:rPr>
      <w:color w:val="605E5C"/>
      <w:shd w:val="clear" w:color="auto" w:fill="E1DFDD"/>
    </w:rPr>
  </w:style>
  <w:style w:type="paragraph" w:styleId="TOCHeading">
    <w:name w:val="TOC Heading"/>
    <w:basedOn w:val="Heading1"/>
    <w:next w:val="Normal"/>
    <w:uiPriority w:val="39"/>
    <w:unhideWhenUsed/>
    <w:qFormat/>
    <w:rsid w:val="00487E5C"/>
    <w:pPr>
      <w:outlineLvl w:val="9"/>
    </w:pPr>
  </w:style>
  <w:style w:type="paragraph" w:styleId="TOC2">
    <w:name w:val="toc 2"/>
    <w:basedOn w:val="Normal"/>
    <w:next w:val="Normal"/>
    <w:autoRedefine/>
    <w:uiPriority w:val="39"/>
    <w:unhideWhenUsed/>
    <w:rsid w:val="00487E5C"/>
    <w:pPr>
      <w:spacing w:after="100"/>
      <w:ind w:left="220"/>
    </w:pPr>
    <w:rPr>
      <w:rFonts w:eastAsiaTheme="minorEastAsia" w:cs="Times New Roman"/>
    </w:rPr>
  </w:style>
  <w:style w:type="paragraph" w:styleId="TOC1">
    <w:name w:val="toc 1"/>
    <w:basedOn w:val="Normal"/>
    <w:next w:val="Normal"/>
    <w:autoRedefine/>
    <w:uiPriority w:val="39"/>
    <w:unhideWhenUsed/>
    <w:rsid w:val="00487E5C"/>
    <w:pPr>
      <w:spacing w:after="100"/>
    </w:pPr>
    <w:rPr>
      <w:rFonts w:eastAsiaTheme="minorEastAsia" w:cs="Times New Roman"/>
    </w:rPr>
  </w:style>
  <w:style w:type="paragraph" w:styleId="TOC3">
    <w:name w:val="toc 3"/>
    <w:basedOn w:val="Normal"/>
    <w:next w:val="Normal"/>
    <w:autoRedefine/>
    <w:uiPriority w:val="39"/>
    <w:unhideWhenUsed/>
    <w:rsid w:val="00487E5C"/>
    <w:pPr>
      <w:spacing w:after="100"/>
      <w:ind w:left="440"/>
    </w:pPr>
    <w:rPr>
      <w:rFonts w:eastAsiaTheme="minorEastAsia" w:cs="Times New Roman"/>
    </w:rPr>
  </w:style>
  <w:style w:type="paragraph" w:styleId="Header">
    <w:name w:val="header"/>
    <w:basedOn w:val="Normal"/>
    <w:link w:val="HeaderChar"/>
    <w:uiPriority w:val="99"/>
    <w:unhideWhenUsed/>
    <w:rsid w:val="00487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E5C"/>
  </w:style>
  <w:style w:type="paragraph" w:styleId="Footer">
    <w:name w:val="footer"/>
    <w:basedOn w:val="Normal"/>
    <w:link w:val="FooterChar"/>
    <w:uiPriority w:val="99"/>
    <w:unhideWhenUsed/>
    <w:rsid w:val="00487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E5C"/>
  </w:style>
  <w:style w:type="paragraph" w:styleId="NormalWeb">
    <w:name w:val="Normal (Web)"/>
    <w:basedOn w:val="Normal"/>
    <w:uiPriority w:val="99"/>
    <w:semiHidden/>
    <w:unhideWhenUsed/>
    <w:rsid w:val="00487E5C"/>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487E5C"/>
    <w:pPr>
      <w:spacing w:after="0"/>
    </w:pPr>
  </w:style>
  <w:style w:type="paragraph" w:customStyle="1" w:styleId="msonormal0">
    <w:name w:val="msonormal"/>
    <w:basedOn w:val="Normal"/>
    <w:rsid w:val="00487E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87E5C"/>
  </w:style>
  <w:style w:type="table" w:customStyle="1" w:styleId="PlainTable21">
    <w:name w:val="Plain Table 21"/>
    <w:basedOn w:val="TableNormal"/>
    <w:uiPriority w:val="42"/>
    <w:rsid w:val="00487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6F3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97634">
      <w:bodyDiv w:val="1"/>
      <w:marLeft w:val="0"/>
      <w:marRight w:val="0"/>
      <w:marTop w:val="0"/>
      <w:marBottom w:val="0"/>
      <w:divBdr>
        <w:top w:val="none" w:sz="0" w:space="0" w:color="auto"/>
        <w:left w:val="none" w:sz="0" w:space="0" w:color="auto"/>
        <w:bottom w:val="none" w:sz="0" w:space="0" w:color="auto"/>
        <w:right w:val="none" w:sz="0" w:space="0" w:color="auto"/>
      </w:divBdr>
    </w:div>
    <w:div w:id="162793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ripon@hsph.harvard.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C8836-86C8-4F60-82DF-A5B654206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29</Pages>
  <Words>23377</Words>
  <Characters>133253</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Nayeem Hasan</cp:lastModifiedBy>
  <cp:revision>12</cp:revision>
  <dcterms:created xsi:type="dcterms:W3CDTF">2023-06-10T09:55:00Z</dcterms:created>
  <dcterms:modified xsi:type="dcterms:W3CDTF">2023-08-16T19:36:00Z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bd0a8e5c-6001-3f8e-87c2-d8bdaf612d8b</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f9441333d3ad9223f9a82bc74356378edaca74d52e36e808c5d26362e1ba3418</vt:lpwstr>
  </property>
</Properties>
</file>