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9AAE" w14:textId="2C4D6819" w:rsidR="005764A3" w:rsidRPr="00674790" w:rsidRDefault="005764A3" w:rsidP="00674790">
      <w:pPr>
        <w:widowControl w:val="0"/>
        <w:autoSpaceDE w:val="0"/>
        <w:autoSpaceDN w:val="0"/>
        <w:adjustRightInd w:val="0"/>
        <w:spacing w:after="0" w:line="480" w:lineRule="auto"/>
        <w:jc w:val="both"/>
        <w:rPr>
          <w:rFonts w:ascii="Times New Roman" w:hAnsi="Times New Roman" w:cs="Times New Roman"/>
          <w:b/>
          <w:color w:val="000000"/>
          <w:sz w:val="24"/>
          <w:szCs w:val="24"/>
        </w:rPr>
      </w:pPr>
      <w:r w:rsidRPr="00674790">
        <w:rPr>
          <w:rFonts w:ascii="Times New Roman" w:hAnsi="Times New Roman" w:cs="Times New Roman"/>
          <w:color w:val="000000"/>
          <w:sz w:val="24"/>
          <w:szCs w:val="24"/>
        </w:rPr>
        <w:t>Researcher</w:t>
      </w:r>
    </w:p>
    <w:p w14:paraId="4EFBC8B9" w14:textId="77777777" w:rsidR="009D5F59" w:rsidRPr="00674790" w:rsidRDefault="009D5F59" w:rsidP="00674790">
      <w:pPr>
        <w:spacing w:after="0" w:line="480" w:lineRule="auto"/>
        <w:jc w:val="both"/>
        <w:rPr>
          <w:rFonts w:ascii="Times New Roman" w:hAnsi="Times New Roman" w:cs="Times New Roman"/>
          <w:b/>
          <w:sz w:val="24"/>
          <w:szCs w:val="24"/>
        </w:rPr>
      </w:pPr>
    </w:p>
    <w:p w14:paraId="2C502DEF" w14:textId="0AC8FF93" w:rsidR="00064589" w:rsidRPr="00674790" w:rsidRDefault="00F9437A" w:rsidP="00674790">
      <w:pPr>
        <w:tabs>
          <w:tab w:val="left" w:pos="270"/>
          <w:tab w:val="left" w:pos="630"/>
        </w:tabs>
        <w:spacing w:after="0" w:line="480" w:lineRule="auto"/>
        <w:ind w:left="1152" w:hanging="1152"/>
        <w:jc w:val="both"/>
        <w:rPr>
          <w:rFonts w:ascii="Times New Roman" w:hAnsi="Times New Roman" w:cs="Times New Roman"/>
          <w:b/>
          <w:sz w:val="24"/>
          <w:szCs w:val="24"/>
        </w:rPr>
      </w:pPr>
      <w:r w:rsidRPr="00674790">
        <w:rPr>
          <w:rFonts w:ascii="Times New Roman" w:hAnsi="Times New Roman" w:cs="Times New Roman"/>
          <w:b/>
          <w:sz w:val="24"/>
          <w:szCs w:val="24"/>
        </w:rPr>
        <w:t>1. T</w:t>
      </w:r>
      <w:r w:rsidR="006B061D" w:rsidRPr="00674790">
        <w:rPr>
          <w:rFonts w:ascii="Times New Roman" w:hAnsi="Times New Roman" w:cs="Times New Roman"/>
          <w:b/>
          <w:sz w:val="24"/>
          <w:szCs w:val="24"/>
        </w:rPr>
        <w:t>itle of the study:</w:t>
      </w:r>
      <w:r w:rsidR="006B061D" w:rsidRPr="00674790">
        <w:rPr>
          <w:rFonts w:ascii="Times New Roman" w:hAnsi="Times New Roman" w:cs="Times New Roman"/>
          <w:sz w:val="24"/>
          <w:szCs w:val="24"/>
        </w:rPr>
        <w:t xml:space="preserve"> </w:t>
      </w:r>
      <w:r w:rsidR="006953DD" w:rsidRPr="00674790">
        <w:rPr>
          <w:rFonts w:ascii="Times New Roman" w:hAnsi="Times New Roman" w:cs="Times New Roman"/>
          <w:sz w:val="24"/>
          <w:szCs w:val="24"/>
        </w:rPr>
        <w:t>Does graphic health warning label on smokeless tobacco products cares by consumers? A study in Sylhet</w:t>
      </w:r>
      <w:r w:rsidR="006748F8" w:rsidRPr="00674790">
        <w:rPr>
          <w:rFonts w:ascii="Times New Roman" w:hAnsi="Times New Roman" w:cs="Times New Roman"/>
          <w:sz w:val="24"/>
          <w:szCs w:val="24"/>
        </w:rPr>
        <w:t>.</w:t>
      </w:r>
    </w:p>
    <w:p w14:paraId="1AFF03AA" w14:textId="77777777" w:rsidR="007B5808" w:rsidRPr="00674790" w:rsidRDefault="007B5808" w:rsidP="00674790">
      <w:pPr>
        <w:spacing w:after="0" w:line="480" w:lineRule="auto"/>
        <w:jc w:val="both"/>
        <w:rPr>
          <w:rFonts w:ascii="Times New Roman" w:hAnsi="Times New Roman" w:cs="Times New Roman"/>
          <w:sz w:val="24"/>
          <w:szCs w:val="24"/>
        </w:rPr>
      </w:pPr>
    </w:p>
    <w:p w14:paraId="443C626E" w14:textId="25A43D7D" w:rsidR="00AF7B46" w:rsidRPr="00674790" w:rsidRDefault="00AF7B46"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b/>
          <w:sz w:val="24"/>
          <w:szCs w:val="24"/>
        </w:rPr>
        <w:t>N</w:t>
      </w:r>
      <w:r w:rsidR="005764A3" w:rsidRPr="00674790">
        <w:rPr>
          <w:rFonts w:ascii="Times New Roman" w:hAnsi="Times New Roman" w:cs="Times New Roman"/>
          <w:b/>
          <w:sz w:val="24"/>
          <w:szCs w:val="24"/>
        </w:rPr>
        <w:t>ame of the applicant</w:t>
      </w:r>
      <w:r w:rsidRPr="00674790">
        <w:rPr>
          <w:rFonts w:ascii="Times New Roman" w:hAnsi="Times New Roman" w:cs="Times New Roman"/>
          <w:b/>
          <w:sz w:val="24"/>
          <w:szCs w:val="24"/>
        </w:rPr>
        <w:t>:</w:t>
      </w:r>
      <w:r w:rsidRPr="00674790">
        <w:rPr>
          <w:rFonts w:ascii="Times New Roman" w:hAnsi="Times New Roman" w:cs="Times New Roman"/>
          <w:sz w:val="24"/>
          <w:szCs w:val="24"/>
        </w:rPr>
        <w:t xml:space="preserve"> </w:t>
      </w:r>
    </w:p>
    <w:p w14:paraId="5B98EF59" w14:textId="28D79B1C" w:rsidR="00AF7B46" w:rsidRPr="00674790" w:rsidRDefault="00AF7B46" w:rsidP="00674790">
      <w:pPr>
        <w:spacing w:after="0" w:line="480" w:lineRule="auto"/>
        <w:ind w:left="1584" w:hanging="1584"/>
        <w:jc w:val="both"/>
        <w:rPr>
          <w:rFonts w:ascii="Times New Roman" w:hAnsi="Times New Roman" w:cs="Times New Roman"/>
          <w:sz w:val="24"/>
          <w:szCs w:val="24"/>
        </w:rPr>
      </w:pPr>
      <w:r w:rsidRPr="00674790">
        <w:rPr>
          <w:rFonts w:ascii="Times New Roman" w:hAnsi="Times New Roman" w:cs="Times New Roman"/>
          <w:b/>
          <w:sz w:val="24"/>
          <w:szCs w:val="24"/>
        </w:rPr>
        <w:t>O</w:t>
      </w:r>
      <w:r w:rsidR="005764A3" w:rsidRPr="00674790">
        <w:rPr>
          <w:rFonts w:ascii="Times New Roman" w:hAnsi="Times New Roman" w:cs="Times New Roman"/>
          <w:b/>
          <w:sz w:val="24"/>
          <w:szCs w:val="24"/>
        </w:rPr>
        <w:t>rganization</w:t>
      </w:r>
      <w:r w:rsidRPr="00674790">
        <w:rPr>
          <w:rFonts w:ascii="Times New Roman" w:hAnsi="Times New Roman" w:cs="Times New Roman"/>
          <w:b/>
          <w:sz w:val="24"/>
          <w:szCs w:val="24"/>
        </w:rPr>
        <w:t>:</w:t>
      </w:r>
      <w:r w:rsidRPr="00674790">
        <w:rPr>
          <w:rFonts w:ascii="Times New Roman" w:hAnsi="Times New Roman" w:cs="Times New Roman"/>
          <w:sz w:val="24"/>
          <w:szCs w:val="24"/>
        </w:rPr>
        <w:t xml:space="preserve"> </w:t>
      </w:r>
    </w:p>
    <w:p w14:paraId="15231DEC" w14:textId="77777777" w:rsidR="009F469A" w:rsidRPr="00674790" w:rsidRDefault="009F469A" w:rsidP="00674790">
      <w:pPr>
        <w:spacing w:after="0" w:line="480" w:lineRule="auto"/>
        <w:jc w:val="both"/>
        <w:rPr>
          <w:rFonts w:ascii="Times New Roman" w:hAnsi="Times New Roman" w:cs="Times New Roman"/>
          <w:sz w:val="24"/>
          <w:szCs w:val="24"/>
        </w:rPr>
      </w:pPr>
    </w:p>
    <w:p w14:paraId="7F3FB27C" w14:textId="77777777" w:rsidR="009F469A" w:rsidRPr="00674790" w:rsidRDefault="009F469A" w:rsidP="00674790">
      <w:pPr>
        <w:spacing w:after="0" w:line="480" w:lineRule="auto"/>
        <w:jc w:val="both"/>
        <w:rPr>
          <w:rFonts w:ascii="Times New Roman" w:hAnsi="Times New Roman" w:cs="Times New Roman"/>
          <w:sz w:val="24"/>
          <w:szCs w:val="24"/>
        </w:rPr>
      </w:pPr>
    </w:p>
    <w:p w14:paraId="49AF3163" w14:textId="77777777" w:rsidR="00AF7B46" w:rsidRPr="00674790" w:rsidRDefault="00AF7B46" w:rsidP="00674790">
      <w:pPr>
        <w:widowControl w:val="0"/>
        <w:autoSpaceDE w:val="0"/>
        <w:autoSpaceDN w:val="0"/>
        <w:adjustRightInd w:val="0"/>
        <w:spacing w:after="0"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C</w:t>
      </w:r>
      <w:r w:rsidR="005764A3" w:rsidRPr="00674790">
        <w:rPr>
          <w:rFonts w:ascii="Times New Roman" w:hAnsi="Times New Roman" w:cs="Times New Roman"/>
          <w:b/>
          <w:sz w:val="24"/>
          <w:szCs w:val="24"/>
        </w:rPr>
        <w:t>ontact details</w:t>
      </w:r>
      <w:r w:rsidRPr="00674790">
        <w:rPr>
          <w:rFonts w:ascii="Times New Roman" w:hAnsi="Times New Roman" w:cs="Times New Roman"/>
          <w:b/>
          <w:sz w:val="24"/>
          <w:szCs w:val="24"/>
        </w:rPr>
        <w:t>:</w:t>
      </w:r>
    </w:p>
    <w:p w14:paraId="11AAA732" w14:textId="77777777" w:rsidR="00245A20" w:rsidRPr="00674790" w:rsidRDefault="00245A20" w:rsidP="00674790">
      <w:pPr>
        <w:spacing w:after="0" w:line="480" w:lineRule="auto"/>
        <w:jc w:val="both"/>
        <w:rPr>
          <w:rFonts w:ascii="Times New Roman" w:hAnsi="Times New Roman" w:cs="Times New Roman"/>
          <w:sz w:val="24"/>
          <w:szCs w:val="24"/>
        </w:rPr>
      </w:pPr>
    </w:p>
    <w:p w14:paraId="5ADCD4EC" w14:textId="77777777" w:rsidR="00075474" w:rsidRPr="00674790" w:rsidRDefault="00075474" w:rsidP="00674790">
      <w:pPr>
        <w:spacing w:after="0" w:line="480" w:lineRule="auto"/>
        <w:jc w:val="both"/>
        <w:rPr>
          <w:rFonts w:ascii="Times New Roman" w:hAnsi="Times New Roman" w:cs="Times New Roman"/>
          <w:sz w:val="24"/>
          <w:szCs w:val="24"/>
        </w:rPr>
      </w:pPr>
    </w:p>
    <w:p w14:paraId="64E13E92" w14:textId="77777777" w:rsidR="00C91D57" w:rsidRPr="00674790" w:rsidRDefault="00C91D57" w:rsidP="00674790">
      <w:pPr>
        <w:widowControl w:val="0"/>
        <w:autoSpaceDE w:val="0"/>
        <w:autoSpaceDN w:val="0"/>
        <w:adjustRightInd w:val="0"/>
        <w:spacing w:after="0" w:line="480" w:lineRule="auto"/>
        <w:jc w:val="both"/>
        <w:rPr>
          <w:rFonts w:ascii="Times New Roman" w:hAnsi="Times New Roman" w:cs="Times New Roman"/>
          <w:color w:val="000000"/>
          <w:sz w:val="24"/>
          <w:szCs w:val="24"/>
        </w:rPr>
      </w:pPr>
      <w:r w:rsidRPr="00674790">
        <w:rPr>
          <w:rFonts w:ascii="Times New Roman" w:hAnsi="Times New Roman" w:cs="Times New Roman"/>
          <w:b/>
          <w:bCs/>
          <w:color w:val="000000"/>
          <w:sz w:val="24"/>
          <w:szCs w:val="24"/>
        </w:rPr>
        <w:t>Submitted to</w:t>
      </w:r>
      <w:r w:rsidR="00AF7B46" w:rsidRPr="00674790">
        <w:rPr>
          <w:rFonts w:ascii="Times New Roman" w:hAnsi="Times New Roman" w:cs="Times New Roman"/>
          <w:b/>
          <w:bCs/>
          <w:color w:val="000000"/>
          <w:sz w:val="24"/>
          <w:szCs w:val="24"/>
        </w:rPr>
        <w:t>:</w:t>
      </w:r>
    </w:p>
    <w:p w14:paraId="302A42E7" w14:textId="77777777" w:rsidR="00C91D57" w:rsidRPr="00674790" w:rsidRDefault="00C91D57" w:rsidP="00674790">
      <w:pPr>
        <w:widowControl w:val="0"/>
        <w:autoSpaceDE w:val="0"/>
        <w:autoSpaceDN w:val="0"/>
        <w:adjustRightInd w:val="0"/>
        <w:spacing w:after="0" w:line="480" w:lineRule="auto"/>
        <w:jc w:val="both"/>
        <w:rPr>
          <w:rFonts w:ascii="Times New Roman" w:hAnsi="Times New Roman" w:cs="Times New Roman"/>
          <w:color w:val="000000"/>
          <w:sz w:val="24"/>
          <w:szCs w:val="24"/>
        </w:rPr>
      </w:pPr>
      <w:r w:rsidRPr="00674790">
        <w:rPr>
          <w:rFonts w:ascii="Times New Roman" w:hAnsi="Times New Roman" w:cs="Times New Roman"/>
          <w:color w:val="000000"/>
          <w:sz w:val="24"/>
          <w:szCs w:val="24"/>
        </w:rPr>
        <w:t>BCCP Tobacco Control Grant Program</w:t>
      </w:r>
    </w:p>
    <w:p w14:paraId="605565EB" w14:textId="77777777" w:rsidR="00C91D57" w:rsidRPr="00674790" w:rsidRDefault="00C91D57" w:rsidP="00674790">
      <w:pPr>
        <w:widowControl w:val="0"/>
        <w:autoSpaceDE w:val="0"/>
        <w:autoSpaceDN w:val="0"/>
        <w:adjustRightInd w:val="0"/>
        <w:spacing w:after="0" w:line="480" w:lineRule="auto"/>
        <w:jc w:val="both"/>
        <w:rPr>
          <w:rFonts w:ascii="Times New Roman" w:hAnsi="Times New Roman" w:cs="Times New Roman"/>
          <w:color w:val="000000"/>
          <w:sz w:val="24"/>
          <w:szCs w:val="24"/>
        </w:rPr>
      </w:pPr>
      <w:r w:rsidRPr="00674790">
        <w:rPr>
          <w:rFonts w:ascii="Times New Roman" w:hAnsi="Times New Roman" w:cs="Times New Roman"/>
          <w:color w:val="000000"/>
          <w:sz w:val="24"/>
          <w:szCs w:val="24"/>
        </w:rPr>
        <w:t>House # 08, Road # 03, Block- A</w:t>
      </w:r>
    </w:p>
    <w:p w14:paraId="4733C595" w14:textId="77777777" w:rsidR="00C91D57" w:rsidRPr="00674790" w:rsidRDefault="00C91D57" w:rsidP="00674790">
      <w:pPr>
        <w:widowControl w:val="0"/>
        <w:autoSpaceDE w:val="0"/>
        <w:autoSpaceDN w:val="0"/>
        <w:adjustRightInd w:val="0"/>
        <w:spacing w:after="0" w:line="480" w:lineRule="auto"/>
        <w:jc w:val="both"/>
        <w:rPr>
          <w:rFonts w:ascii="Times New Roman" w:hAnsi="Times New Roman" w:cs="Times New Roman"/>
          <w:color w:val="000000"/>
          <w:sz w:val="24"/>
          <w:szCs w:val="24"/>
        </w:rPr>
      </w:pPr>
      <w:r w:rsidRPr="00674790">
        <w:rPr>
          <w:rFonts w:ascii="Times New Roman" w:hAnsi="Times New Roman" w:cs="Times New Roman"/>
          <w:color w:val="000000"/>
          <w:sz w:val="24"/>
          <w:szCs w:val="24"/>
        </w:rPr>
        <w:t>Section – 11, Mirpur, Dhaka – 1216, Bangladesh</w:t>
      </w:r>
    </w:p>
    <w:p w14:paraId="282FBD79" w14:textId="77777777" w:rsidR="00C91D57" w:rsidRPr="00674790" w:rsidRDefault="00C91D57" w:rsidP="00674790">
      <w:pPr>
        <w:widowControl w:val="0"/>
        <w:autoSpaceDE w:val="0"/>
        <w:autoSpaceDN w:val="0"/>
        <w:adjustRightInd w:val="0"/>
        <w:spacing w:after="0" w:line="480" w:lineRule="auto"/>
        <w:jc w:val="both"/>
        <w:rPr>
          <w:rFonts w:ascii="Times New Roman" w:hAnsi="Times New Roman" w:cs="Times New Roman"/>
          <w:color w:val="000000"/>
          <w:sz w:val="24"/>
          <w:szCs w:val="24"/>
        </w:rPr>
      </w:pPr>
    </w:p>
    <w:p w14:paraId="4A84845A" w14:textId="77777777" w:rsidR="00C91D57" w:rsidRPr="00674790" w:rsidRDefault="00C91D57" w:rsidP="00674790">
      <w:pPr>
        <w:widowControl w:val="0"/>
        <w:autoSpaceDE w:val="0"/>
        <w:autoSpaceDN w:val="0"/>
        <w:adjustRightInd w:val="0"/>
        <w:spacing w:after="0" w:line="480" w:lineRule="auto"/>
        <w:jc w:val="both"/>
        <w:rPr>
          <w:rFonts w:ascii="Times New Roman" w:hAnsi="Times New Roman" w:cs="Times New Roman"/>
          <w:color w:val="000000"/>
          <w:sz w:val="24"/>
          <w:szCs w:val="24"/>
        </w:rPr>
      </w:pPr>
    </w:p>
    <w:p w14:paraId="58D64FC7" w14:textId="77777777" w:rsidR="00C91D57" w:rsidRPr="00674790" w:rsidRDefault="00C91D57" w:rsidP="00674790">
      <w:pPr>
        <w:widowControl w:val="0"/>
        <w:autoSpaceDE w:val="0"/>
        <w:autoSpaceDN w:val="0"/>
        <w:adjustRightInd w:val="0"/>
        <w:spacing w:after="0" w:line="480" w:lineRule="auto"/>
        <w:jc w:val="both"/>
        <w:rPr>
          <w:rFonts w:ascii="Times New Roman" w:hAnsi="Times New Roman" w:cs="Times New Roman"/>
          <w:color w:val="000000"/>
          <w:sz w:val="24"/>
          <w:szCs w:val="24"/>
        </w:rPr>
      </w:pPr>
    </w:p>
    <w:p w14:paraId="30BF7264" w14:textId="77777777" w:rsidR="00C91D57" w:rsidRPr="00674790" w:rsidRDefault="00C91D57" w:rsidP="00674790">
      <w:pPr>
        <w:widowControl w:val="0"/>
        <w:autoSpaceDE w:val="0"/>
        <w:autoSpaceDN w:val="0"/>
        <w:adjustRightInd w:val="0"/>
        <w:spacing w:after="0" w:line="480" w:lineRule="auto"/>
        <w:jc w:val="both"/>
        <w:rPr>
          <w:rFonts w:ascii="Times New Roman" w:hAnsi="Times New Roman" w:cs="Times New Roman"/>
          <w:color w:val="000000"/>
          <w:sz w:val="24"/>
          <w:szCs w:val="24"/>
        </w:rPr>
      </w:pPr>
    </w:p>
    <w:p w14:paraId="3B942BCA" w14:textId="77777777" w:rsidR="004D6B52" w:rsidRPr="00674790" w:rsidRDefault="004D6B52" w:rsidP="00674790">
      <w:pPr>
        <w:spacing w:line="480" w:lineRule="auto"/>
        <w:jc w:val="both"/>
        <w:rPr>
          <w:rFonts w:ascii="Times New Roman" w:hAnsi="Times New Roman" w:cs="Times New Roman"/>
          <w:b/>
          <w:sz w:val="24"/>
          <w:szCs w:val="24"/>
        </w:rPr>
      </w:pPr>
      <w:r w:rsidRPr="00674790">
        <w:rPr>
          <w:rFonts w:ascii="Times New Roman" w:hAnsi="Times New Roman" w:cs="Times New Roman"/>
          <w:b/>
          <w:sz w:val="24"/>
          <w:szCs w:val="24"/>
        </w:rPr>
        <w:br w:type="page"/>
      </w:r>
    </w:p>
    <w:p w14:paraId="3E60A678" w14:textId="77777777" w:rsidR="009D5F59" w:rsidRPr="00674790" w:rsidRDefault="00BE18E7" w:rsidP="00674790">
      <w:pPr>
        <w:spacing w:after="0" w:line="480" w:lineRule="auto"/>
        <w:jc w:val="both"/>
        <w:rPr>
          <w:rFonts w:ascii="Times New Roman" w:hAnsi="Times New Roman" w:cs="Times New Roman"/>
          <w:b/>
          <w:sz w:val="24"/>
          <w:szCs w:val="24"/>
        </w:rPr>
      </w:pPr>
      <w:r w:rsidRPr="00674790">
        <w:rPr>
          <w:rFonts w:ascii="Times New Roman" w:hAnsi="Times New Roman" w:cs="Times New Roman"/>
          <w:b/>
          <w:sz w:val="24"/>
          <w:szCs w:val="24"/>
        </w:rPr>
        <w:lastRenderedPageBreak/>
        <w:t>2. Proposal abstract</w:t>
      </w:r>
      <w:r w:rsidR="00A05F46" w:rsidRPr="00674790">
        <w:rPr>
          <w:rFonts w:ascii="Times New Roman" w:hAnsi="Times New Roman" w:cs="Times New Roman"/>
          <w:b/>
          <w:sz w:val="24"/>
          <w:szCs w:val="24"/>
        </w:rPr>
        <w:t>:</w:t>
      </w:r>
    </w:p>
    <w:p w14:paraId="3C5008D7" w14:textId="77777777" w:rsidR="006748F8" w:rsidRPr="00674790" w:rsidRDefault="00A05F46"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The area of tobacco cultivation remains significantly high in Bangladesh, which is the 12th largest tobacco producer in the world.</w:t>
      </w:r>
      <w:r w:rsidR="00E65516" w:rsidRPr="00674790">
        <w:rPr>
          <w:rFonts w:ascii="Times New Roman" w:hAnsi="Times New Roman" w:cs="Times New Roman"/>
          <w:sz w:val="24"/>
          <w:szCs w:val="24"/>
        </w:rPr>
        <w:t xml:space="preserve"> </w:t>
      </w:r>
      <w:r w:rsidR="009E026D" w:rsidRPr="00674790">
        <w:rPr>
          <w:rFonts w:ascii="Times New Roman" w:hAnsi="Times New Roman" w:cs="Times New Roman"/>
          <w:sz w:val="24"/>
          <w:szCs w:val="24"/>
        </w:rPr>
        <w:t xml:space="preserve">The study finds that tobacco cultivation turns into a losing concern when the opportunity costs of unpaid family </w:t>
      </w:r>
      <w:proofErr w:type="spellStart"/>
      <w:r w:rsidR="009E026D" w:rsidRPr="00674790">
        <w:rPr>
          <w:rFonts w:ascii="Times New Roman" w:hAnsi="Times New Roman" w:cs="Times New Roman"/>
          <w:sz w:val="24"/>
          <w:szCs w:val="24"/>
        </w:rPr>
        <w:t>labour</w:t>
      </w:r>
      <w:proofErr w:type="spellEnd"/>
      <w:r w:rsidR="009E026D" w:rsidRPr="00674790">
        <w:rPr>
          <w:rFonts w:ascii="Times New Roman" w:hAnsi="Times New Roman" w:cs="Times New Roman"/>
          <w:sz w:val="24"/>
          <w:szCs w:val="24"/>
        </w:rPr>
        <w:t xml:space="preserve"> and other owned resources and the health effects of tobacco cultivation are included. Tobacco cultivation poses a significantly high environmental cost that causes a net loss to society. Nevertheless, the availability of unpaid family </w:t>
      </w:r>
      <w:proofErr w:type="spellStart"/>
      <w:r w:rsidR="009E026D" w:rsidRPr="00674790">
        <w:rPr>
          <w:rFonts w:ascii="Times New Roman" w:hAnsi="Times New Roman" w:cs="Times New Roman"/>
          <w:sz w:val="24"/>
          <w:szCs w:val="24"/>
        </w:rPr>
        <w:t>labour</w:t>
      </w:r>
      <w:proofErr w:type="spellEnd"/>
      <w:r w:rsidR="009E026D" w:rsidRPr="00674790">
        <w:rPr>
          <w:rFonts w:ascii="Times New Roman" w:hAnsi="Times New Roman" w:cs="Times New Roman"/>
          <w:sz w:val="24"/>
          <w:szCs w:val="24"/>
        </w:rPr>
        <w:t xml:space="preserve"> and the options of advanced credit as well as a buy back guarantee from the tobacco companies attract farmers to engage in and continue tobacco cultivation. </w:t>
      </w:r>
    </w:p>
    <w:p w14:paraId="1CDF2B61" w14:textId="5C01636C" w:rsidR="00A3029E" w:rsidRPr="00674790" w:rsidRDefault="00E65516"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Household survey data of tobacco farmers, based on a </w:t>
      </w:r>
      <w:r w:rsidRPr="00674790">
        <w:rPr>
          <w:rFonts w:ascii="Times New Roman" w:hAnsi="Times New Roman" w:cs="Times New Roman"/>
          <w:sz w:val="24"/>
          <w:szCs w:val="24"/>
          <w:shd w:val="clear" w:color="auto" w:fill="FCFCFC"/>
        </w:rPr>
        <w:t xml:space="preserve">two-stage cluster </w:t>
      </w:r>
      <w:r w:rsidRPr="00674790">
        <w:rPr>
          <w:rFonts w:ascii="Times New Roman" w:hAnsi="Times New Roman" w:cs="Times New Roman"/>
          <w:sz w:val="24"/>
          <w:szCs w:val="24"/>
        </w:rPr>
        <w:t xml:space="preserve">sampling design with a random sampling of households, this study </w:t>
      </w:r>
      <w:r w:rsidR="002766A9" w:rsidRPr="00674790">
        <w:rPr>
          <w:rFonts w:ascii="Times New Roman" w:hAnsi="Times New Roman" w:cs="Times New Roman"/>
          <w:sz w:val="24"/>
          <w:szCs w:val="24"/>
        </w:rPr>
        <w:t xml:space="preserve">will </w:t>
      </w:r>
      <w:r w:rsidRPr="00674790">
        <w:rPr>
          <w:rFonts w:ascii="Times New Roman" w:hAnsi="Times New Roman" w:cs="Times New Roman"/>
          <w:sz w:val="24"/>
          <w:szCs w:val="24"/>
        </w:rPr>
        <w:t>estimate the financial and</w:t>
      </w:r>
      <w:r w:rsidR="009E026D" w:rsidRPr="00674790">
        <w:rPr>
          <w:rFonts w:ascii="Times New Roman" w:hAnsi="Times New Roman" w:cs="Times New Roman"/>
          <w:sz w:val="24"/>
          <w:szCs w:val="24"/>
        </w:rPr>
        <w:t xml:space="preserve"> economic profitability per hectare</w:t>
      </w:r>
      <w:r w:rsidRPr="00674790">
        <w:rPr>
          <w:rFonts w:ascii="Times New Roman" w:hAnsi="Times New Roman" w:cs="Times New Roman"/>
          <w:sz w:val="24"/>
          <w:szCs w:val="24"/>
        </w:rPr>
        <w:t xml:space="preserve"> of land used for tobacco cultivation.</w:t>
      </w:r>
      <w:r w:rsidR="009E026D" w:rsidRPr="00674790">
        <w:rPr>
          <w:rFonts w:ascii="Times New Roman" w:hAnsi="Times New Roman" w:cs="Times New Roman"/>
          <w:sz w:val="24"/>
          <w:szCs w:val="24"/>
        </w:rPr>
        <w:t xml:space="preserve"> The </w:t>
      </w:r>
      <w:r w:rsidR="002766A9" w:rsidRPr="00674790">
        <w:rPr>
          <w:rFonts w:ascii="Times New Roman" w:hAnsi="Times New Roman" w:cs="Times New Roman"/>
          <w:sz w:val="24"/>
          <w:szCs w:val="24"/>
        </w:rPr>
        <w:t>air quality</w:t>
      </w:r>
      <w:r w:rsidR="009E026D" w:rsidRPr="00674790">
        <w:rPr>
          <w:rFonts w:ascii="Times New Roman" w:hAnsi="Times New Roman" w:cs="Times New Roman"/>
          <w:sz w:val="24"/>
          <w:szCs w:val="24"/>
        </w:rPr>
        <w:t xml:space="preserve"> </w:t>
      </w:r>
      <w:r w:rsidR="002766A9" w:rsidRPr="00674790">
        <w:rPr>
          <w:rFonts w:ascii="Times New Roman" w:hAnsi="Times New Roman" w:cs="Times New Roman"/>
          <w:sz w:val="24"/>
          <w:szCs w:val="24"/>
        </w:rPr>
        <w:t>o</w:t>
      </w:r>
      <w:r w:rsidR="009E026D" w:rsidRPr="00674790">
        <w:rPr>
          <w:rFonts w:ascii="Times New Roman" w:hAnsi="Times New Roman" w:cs="Times New Roman"/>
          <w:sz w:val="24"/>
          <w:szCs w:val="24"/>
        </w:rPr>
        <w:t>f tobacco cultivation</w:t>
      </w:r>
      <w:r w:rsidR="002766A9" w:rsidRPr="00674790">
        <w:rPr>
          <w:rFonts w:ascii="Times New Roman" w:hAnsi="Times New Roman" w:cs="Times New Roman"/>
          <w:sz w:val="24"/>
          <w:szCs w:val="24"/>
        </w:rPr>
        <w:t xml:space="preserve"> area will be </w:t>
      </w:r>
      <w:r w:rsidR="009E026D" w:rsidRPr="00674790">
        <w:rPr>
          <w:rFonts w:ascii="Times New Roman" w:hAnsi="Times New Roman" w:cs="Times New Roman"/>
          <w:sz w:val="24"/>
          <w:szCs w:val="24"/>
        </w:rPr>
        <w:t xml:space="preserve">estimated using </w:t>
      </w:r>
      <w:r w:rsidR="002766A9" w:rsidRPr="00674790">
        <w:rPr>
          <w:rFonts w:ascii="Times New Roman" w:hAnsi="Times New Roman" w:cs="Times New Roman"/>
          <w:sz w:val="24"/>
          <w:szCs w:val="24"/>
        </w:rPr>
        <w:t>air quality device which is setup in toba</w:t>
      </w:r>
      <w:r w:rsidR="009E026D" w:rsidRPr="00674790">
        <w:rPr>
          <w:rFonts w:ascii="Times New Roman" w:hAnsi="Times New Roman" w:cs="Times New Roman"/>
          <w:sz w:val="24"/>
          <w:szCs w:val="24"/>
        </w:rPr>
        <w:t>cco</w:t>
      </w:r>
      <w:r w:rsidR="002766A9" w:rsidRPr="00674790">
        <w:rPr>
          <w:rFonts w:ascii="Times New Roman" w:hAnsi="Times New Roman" w:cs="Times New Roman"/>
          <w:sz w:val="24"/>
          <w:szCs w:val="24"/>
        </w:rPr>
        <w:t xml:space="preserve"> </w:t>
      </w:r>
      <w:r w:rsidR="009E026D" w:rsidRPr="00674790">
        <w:rPr>
          <w:rFonts w:ascii="Times New Roman" w:hAnsi="Times New Roman" w:cs="Times New Roman"/>
          <w:sz w:val="24"/>
          <w:szCs w:val="24"/>
        </w:rPr>
        <w:t xml:space="preserve">cultivating areas. </w:t>
      </w:r>
      <w:proofErr w:type="gramStart"/>
      <w:r w:rsidR="000069A6" w:rsidRPr="00674790">
        <w:rPr>
          <w:rFonts w:ascii="Times New Roman" w:hAnsi="Times New Roman" w:cs="Times New Roman"/>
          <w:sz w:val="24"/>
          <w:szCs w:val="24"/>
        </w:rPr>
        <w:t>In order to</w:t>
      </w:r>
      <w:proofErr w:type="gramEnd"/>
      <w:r w:rsidR="000069A6" w:rsidRPr="00674790">
        <w:rPr>
          <w:rFonts w:ascii="Times New Roman" w:hAnsi="Times New Roman" w:cs="Times New Roman"/>
          <w:sz w:val="24"/>
          <w:szCs w:val="24"/>
        </w:rPr>
        <w:t xml:space="preserve"> provide evidence on health and economic impact of the tobacco on cultivators of tobacco cultivated area in Bangladesh, this study aims to examine the relationship between four crops (rice, wheat, jute and tobacco) cultivation and self-reported illness in the study population, as well as to compare profitability between tobacco production and three major crops (rice, wheat and jute).</w:t>
      </w:r>
      <w:r w:rsidR="00A05F46" w:rsidRPr="00674790">
        <w:rPr>
          <w:rFonts w:ascii="Times New Roman" w:hAnsi="Times New Roman" w:cs="Times New Roman"/>
          <w:sz w:val="24"/>
          <w:szCs w:val="24"/>
        </w:rPr>
        <w:t xml:space="preserve"> </w:t>
      </w:r>
      <w:r w:rsidR="002766A9" w:rsidRPr="00674790">
        <w:rPr>
          <w:rFonts w:ascii="Times New Roman" w:hAnsi="Times New Roman" w:cs="Times New Roman"/>
          <w:sz w:val="24"/>
          <w:szCs w:val="24"/>
        </w:rPr>
        <w:t xml:space="preserve">Therefore, </w:t>
      </w:r>
      <w:r w:rsidR="00853894" w:rsidRPr="00674790">
        <w:rPr>
          <w:rFonts w:ascii="Times New Roman" w:hAnsi="Times New Roman" w:cs="Times New Roman"/>
          <w:sz w:val="24"/>
          <w:szCs w:val="24"/>
          <w:shd w:val="clear" w:color="auto" w:fill="FCFCFC"/>
        </w:rPr>
        <w:t>t</w:t>
      </w:r>
      <w:r w:rsidR="00A3029E" w:rsidRPr="00674790">
        <w:rPr>
          <w:rFonts w:ascii="Times New Roman" w:hAnsi="Times New Roman" w:cs="Times New Roman"/>
          <w:sz w:val="24"/>
          <w:szCs w:val="24"/>
          <w:shd w:val="clear" w:color="auto" w:fill="FCFCFC"/>
        </w:rPr>
        <w:t xml:space="preserve">he findings of this study may be of use for evidence-based policy making against tobacco </w:t>
      </w:r>
      <w:r w:rsidR="00853894" w:rsidRPr="00674790">
        <w:rPr>
          <w:rFonts w:ascii="Times New Roman" w:hAnsi="Times New Roman" w:cs="Times New Roman"/>
          <w:sz w:val="24"/>
          <w:szCs w:val="24"/>
          <w:shd w:val="clear" w:color="auto" w:fill="FCFCFC"/>
        </w:rPr>
        <w:t xml:space="preserve">cultivation </w:t>
      </w:r>
      <w:r w:rsidR="00A3029E" w:rsidRPr="00674790">
        <w:rPr>
          <w:rFonts w:ascii="Times New Roman" w:hAnsi="Times New Roman" w:cs="Times New Roman"/>
          <w:sz w:val="24"/>
          <w:szCs w:val="24"/>
          <w:shd w:val="clear" w:color="auto" w:fill="FCFCFC"/>
        </w:rPr>
        <w:t>in Bangladesh.</w:t>
      </w:r>
    </w:p>
    <w:p w14:paraId="388FDD4A" w14:textId="77777777" w:rsidR="000069A6" w:rsidRPr="00674790" w:rsidRDefault="000069A6" w:rsidP="00674790">
      <w:pPr>
        <w:spacing w:after="0" w:line="480" w:lineRule="auto"/>
        <w:jc w:val="both"/>
        <w:rPr>
          <w:rFonts w:ascii="Times New Roman" w:hAnsi="Times New Roman" w:cs="Times New Roman"/>
          <w:sz w:val="24"/>
          <w:szCs w:val="24"/>
        </w:rPr>
      </w:pPr>
    </w:p>
    <w:p w14:paraId="02292A71" w14:textId="77777777" w:rsidR="001533B0" w:rsidRPr="00674790" w:rsidRDefault="006761B5" w:rsidP="00674790">
      <w:pPr>
        <w:spacing w:after="0"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3. Coverage of geographical/study area</w:t>
      </w:r>
    </w:p>
    <w:p w14:paraId="004DDA44" w14:textId="2DB78033" w:rsidR="00245A20" w:rsidRPr="00674790" w:rsidRDefault="00541248"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Tobacco is grown throughout the </w:t>
      </w:r>
      <w:r w:rsidR="00D91E01" w:rsidRPr="00674790">
        <w:rPr>
          <w:rFonts w:ascii="Times New Roman" w:hAnsi="Times New Roman" w:cs="Times New Roman"/>
          <w:sz w:val="24"/>
          <w:szCs w:val="24"/>
        </w:rPr>
        <w:t>country;</w:t>
      </w:r>
      <w:r w:rsidRPr="00674790">
        <w:rPr>
          <w:rFonts w:ascii="Times New Roman" w:hAnsi="Times New Roman" w:cs="Times New Roman"/>
          <w:sz w:val="24"/>
          <w:szCs w:val="24"/>
        </w:rPr>
        <w:t xml:space="preserve"> with the largest tobacco growing areas</w:t>
      </w:r>
      <w:r w:rsidR="00D91E01" w:rsidRPr="00674790">
        <w:rPr>
          <w:rFonts w:ascii="Times New Roman" w:hAnsi="Times New Roman" w:cs="Times New Roman"/>
          <w:sz w:val="24"/>
          <w:szCs w:val="24"/>
        </w:rPr>
        <w:t xml:space="preserve"> are </w:t>
      </w:r>
      <w:proofErr w:type="spellStart"/>
      <w:r w:rsidR="00D91E01" w:rsidRPr="00674790">
        <w:rPr>
          <w:rFonts w:ascii="Times New Roman" w:hAnsi="Times New Roman" w:cs="Times New Roman"/>
          <w:sz w:val="24"/>
          <w:szCs w:val="24"/>
        </w:rPr>
        <w:t>Bandarban</w:t>
      </w:r>
      <w:proofErr w:type="spellEnd"/>
      <w:r w:rsidR="00D91E01" w:rsidRPr="00674790">
        <w:rPr>
          <w:rFonts w:ascii="Times New Roman" w:hAnsi="Times New Roman" w:cs="Times New Roman"/>
          <w:sz w:val="24"/>
          <w:szCs w:val="24"/>
        </w:rPr>
        <w:t xml:space="preserve">, </w:t>
      </w:r>
      <w:proofErr w:type="spellStart"/>
      <w:r w:rsidR="00D91E01" w:rsidRPr="00674790">
        <w:rPr>
          <w:rFonts w:ascii="Times New Roman" w:hAnsi="Times New Roman" w:cs="Times New Roman"/>
          <w:sz w:val="24"/>
          <w:szCs w:val="24"/>
        </w:rPr>
        <w:t>Kustia</w:t>
      </w:r>
      <w:proofErr w:type="spellEnd"/>
      <w:r w:rsidR="00D91E01" w:rsidRPr="00674790">
        <w:rPr>
          <w:rFonts w:ascii="Times New Roman" w:hAnsi="Times New Roman" w:cs="Times New Roman"/>
          <w:sz w:val="24"/>
          <w:szCs w:val="24"/>
        </w:rPr>
        <w:t xml:space="preserve">, </w:t>
      </w:r>
      <w:proofErr w:type="spellStart"/>
      <w:r w:rsidR="00D91E01" w:rsidRPr="00674790">
        <w:rPr>
          <w:rFonts w:ascii="Times New Roman" w:hAnsi="Times New Roman" w:cs="Times New Roman"/>
          <w:sz w:val="24"/>
          <w:szCs w:val="24"/>
        </w:rPr>
        <w:t>Lalmonirhat</w:t>
      </w:r>
      <w:proofErr w:type="spellEnd"/>
      <w:r w:rsidR="00D91E01" w:rsidRPr="00674790">
        <w:rPr>
          <w:rFonts w:ascii="Times New Roman" w:hAnsi="Times New Roman" w:cs="Times New Roman"/>
          <w:sz w:val="24"/>
          <w:szCs w:val="24"/>
        </w:rPr>
        <w:t xml:space="preserve">, and </w:t>
      </w:r>
      <w:proofErr w:type="spellStart"/>
      <w:r w:rsidR="00D91E01" w:rsidRPr="00674790">
        <w:rPr>
          <w:rFonts w:ascii="Times New Roman" w:hAnsi="Times New Roman" w:cs="Times New Roman"/>
          <w:sz w:val="24"/>
          <w:szCs w:val="24"/>
        </w:rPr>
        <w:t>Manikgonj</w:t>
      </w:r>
      <w:proofErr w:type="spellEnd"/>
      <w:r w:rsidR="00770430" w:rsidRPr="00674790">
        <w:rPr>
          <w:rFonts w:ascii="Times New Roman" w:hAnsi="Times New Roman" w:cs="Times New Roman"/>
          <w:sz w:val="24"/>
          <w:szCs w:val="24"/>
        </w:rPr>
        <w:t xml:space="preserve">. The four </w:t>
      </w:r>
      <w:r w:rsidR="004E2135" w:rsidRPr="00674790">
        <w:rPr>
          <w:rFonts w:ascii="Times New Roman" w:hAnsi="Times New Roman" w:cs="Times New Roman"/>
          <w:sz w:val="24"/>
          <w:szCs w:val="24"/>
        </w:rPr>
        <w:t>districts</w:t>
      </w:r>
      <w:r w:rsidR="00770430" w:rsidRPr="00674790">
        <w:rPr>
          <w:rFonts w:ascii="Times New Roman" w:hAnsi="Times New Roman" w:cs="Times New Roman"/>
          <w:sz w:val="24"/>
          <w:szCs w:val="24"/>
        </w:rPr>
        <w:t xml:space="preserve"> cover an area of about </w:t>
      </w:r>
      <w:r w:rsidR="00A71A51" w:rsidRPr="00674790">
        <w:rPr>
          <w:rFonts w:ascii="Times New Roman" w:hAnsi="Times New Roman" w:cs="Times New Roman"/>
          <w:sz w:val="24"/>
          <w:szCs w:val="24"/>
        </w:rPr>
        <w:t>871800</w:t>
      </w:r>
      <w:r w:rsidR="00770430" w:rsidRPr="00674790">
        <w:rPr>
          <w:rFonts w:ascii="Times New Roman" w:hAnsi="Times New Roman" w:cs="Times New Roman"/>
          <w:sz w:val="24"/>
          <w:szCs w:val="24"/>
        </w:rPr>
        <w:t xml:space="preserve"> hectares, mainly </w:t>
      </w:r>
      <w:proofErr w:type="spellStart"/>
      <w:r w:rsidR="00770430" w:rsidRPr="00674790">
        <w:rPr>
          <w:rFonts w:ascii="Times New Roman" w:hAnsi="Times New Roman" w:cs="Times New Roman"/>
          <w:sz w:val="24"/>
          <w:szCs w:val="24"/>
        </w:rPr>
        <w:t>Bandarban</w:t>
      </w:r>
      <w:proofErr w:type="spellEnd"/>
      <w:r w:rsidR="00770430" w:rsidRPr="00674790">
        <w:rPr>
          <w:rFonts w:ascii="Times New Roman" w:hAnsi="Times New Roman" w:cs="Times New Roman"/>
          <w:sz w:val="24"/>
          <w:szCs w:val="24"/>
        </w:rPr>
        <w:t xml:space="preserve"> is hill tracts and other three are </w:t>
      </w:r>
      <w:r w:rsidR="004E2135" w:rsidRPr="00674790">
        <w:rPr>
          <w:rFonts w:ascii="Times New Roman" w:hAnsi="Times New Roman" w:cs="Times New Roman"/>
          <w:sz w:val="24"/>
          <w:szCs w:val="24"/>
        </w:rPr>
        <w:t xml:space="preserve">level </w:t>
      </w:r>
      <w:r w:rsidR="00770430" w:rsidRPr="00674790">
        <w:rPr>
          <w:rFonts w:ascii="Times New Roman" w:hAnsi="Times New Roman" w:cs="Times New Roman"/>
          <w:sz w:val="24"/>
          <w:szCs w:val="24"/>
        </w:rPr>
        <w:t>land</w:t>
      </w:r>
      <w:r w:rsidR="00AC6470" w:rsidRPr="00674790">
        <w:rPr>
          <w:rFonts w:ascii="Times New Roman" w:hAnsi="Times New Roman" w:cs="Times New Roman"/>
          <w:sz w:val="24"/>
          <w:szCs w:val="24"/>
        </w:rPr>
        <w:t xml:space="preserve"> (https://www.ncbi.nlm.nih.gov/books/NBK304388/)</w:t>
      </w:r>
      <w:r w:rsidR="00770430" w:rsidRPr="00674790">
        <w:rPr>
          <w:rFonts w:ascii="Times New Roman" w:hAnsi="Times New Roman" w:cs="Times New Roman"/>
          <w:sz w:val="24"/>
          <w:szCs w:val="24"/>
        </w:rPr>
        <w:t>.</w:t>
      </w:r>
      <w:r w:rsidR="00770430" w:rsidRPr="00674790">
        <w:rPr>
          <w:rFonts w:ascii="Times New Roman" w:hAnsi="Times New Roman" w:cs="Times New Roman"/>
          <w:color w:val="333333"/>
          <w:sz w:val="24"/>
          <w:szCs w:val="24"/>
        </w:rPr>
        <w:t xml:space="preserve"> </w:t>
      </w:r>
    </w:p>
    <w:p w14:paraId="45BB126F" w14:textId="77777777" w:rsidR="00EC5ADA" w:rsidRPr="00674790" w:rsidRDefault="00EC5ADA" w:rsidP="00674790">
      <w:pPr>
        <w:spacing w:after="0" w:line="480" w:lineRule="auto"/>
        <w:jc w:val="both"/>
        <w:rPr>
          <w:rFonts w:ascii="Times New Roman" w:hAnsi="Times New Roman" w:cs="Times New Roman"/>
          <w:sz w:val="24"/>
          <w:szCs w:val="24"/>
        </w:rPr>
      </w:pPr>
    </w:p>
    <w:p w14:paraId="34BF11D9" w14:textId="77777777" w:rsidR="00E5616B" w:rsidRPr="00674790" w:rsidRDefault="00E5616B" w:rsidP="00674790">
      <w:pPr>
        <w:spacing w:after="0"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4. Background and problem statement:</w:t>
      </w:r>
    </w:p>
    <w:p w14:paraId="7B769E3C" w14:textId="4C6E59C8" w:rsidR="000C3502" w:rsidRPr="00674790" w:rsidRDefault="00CF488C" w:rsidP="00674790">
      <w:pPr>
        <w:spacing w:line="480" w:lineRule="auto"/>
        <w:jc w:val="both"/>
        <w:rPr>
          <w:rFonts w:ascii="Times New Roman" w:hAnsi="Times New Roman" w:cs="Times New Roman"/>
          <w:sz w:val="24"/>
          <w:szCs w:val="24"/>
        </w:rPr>
      </w:pPr>
      <w:bookmarkStart w:id="0" w:name="_Hlk118834076"/>
      <w:r w:rsidRPr="00674790">
        <w:rPr>
          <w:rFonts w:ascii="Times New Roman" w:hAnsi="Times New Roman" w:cs="Times New Roman"/>
          <w:sz w:val="24"/>
          <w:szCs w:val="24"/>
        </w:rPr>
        <w:t>The use of unburned tobacco is implied by the phrase "smokeless tobacco (SLT)". For oral or nasal usage, a range of smokeless tobacco products are available</w:t>
      </w:r>
      <w:r w:rsidR="00355CBC">
        <w:rPr>
          <w:rFonts w:ascii="Times New Roman" w:hAnsi="Times New Roman" w:cs="Times New Roman"/>
          <w:sz w:val="24"/>
          <w:szCs w:val="24"/>
        </w:rPr>
        <w:t xml:space="preserve"> </w:t>
      </w:r>
      <w:r w:rsidR="00750DCD" w:rsidRPr="00674790">
        <w:rPr>
          <w:rFonts w:ascii="Times New Roman" w:hAnsi="Times New Roman" w:cs="Times New Roman"/>
          <w:sz w:val="24"/>
          <w:szCs w:val="24"/>
        </w:rPr>
        <w:fldChar w:fldCharType="begin" w:fldLock="1"/>
      </w:r>
      <w:r w:rsidR="00750DCD" w:rsidRPr="00674790">
        <w:rPr>
          <w:rFonts w:ascii="Times New Roman" w:hAnsi="Times New Roman" w:cs="Times New Roman"/>
          <w:sz w:val="24"/>
          <w:szCs w:val="24"/>
        </w:rPr>
        <w:instrText>ADDIN CSL_CITATION {"citationItems":[{"id":"ITEM-1","itemData":{"DOI":"10.1016/S1470-2045(08)70173-6","ISSN":"14702045","PMID":"18598931","abstract":"Use of smokeless tobacco products is common worldwide, with increasing consumption in many countries. Although epidemiological data from the USA and Asia show a raised risk of oral cancer (overall relative risk 2·6 [95% CI 1·3-5·2]), these are not confirmed in northern European studies (1·0 [0·7-1·3]). Risks of oesophageal cancer (1·6 [1·1-2·3]) and pancreatic cancer (1·6 [1·1-2·2]) have also increased, as shown in northern European studies. Results on lung cancer have been inconsistent, with northern European studies suggesting no excess risk. In India and Sudan, more than 50% of oral cancers are attributable to smokeless tobacco products used in those countries, as are about 4% of oral cancers in US men and 20% of oesophageal and pancreatic cancers in Swedish men. Smokeless tobacco products are a major source of carcinogenic nitrosamines; biomarkers of exposure have been developed to quantify exposure as a framework for a carcinogenesis model in people. Animal carcinogenicity studies strongly support clinical results. Cancer risk of smokeless tobacco users is probably lower than that of smokers, but higher than that of non-tobacco users. © 2008 Elsevier Ltd. All rights reserved.","author":[{"dropping-particle":"","family":"Boffetta","given":"Paolo","non-dropping-particle":"","parse-names":false,"suffix":""},{"dropping-particle":"","family":"Hecht","given":"Stephen","non-dropping-particle":"","parse-names":false,"suffix":""},{"dropping-particle":"","family":"Gray","given":"Nigel","non-dropping-particle":"","parse-names":false,"suffix":""},{"dropping-particle":"","family":"Gupta","given":"Prakash","non-dropping-particle":"","parse-names":false,"suffix":""},{"dropping-particle":"","family":"Straif","given":"Kurt","non-dropping-particle":"","parse-names":false,"suffix":""}],"container-title":"The Lancet Oncology","id":"ITEM-1","issue":"7","issued":{"date-parts":[["2008"]]},"page":"667-675","publisher":"Lancet Publishing Group","title":"Smokeless tobacco and cancer","type":"article-journal","volume":"9"},"uris":["http://www.mendeley.com/documents/?uuid=1cedf7a2-06ae-306b-8208-a57f47c8aed5"]},{"id":"ITEM-2","itemData":{"DOI":"10.1158/1055-9965.EPI-03-0033","ISSN":"10559965","PMID":"14744733","abstract":"Cigarette smoking is an important and well-established cause of pancreatic cancer. In contrast, little is known about the effects of smoking cigars, pipes, and use of smokeless tobacco on pancreatic cancer risk. The objective of the present study was to examine the association between noncigarette tobacco use (i.e., cigars, pipes, smokeless tobacco) and pancreatic cancer risk among nonsmokers of cigarettes. A population-based case-control study of pancreatic cancer was conducted during 1986-1989 among residents of Atlanta, Georgia, Detroit, Michigan, and 10 counties in New Jersey. Direct interviews were successfully completed with 526 newly diagnosed pancreatic cancer patients and 2153 controls ages 30-79 years. This analysis was restricted to lifelong nonsmokers of cigarettes and based on interviews with 154 cases newly diagnosed with carcinoma of the exocrine pancreas and 844 population controls who reported no history of cigarette smoking. We observed a consistent pattern of increased risk associated with cigar smoking, although these elevations were not statistically significant. Participants who smoked cigars regularly (i.e., at least one cigar/week for ≥6 months) experienced a 70% increased risk [95% confidence interval (CI): 0.9-3.3], and those who never used other form of tobacco had a 90% increased risk (95% CI: 0.8-4.3). Risk was elevated among those who smoked more than one cigar/day [odds ratio (OR) = 1.8; 95% CI: 0.8-4.2) and among those who smoked cigars &gt; 20 years (OR = 1.9; 95% CI: 0.9-3.9). Trends in risk with increasing amount and duration smoked were consistent but not statistically significant (P = 0.17 and P = 0.16, respectively). Subjects who used smokeless tobacco regularly had a 40% increased risk of pancreatic cancer (95% CI: 0.5-3.6) compared with nonusers of tobacco. We observed a marginally significant increasing risk with increased use of smokeless tobacco (P = 0.04); participants who used &gt;2.5 oz of smokeless tobacco a week had an OR of 3.5 (95% CI: 1.1-11). Long-term use of smokeless tobacco (i.e., &gt;20 years) was also associated with a nonsignificant increased risk (OR = 1.5; 95% CI: 0.6-4.0). In contrast, pipe smokers experienced no increased risk (OR = 0.6; 95% CI: 0.1-2.8). Our results suggest that heavy use of smokeless tobacco, and to a lesser extent, cigar smoking may increase the risk of pancreatic cancer among nonsmokers of cigarettes.","author":[{"dropping-particle":"","family":"Alguacil","given":"Juan","non-dropping-particle":"","parse-names":false,"suffix":""},{"dropping-particle":"","family":"Silverman","given":"Debra T.","non-dropping-particle":"","parse-names":false,"suffix":""}],"container-title":"Cancer Epidemiology Biomarkers and Prevention","id":"ITEM-2","issue":"1","issued":{"date-parts":[["2004","1"]]},"page":"55-58","title":"Smokeless and Other Noncigarette Tobacco Use and Pancreatic Cancer: A Case-Control Study Based on Direct Interviews","type":"article-journal","volume":"13"},"uris":["http://www.mendeley.com/documents/?uuid=b766193e-2ded-31d0-b736-8624fcee864d"]},{"id":"ITEM-3","itemData":{"DOI":"10.1002/IJC.20811","ISSN":"00207136","PMID":"15645430","abstract":"Limited data are available on the carcinogenicity of smokeless tobacco products in organs other than the mouth. Snus is a smokeless tobacco product widely used in Norway. We studied 10,136 Norwegian men enrolled since 1966 in a prospective cohort study, 31.7% of whom were exposed to snus. The relative risk of pancreatic cancer for snus use was 1.67 (95% confidence interval [CI] = 1.12, 2.50); that of oral and pharyngeal cancer was 1.10 (95% CI = 0.50, 2.41), that of esophageal cancer was 1.40 (95% CI = 0.61, 3.24), and that of stomach cancer was 1.11 (95% CI = 0.83, 1.48). The relative risks of cancers of the lung (either all histological types or adenocarcinoma), urinary bladder and kidney were not increased among snus users. The increase in the relative risk of pancreatic cancer was similar in former and current snus users and was restricted to current tobacco smokers. Our study suggests that smokeless tobacco products may be carcinogenic on the pancreas. Tobacco-specific N-nitrosamines are plausible candidates for the carcinogenicity of smokeless tobacco products in the pancreas. © 2005 Wiley-Liss, Inc.","author":[{"dropping-particle":"","family":"Boffetta","given":"Paolo","non-dropping-particle":"","parse-names":false,"suffix":""},{"dropping-particle":"","family":"Aagnes","given":"Bjarte","non-dropping-particle":"","parse-names":false,"suffix":""},{"dropping-particle":"","family":"Weiderpass","given":"Elisabete","non-dropping-particle":"","parse-names":false,"suffix":""},{"dropping-particle":"","family":"Andersen","given":"Aage","non-dropping-particle":"","parse-names":false,"suffix":""}],"container-title":"International Journal of Cancer","id":"ITEM-3","issue":"6","issued":{"date-parts":[["2005","5","10"]]},"page":"992-995","title":"Smokeless tobacco use and risk of cancer of the pancreas and other organs","type":"article-journal","volume":"114"},"uris":["http://www.mendeley.com/documents/?uuid=937a764e-b588-386e-9897-af41f3be4bc5"]},{"id":"ITEM-4","itemData":{"DOI":"10.1007/S10552-005-0247-0","ISSN":"09575243","PMID":"16184477","abstract":"Objective: Smokeless tobacco (ST) use remains a prevalent form of tobacco use among certain US populations. The purpose of this paper is to clarify its role in cancer development. Methods: Using data from a prospective cohort of the US population, we categorized 6779 subjects 45-75 years of age as ST users or non-ST users. Subjects were further stratified by cigarette smoking status in order to differentiate 'exclusive' ST users (n=414) from never tobacco users (n=2979). Results: In this cohort, exclusive ST use was not associated with increased incidence of all cancer in males (hazard ratio=0.8, 95% CI: 0.4, 1.6) or females (HR=1.2, 95% CI: 0.7-2.1) or oral cancer (standardized incidence ratio=30, 95% CI: 3, 95). No synergistic effect was observed between ST and cigarette smoking among male combined users (females were not analyzed for combined use) for the major cancers. Conclusions: In contrast to the well-known deleterious effects of cigarette smoking, ST use did not substantially increase the risk for cancer incidence above that of non-tobacco users, particularly among males. Although the use of tobacco in any form is to be discouraged, our data suggests that cancer risks are much lower from ST use than from cigarette smoking. © Springer 2005.","author":[{"dropping-particle":"","family":"Accortt","given":"Neil A.","non-dropping-particle":"","parse-names":false,"suffix":""},{"dropping-particle":"","family":"Waterbor","given":"John W.","non-dropping-particle":"","parse-names":false,"suffix":""},{"dropping-particle":"","family":"Beall","given":"Colleen","non-dropping-particle":"","parse-names":false,"suffix":""},{"dropping-particle":"","family":"Howard","given":"George","non-dropping-particle":"","parse-names":false,"suffix":""}],"container-title":"Cancer Causes and Control","id":"ITEM-4","issue":"9","issued":{"date-parts":[["2005","11"]]},"page":"1107-1115","title":"Cancer incidence among a cohort of smokeless tobacco users (United States)","type":"article-journal","volume":"16"},"uris":["http://www.mendeley.com/documents/?uuid=48f41551-da17-30c8-b236-f0cb8cda7565"]}],"mendeley":{"formattedCitation":"(1–4)","plainTextFormattedCitation":"(1–4)","previouslyFormattedCitation":"(1–4)"},"properties":{"noteIndex":0},"schema":"https://github.com/citation-style-language/schema/raw/master/csl-citation.json"}</w:instrText>
      </w:r>
      <w:r w:rsidR="00750DCD" w:rsidRPr="00674790">
        <w:rPr>
          <w:rFonts w:ascii="Times New Roman" w:hAnsi="Times New Roman" w:cs="Times New Roman"/>
          <w:sz w:val="24"/>
          <w:szCs w:val="24"/>
        </w:rPr>
        <w:fldChar w:fldCharType="separate"/>
      </w:r>
      <w:r w:rsidR="00750DCD" w:rsidRPr="00674790">
        <w:rPr>
          <w:rFonts w:ascii="Times New Roman" w:hAnsi="Times New Roman" w:cs="Times New Roman"/>
          <w:noProof/>
          <w:sz w:val="24"/>
          <w:szCs w:val="24"/>
        </w:rPr>
        <w:t>(1–4)</w:t>
      </w:r>
      <w:r w:rsidR="00750DCD" w:rsidRPr="00674790">
        <w:rPr>
          <w:rFonts w:ascii="Times New Roman" w:hAnsi="Times New Roman" w:cs="Times New Roman"/>
          <w:sz w:val="24"/>
          <w:szCs w:val="24"/>
        </w:rPr>
        <w:fldChar w:fldCharType="end"/>
      </w:r>
      <w:r w:rsidR="00AC6470" w:rsidRPr="00674790">
        <w:rPr>
          <w:rFonts w:ascii="Times New Roman" w:hAnsi="Times New Roman" w:cs="Times New Roman"/>
          <w:sz w:val="24"/>
          <w:szCs w:val="24"/>
        </w:rPr>
        <w:t>.</w:t>
      </w:r>
      <w:r w:rsidR="00737B00" w:rsidRPr="00674790">
        <w:rPr>
          <w:rFonts w:ascii="Times New Roman" w:hAnsi="Times New Roman" w:cs="Times New Roman"/>
          <w:sz w:val="24"/>
          <w:szCs w:val="24"/>
        </w:rPr>
        <w:t xml:space="preserve"> </w:t>
      </w:r>
      <w:r w:rsidR="00F44F5E" w:rsidRPr="00674790">
        <w:rPr>
          <w:rFonts w:ascii="Times New Roman" w:hAnsi="Times New Roman" w:cs="Times New Roman"/>
          <w:sz w:val="24"/>
          <w:szCs w:val="24"/>
        </w:rPr>
        <w:t>350 million individuals worldwide, in 133 nations, take SLTs, which have nicotine and are quite addictive. According to a recent survey, SLT usage causes over 0.65 million fatalities yearly, making it a global public health concern. The consumption of these goods has reportedly been linked to numerous illnesses, including malignancies of the head and neck, neurological conditions, and dental and cardiovascular ailments. This is caused by the existence of dangerous substances in addition to 28 known carcinogens, including tobacco-specific nitrosamines (TSNA), arsenic, beryllium, cadmium, nickel, chromium, nitrite, and nitrate, at various concentrations depending on the product</w:t>
      </w:r>
      <w:r w:rsidR="00750DCD" w:rsidRPr="00674790">
        <w:rPr>
          <w:rFonts w:ascii="Times New Roman" w:hAnsi="Times New Roman" w:cs="Times New Roman"/>
          <w:sz w:val="24"/>
          <w:szCs w:val="24"/>
        </w:rPr>
        <w:t xml:space="preserve"> </w:t>
      </w:r>
      <w:r w:rsidR="00750DCD" w:rsidRPr="00674790">
        <w:rPr>
          <w:rFonts w:ascii="Times New Roman" w:hAnsi="Times New Roman" w:cs="Times New Roman"/>
          <w:sz w:val="24"/>
          <w:szCs w:val="24"/>
        </w:rPr>
        <w:fldChar w:fldCharType="begin" w:fldLock="1"/>
      </w:r>
      <w:r w:rsidR="00750DCD" w:rsidRPr="00674790">
        <w:rPr>
          <w:rFonts w:ascii="Times New Roman" w:hAnsi="Times New Roman" w:cs="Times New Roman"/>
          <w:sz w:val="24"/>
          <w:szCs w:val="24"/>
        </w:rPr>
        <w:instrText>ADDIN CSL_CITATION {"citationItems":[{"id":"ITEM-1","itemData":{"DOI":"10.4103/IJMR.IJMR_2025_17","ISSN":"03679012","PMID":"30264750","abstract":"Effective regulation of contents of tobacco products is one of the primary milestones to reduce negative health effects associated with the use of smokeless tobacco (SLT) products. As per the available sources, testing of some SLT products has been done on ad hoc basis, but there is a lack of comprehensive and periodic analysis of these products. In addition, the available results indicate huge variations among the levels of pH, 4-(methylnitrosamino)-1-(3-pyridyl)-1-butanone, N-nitrosonornicotine, benzo[a]pyrene, heavy metals and nicotine within different products as well as within different brands of the same product. This review was aimed to throw light on the variations and gaps in testing of SLT products and emphasize the need for strong policy regulation for monitoring the chemical constituents of these products.","author":[{"dropping-particle":"","family":"Kumar","given":"Amit","non-dropping-particle":"","parse-names":false,"suffix":""},{"dropping-particle":"","family":"Bhartiya","given":"Deeksha","non-dropping-particle":"","parse-names":false,"suffix":""},{"dropping-particle":"","family":"Kaur","given":"Jasmine","non-dropping-particle":"","parse-names":false,"suffix":""},{"dropping-particle":"","family":"Kumari","given":"Suchitra","non-dropping-particle":"","parse-names":false,"suffix":""},{"dropping-particle":"","family":"Singh","given":"Harpreet","non-dropping-particle":"","parse-names":false,"suffix":""},{"dropping-particle":"","family":"Saraf","given":"Deepika","non-dropping-particle":"","parse-names":false,"suffix":""},{"dropping-particle":"","family":"Sinha","given":"Dhirendra Narain","non-dropping-particle":"","parse-names":false,"suffix":""},{"dropping-particle":"","family":"Mehrotra","given":"Ravi","non-dropping-particle":"","parse-names":false,"suffix":""}],"container-title":"The Indian Journal of Medical Research","id":"ITEM-1","issue":"1","issued":{"date-parts":[["2018","7","1"]]},"page":"14","publisher":"Wolters Kluwer -- Medknow Publications","title":"Regulation of toxic contents of smokeless tobacco products","type":"article-journal","volume":"148"},"uris":["http://www.mendeley.com/documents/?uuid=18da647e-4a0c-33d4-b206-5d5427f60254"]},{"id":"ITEM-2","itemData":{"DOI":"10.1136/TC.2010.037465","ISSN":"1468-3318","PMID":"21109685","abstract":"Objective Oral tobacco products contain nicotine and carcinogenic tobacco-specific N-nitrosamines (TSNAs) that can be absorbed through the oral mucosa. The aim of this study was to determine typical pH ranges and concentrations of total nicotine, unionised nicotine (the most readily absorbed form) and five TSNAs in selected oral tobacco products distributed globally. Methods A total of 53 oral tobacco products from 5 World Health Organisation (WHO) regions were analysed for total nicotine and TSNAs, including 4-(methylnitrosamino)- 1-(3-pyridyl)-1-butanol (NNAL), using gas chromatography or liquid chromatography with mass spectrometric detection. Unionised nicotine concentrations were calculated using product pH and total nicotine concentrations. Fourier transform infrared spectroscopy was used to help categorise or characterise some products. Results Total nicotine content varied from 0.16 to 34.1 mg/g product, whereas, the calculated unionised nicotine ranged from 0.05 to 31.0 mg/g product; a 620-fold range of variation. Products ranged from pH 5.2 to 10.1, which translates to 0.2% to 99.1% of nicotine being in the unionised form. Some products have very high pH and correspondingly high unionised nicotine (eg, gul powder, chimo ́, toombak) and/or high TSNA (eg, toombak, zarda, khaini) concentrations. The concentrations of TSNAs spanned five orders of magnitude with concentrations of 4-(methylnitrosamino)-1-(3-pyridyl)-1-butanone (NNK) ranging from 4.5 to 516 000 ng/g product. Conclusions These data have important implications for risk assessment because they show that very different exposure risks may be posed through the use of these chemically diverse oral tobacco products. Because of the wide chemical variation, oral tobacco products should not be categorised together when considering the public health implications of their use.","author":[{"dropping-particle":"","family":"Stanfill","given":"Stephen B.","non-dropping-particle":"","parse-names":false,"suffix":""},{"dropping-particle":"","family":"Connolly","given":"Gregory N.","non-dropping-particle":"","parse-names":false,"suffix":""},{"dropping-particle":"","family":"Zhang","given":"Liqin","non-dropping-particle":"","parse-names":false,"suffix":""},{"dropping-particle":"","family":"Jia","given":"Lily T.","non-dropping-particle":"","parse-names":false,"suffix":""},{"dropping-particle":"","family":"Henningfield","given":"Jack E.","non-dropping-particle":"","parse-names":false,"suffix":""},{"dropping-particle":"","family":"Richter","given":"Patricia","non-dropping-particle":"","parse-names":false,"suffix":""},{"dropping-particle":"","family":"Lawler","given":"Tameka S.","non-dropping-particle":"","parse-names":false,"suffix":""},{"dropping-particle":"","family":"Ayo-Yusuf","given":"Olalekan A.","non-dropping-particle":"","parse-names":false,"suffix":""},{"dropping-particle":"","family":"Ashley","given":"David L.","non-dropping-particle":"","parse-names":false,"suffix":""},{"dropping-particle":"","family":"Watson","given":"Clifford H.","non-dropping-particle":"","parse-names":false,"suffix":""}],"container-title":"Tobacco control","id":"ITEM-2","issue":"3","issued":{"date-parts":[["2011","5"]]},"page":"1-10","publisher":"Tob Control","title":"Global surveillance of oral tobacco products: total nicotine, unionised nicotine and tobacco-specific N-nitrosamines","type":"article-journal","volume":"20"},"uris":["http://www.mendeley.com/documents/?uuid=ca17ee46-ac89-38d2-bede-7a3776194489"]}],"mendeley":{"formattedCitation":"(5,6)","plainTextFormattedCitation":"(5,6)","previouslyFormattedCitation":"(5,6)"},"properties":{"noteIndex":0},"schema":"https://github.com/citation-style-language/schema/raw/master/csl-citation.json"}</w:instrText>
      </w:r>
      <w:r w:rsidR="00750DCD" w:rsidRPr="00674790">
        <w:rPr>
          <w:rFonts w:ascii="Times New Roman" w:hAnsi="Times New Roman" w:cs="Times New Roman"/>
          <w:sz w:val="24"/>
          <w:szCs w:val="24"/>
        </w:rPr>
        <w:fldChar w:fldCharType="separate"/>
      </w:r>
      <w:r w:rsidR="00750DCD" w:rsidRPr="00674790">
        <w:rPr>
          <w:rFonts w:ascii="Times New Roman" w:hAnsi="Times New Roman" w:cs="Times New Roman"/>
          <w:noProof/>
          <w:sz w:val="24"/>
          <w:szCs w:val="24"/>
        </w:rPr>
        <w:t>(5,6)</w:t>
      </w:r>
      <w:r w:rsidR="00750DCD" w:rsidRPr="00674790">
        <w:rPr>
          <w:rFonts w:ascii="Times New Roman" w:hAnsi="Times New Roman" w:cs="Times New Roman"/>
          <w:sz w:val="24"/>
          <w:szCs w:val="24"/>
        </w:rPr>
        <w:fldChar w:fldCharType="end"/>
      </w:r>
      <w:r w:rsidR="00D23A32" w:rsidRPr="00674790">
        <w:rPr>
          <w:rFonts w:ascii="Times New Roman" w:hAnsi="Times New Roman" w:cs="Times New Roman"/>
          <w:sz w:val="24"/>
          <w:szCs w:val="24"/>
        </w:rPr>
        <w:t xml:space="preserve">. </w:t>
      </w:r>
      <w:r w:rsidR="00F44F5E" w:rsidRPr="00674790">
        <w:rPr>
          <w:rFonts w:ascii="Times New Roman" w:hAnsi="Times New Roman" w:cs="Times New Roman"/>
          <w:sz w:val="24"/>
          <w:szCs w:val="24"/>
        </w:rPr>
        <w:t>Its usage during pregnancy has been linked to stillbirths and low birth weight, and there has been an elevated risk of cardiovascular mortality recorded</w:t>
      </w:r>
      <w:r w:rsidR="00750DCD" w:rsidRPr="00674790">
        <w:rPr>
          <w:rFonts w:ascii="Times New Roman" w:hAnsi="Times New Roman" w:cs="Times New Roman"/>
          <w:sz w:val="24"/>
          <w:szCs w:val="24"/>
        </w:rPr>
        <w:t xml:space="preserve"> </w:t>
      </w:r>
      <w:r w:rsidR="00750DCD" w:rsidRPr="00674790">
        <w:rPr>
          <w:rFonts w:ascii="Times New Roman" w:hAnsi="Times New Roman" w:cs="Times New Roman"/>
          <w:sz w:val="24"/>
          <w:szCs w:val="24"/>
        </w:rPr>
        <w:fldChar w:fldCharType="begin" w:fldLock="1"/>
      </w:r>
      <w:r w:rsidR="0059013A" w:rsidRPr="00674790">
        <w:rPr>
          <w:rFonts w:ascii="Times New Roman" w:hAnsi="Times New Roman" w:cs="Times New Roman"/>
          <w:sz w:val="24"/>
          <w:szCs w:val="24"/>
        </w:rPr>
        <w:instrText>ADDIN CSL_CITATION {"citationItems":[{"id":"ITEM-1","itemData":{"DOI":"10.22122/AHJ.V10I1.537","ISSN":"2008-4633","PMID":"30627385","abstract":"Oral cancer is a highly lethal disease and one of the most debilitating and disfiguring of all malignancies in the world. According to Global Adult Tobacco Survey (GATS) 2010 report, 60% of tobacco users in India use only smokeless tobacco. Among 206 million smokeless tobacco users, 65.1 million are consuming gutkha. In recent years, gutkha is recognized as a life threatening disorder with the serious health consequences. The aim of this review is to increase the attention to complete ban of tobacco use, awareness, knowledge, and beliefs of public about the harms of not only gutkha but also all other tobacco products and also to promote the intentions to quit the habits.","author":[{"dropping-particle":"","family":"Sankhla","given":"Bharat","non-dropping-particle":"","parse-names":false,"suffix":""},{"dropping-particle":"","family":"Kachhwaha","given":"Khushboo","non-dropping-particle":"","parse-names":false,"suffix":""},{"dropping-particle":"","family":"Hussain","given":"Sayed Yawer","non-dropping-particle":"","parse-names":false,"suffix":""},{"dropping-particle":"","family":"Saxena","given":"Shikha","non-dropping-particle":"","parse-names":false,"suffix":""},{"dropping-particle":"","family":"Sireesha","given":"Sundaragiri Krishna","non-dropping-particle":"","parse-names":false,"suffix":""},{"dropping-particle":"","family":"Bhargava","given":"Akshay","non-dropping-particle":"","parse-names":false,"suffix":""}],"container-title":"Addiction &amp; health","id":"ITEM-1","issue":"1","issued":{"date-parts":[["2018","1"]]},"page":"52-63","publisher":"Addict Health","title":"Genotoxic and Carcinogenic Effect of Gutkha: A Fast-growing Smokeless Tobacco","type":"article-journal","volume":"10"},"uris":["http://www.mendeley.com/documents/?uuid=17b67004-aa08-3eaa-b4a6-ddf78b51055c"]}],"mendeley":{"formattedCitation":"(7)","plainTextFormattedCitation":"(7)","previouslyFormattedCitation":"(7)"},"properties":{"noteIndex":0},"schema":"https://github.com/citation-style-language/schema/raw/master/csl-citation.json"}</w:instrText>
      </w:r>
      <w:r w:rsidR="00750DCD" w:rsidRPr="00674790">
        <w:rPr>
          <w:rFonts w:ascii="Times New Roman" w:hAnsi="Times New Roman" w:cs="Times New Roman"/>
          <w:sz w:val="24"/>
          <w:szCs w:val="24"/>
        </w:rPr>
        <w:fldChar w:fldCharType="separate"/>
      </w:r>
      <w:r w:rsidR="00750DCD" w:rsidRPr="00674790">
        <w:rPr>
          <w:rFonts w:ascii="Times New Roman" w:hAnsi="Times New Roman" w:cs="Times New Roman"/>
          <w:noProof/>
          <w:sz w:val="24"/>
          <w:szCs w:val="24"/>
        </w:rPr>
        <w:t>(7)</w:t>
      </w:r>
      <w:r w:rsidR="00750DCD" w:rsidRPr="00674790">
        <w:rPr>
          <w:rFonts w:ascii="Times New Roman" w:hAnsi="Times New Roman" w:cs="Times New Roman"/>
          <w:sz w:val="24"/>
          <w:szCs w:val="24"/>
        </w:rPr>
        <w:fldChar w:fldCharType="end"/>
      </w:r>
      <w:r w:rsidR="00D23A32" w:rsidRPr="00674790">
        <w:rPr>
          <w:rFonts w:ascii="Times New Roman" w:hAnsi="Times New Roman" w:cs="Times New Roman"/>
          <w:sz w:val="24"/>
          <w:szCs w:val="24"/>
        </w:rPr>
        <w:t xml:space="preserve">. </w:t>
      </w:r>
    </w:p>
    <w:p w14:paraId="5C632E58" w14:textId="407738BB" w:rsidR="00ED0604" w:rsidRPr="00674790" w:rsidRDefault="00F44F5E"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Southeast Asia uses SLT a lot. There are more than 300 million SLT consumers globally</w:t>
      </w:r>
      <w:r w:rsidR="00BE6D9B" w:rsidRPr="00674790">
        <w:rPr>
          <w:rFonts w:ascii="Times New Roman" w:hAnsi="Times New Roman" w:cs="Times New Roman"/>
          <w:sz w:val="24"/>
          <w:szCs w:val="24"/>
        </w:rPr>
        <w:t xml:space="preserve">, but </w:t>
      </w:r>
      <w:r w:rsidR="00E26C5D" w:rsidRPr="00674790">
        <w:rPr>
          <w:rFonts w:ascii="Times New Roman" w:hAnsi="Times New Roman" w:cs="Times New Roman"/>
          <w:sz w:val="24"/>
          <w:szCs w:val="24"/>
        </w:rPr>
        <w:t>most</w:t>
      </w:r>
      <w:r w:rsidR="00BE6D9B" w:rsidRPr="00674790">
        <w:rPr>
          <w:rFonts w:ascii="Times New Roman" w:hAnsi="Times New Roman" w:cs="Times New Roman"/>
          <w:sz w:val="24"/>
          <w:szCs w:val="24"/>
        </w:rPr>
        <w:t xml:space="preserve"> ST users live in India (199.4 million</w:t>
      </w:r>
      <w:r w:rsidR="0059013A" w:rsidRPr="00674790">
        <w:rPr>
          <w:rFonts w:ascii="Times New Roman" w:hAnsi="Times New Roman" w:cs="Times New Roman"/>
          <w:sz w:val="24"/>
          <w:szCs w:val="24"/>
        </w:rPr>
        <w:t xml:space="preserve">) </w:t>
      </w:r>
      <w:r w:rsidR="00BE6D9B" w:rsidRPr="00674790">
        <w:rPr>
          <w:rFonts w:ascii="Times New Roman" w:hAnsi="Times New Roman" w:cs="Times New Roman"/>
          <w:sz w:val="24"/>
          <w:szCs w:val="24"/>
        </w:rPr>
        <w:t xml:space="preserve">followed by Bangladesh (22 million) </w:t>
      </w:r>
      <w:r w:rsidR="0059013A" w:rsidRPr="00674790">
        <w:rPr>
          <w:rFonts w:ascii="Times New Roman" w:hAnsi="Times New Roman" w:cs="Times New Roman"/>
          <w:sz w:val="24"/>
          <w:szCs w:val="24"/>
        </w:rPr>
        <w:fldChar w:fldCharType="begin" w:fldLock="1"/>
      </w:r>
      <w:r w:rsidR="007314A7" w:rsidRPr="00674790">
        <w:rPr>
          <w:rFonts w:ascii="Times New Roman" w:hAnsi="Times New Roman" w:cs="Times New Roman"/>
          <w:sz w:val="24"/>
          <w:szCs w:val="24"/>
        </w:rPr>
        <w:instrText>ADDIN CSL_CITATION {"citationItems":[{"id":"ITEM-1","itemData":{"DOI":"10.22122/AHJ.V10I1.537","ISSN":"2008-4633","PMID":"30627385","abstract":"Oral cancer is a highly lethal disease and one of the most debilitating and disfiguring of all malignancies in the world. According to Global Adult Tobacco Survey (GATS) 2010 report, 60% of tobacco users in India use only smokeless tobacco. Among 206 million smokeless tobacco users, 65.1 million are consuming gutkha. In recent years, gutkha is recognized as a life threatening disorder with the serious health consequences. The aim of this review is to increase the attention to complete ban of tobacco use, awareness, knowledge, and beliefs of public about the harms of not only gutkha but also all other tobacco products and also to promote the intentions to quit the habits.","author":[{"dropping-particle":"","family":"Sankhla","given":"Bharat","non-dropping-particle":"","parse-names":false,"suffix":""},{"dropping-particle":"","family":"Kachhwaha","given":"Khushboo","non-dropping-particle":"","parse-names":false,"suffix":""},{"dropping-particle":"","family":"Hussain","given":"Sayed Yawer","non-dropping-particle":"","parse-names":false,"suffix":""},{"dropping-particle":"","family":"Saxena","given":"Shikha","non-dropping-particle":"","parse-names":false,"suffix":""},{"dropping-particle":"","family":"Sireesha","given":"Sundaragiri Krishna","non-dropping-particle":"","parse-names":false,"suffix":""},{"dropping-particle":"","family":"Bhargava","given":"Akshay","non-dropping-particle":"","parse-names":false,"suffix":""}],"container-title":"Addiction &amp; health","id":"ITEM-1","issue":"1","issued":{"date-parts":[["2018","1"]]},"page":"52-63","publisher":"Addict Health","title":"Genotoxic and Carcinogenic Effect of Gutkha: A Fast-growing Smokeless Tobacco","type":"article-journal","volume":"10"},"uris":["http://www.mendeley.com/documents/?uuid=17b67004-aa08-3eaa-b4a6-ddf78b51055c"]}],"mendeley":{"formattedCitation":"(7)","plainTextFormattedCitation":"(7)","previouslyFormattedCitation":"(7)"},"properties":{"noteIndex":0},"schema":"https://github.com/citation-style-language/schema/raw/master/csl-citation.json"}</w:instrText>
      </w:r>
      <w:r w:rsidR="0059013A" w:rsidRPr="00674790">
        <w:rPr>
          <w:rFonts w:ascii="Times New Roman" w:hAnsi="Times New Roman" w:cs="Times New Roman"/>
          <w:sz w:val="24"/>
          <w:szCs w:val="24"/>
        </w:rPr>
        <w:fldChar w:fldCharType="separate"/>
      </w:r>
      <w:r w:rsidR="0059013A" w:rsidRPr="00674790">
        <w:rPr>
          <w:rFonts w:ascii="Times New Roman" w:hAnsi="Times New Roman" w:cs="Times New Roman"/>
          <w:noProof/>
          <w:sz w:val="24"/>
          <w:szCs w:val="24"/>
        </w:rPr>
        <w:t>(7)</w:t>
      </w:r>
      <w:r w:rsidR="0059013A" w:rsidRPr="00674790">
        <w:rPr>
          <w:rFonts w:ascii="Times New Roman" w:hAnsi="Times New Roman" w:cs="Times New Roman"/>
          <w:sz w:val="24"/>
          <w:szCs w:val="24"/>
        </w:rPr>
        <w:fldChar w:fldCharType="end"/>
      </w:r>
      <w:r w:rsidR="0059013A" w:rsidRPr="00674790">
        <w:rPr>
          <w:rFonts w:ascii="Times New Roman" w:hAnsi="Times New Roman" w:cs="Times New Roman"/>
          <w:sz w:val="24"/>
          <w:szCs w:val="24"/>
        </w:rPr>
        <w:t xml:space="preserve"> </w:t>
      </w:r>
      <w:r w:rsidR="00BE6D9B" w:rsidRPr="00674790">
        <w:rPr>
          <w:rFonts w:ascii="Times New Roman" w:hAnsi="Times New Roman" w:cs="Times New Roman"/>
          <w:sz w:val="24"/>
          <w:szCs w:val="24"/>
        </w:rPr>
        <w:t>and Myanmar (11.1 million)</w:t>
      </w:r>
      <w:r w:rsidR="007314A7" w:rsidRPr="00674790">
        <w:rPr>
          <w:rFonts w:ascii="Times New Roman" w:hAnsi="Times New Roman" w:cs="Times New Roman"/>
          <w:sz w:val="24"/>
          <w:szCs w:val="24"/>
        </w:rPr>
        <w:t xml:space="preserve"> </w:t>
      </w:r>
      <w:r w:rsidR="007314A7" w:rsidRPr="00674790">
        <w:rPr>
          <w:rFonts w:ascii="Times New Roman" w:hAnsi="Times New Roman" w:cs="Times New Roman"/>
          <w:sz w:val="24"/>
          <w:szCs w:val="24"/>
        </w:rPr>
        <w:fldChar w:fldCharType="begin" w:fldLock="1"/>
      </w:r>
      <w:r w:rsidR="007314A7" w:rsidRPr="00674790">
        <w:rPr>
          <w:rFonts w:ascii="Times New Roman" w:hAnsi="Times New Roman" w:cs="Times New Roman"/>
          <w:sz w:val="24"/>
          <w:szCs w:val="24"/>
        </w:rPr>
        <w:instrText>ADDIN CSL_CITATION {"citationItems":[{"id":"ITEM-1","itemData":{"DOI":"10.1093/PUBMED/FDY176","ISSN":"1741-3850","PMID":"30321380","abstract":"Background Myanmar is burdened with the dual problem of communicable and non-communicable diseases (NCD), and is constantly endeavoring to attain its health objectives with limited resources. This study compares the results for the 2009 and 2014 WHO STEPs surveys (the 'stepwise' approach to adult risk factor surveillance) in Myanmar to determine the change in NCD risk factors over time. Methodology The proportion of individuals with major NCD risk factors such as current tobacco and alcohol consumption, &lt;5 fruit/vegetable servings, physical activity, raised blood pressure (BP) and overweight and obesity from the year 2009 (n = 6414) and year 2014 (n = 8757) WHO STEP surveys were compared for the age group 25-64 and relative changes (RC) calculated. Results Tobacco and alcohol consumption has increased significantly (25 and 49% RC, respectively) over the years. Individuals with low fruit/vegetable consumption (&lt;5 servings) have declined (4.3% RC) and physical activity has increased significantly (46.5% RC). The prevalence of overweight, obese and hypertensive individuals has reduced significantly during this period with a RC reduction of 18, 28 and 20%, respectively. Conclusion Reductions in some NCD risk factors are encouraging but control of tobacco use and alcohol consumption requires more stringent policies in order to prevent NCDs in the future.","author":[{"dropping-particle":"","family":"Grover","given":"Shekhar","non-dropping-particle":"","parse-names":false,"suffix":""},{"dropping-particle":"","family":"Sinha","given":"Dhirendra N.","non-dropping-particle":"","parse-names":false,"suffix":""},{"dropping-particle":"","family":"Gupta","given":"Sanjay","non-dropping-particle":"","parse-names":false,"suffix":""},{"dropping-particle":"","family":"Gupta","given":"Prakash C.","non-dropping-particle":"","parse-names":false,"suffix":""},{"dropping-particle":"","family":"Mehrotra","given":"Ravi","non-dropping-particle":"","parse-names":false,"suffix":""}],"container-title":"Journal of public health (Oxford, England)","id":"ITEM-1","issue":"4","issued":{"date-parts":[["2019","12","1"]]},"page":"750-756","publisher":"J Public Health (Oxf)","title":"The changing face of risk factors for non-communicable disease in Myanmar: findings from the 2009 and 2014 WHO STEP Surveys","type":"article-journal","volume":"41"},"uris":["http://www.mendeley.com/documents/?uuid=052456ab-9905-3a97-900a-ef93dc77fbb6"]}],"mendeley":{"formattedCitation":"(8)","plainTextFormattedCitation":"(8)","previouslyFormattedCitation":"(8)"},"properties":{"noteIndex":0},"schema":"https://github.com/citation-style-language/schema/raw/master/csl-citation.json"}</w:instrText>
      </w:r>
      <w:r w:rsidR="007314A7" w:rsidRPr="00674790">
        <w:rPr>
          <w:rFonts w:ascii="Times New Roman" w:hAnsi="Times New Roman" w:cs="Times New Roman"/>
          <w:sz w:val="24"/>
          <w:szCs w:val="24"/>
        </w:rPr>
        <w:fldChar w:fldCharType="separate"/>
      </w:r>
      <w:r w:rsidR="007314A7" w:rsidRPr="00674790">
        <w:rPr>
          <w:rFonts w:ascii="Times New Roman" w:hAnsi="Times New Roman" w:cs="Times New Roman"/>
          <w:noProof/>
          <w:sz w:val="24"/>
          <w:szCs w:val="24"/>
        </w:rPr>
        <w:t>(8)</w:t>
      </w:r>
      <w:r w:rsidR="007314A7" w:rsidRPr="00674790">
        <w:rPr>
          <w:rFonts w:ascii="Times New Roman" w:hAnsi="Times New Roman" w:cs="Times New Roman"/>
          <w:sz w:val="24"/>
          <w:szCs w:val="24"/>
        </w:rPr>
        <w:fldChar w:fldCharType="end"/>
      </w:r>
      <w:r w:rsidR="00355CBC">
        <w:rPr>
          <w:rFonts w:ascii="Times New Roman" w:hAnsi="Times New Roman" w:cs="Times New Roman"/>
          <w:sz w:val="24"/>
          <w:szCs w:val="24"/>
        </w:rPr>
        <w:t>.</w:t>
      </w:r>
      <w:r w:rsidR="00BE6D9B" w:rsidRPr="00674790">
        <w:rPr>
          <w:rFonts w:ascii="Times New Roman" w:hAnsi="Times New Roman" w:cs="Times New Roman"/>
          <w:sz w:val="24"/>
          <w:szCs w:val="24"/>
        </w:rPr>
        <w:t xml:space="preserve"> </w:t>
      </w:r>
      <w:r w:rsidR="00E26C5D" w:rsidRPr="00674790">
        <w:rPr>
          <w:rFonts w:ascii="Times New Roman" w:hAnsi="Times New Roman" w:cs="Times New Roman"/>
          <w:sz w:val="24"/>
          <w:szCs w:val="24"/>
        </w:rPr>
        <w:t xml:space="preserve">This situation is further complicated by the presence of high amounts of tobacco-specific nitrosamines, the main cancer-causing agents in tobacco, in the products available in South Asia, compared with the rest of the world </w:t>
      </w:r>
      <w:r w:rsidR="007314A7" w:rsidRPr="00674790">
        <w:rPr>
          <w:rFonts w:ascii="Times New Roman" w:hAnsi="Times New Roman" w:cs="Times New Roman"/>
          <w:sz w:val="24"/>
          <w:szCs w:val="24"/>
        </w:rPr>
        <w:fldChar w:fldCharType="begin" w:fldLock="1"/>
      </w:r>
      <w:r w:rsidR="00EB19AC" w:rsidRPr="00674790">
        <w:rPr>
          <w:rFonts w:ascii="Times New Roman" w:hAnsi="Times New Roman" w:cs="Times New Roman"/>
          <w:sz w:val="24"/>
          <w:szCs w:val="24"/>
        </w:rPr>
        <w:instrText>ADDIN CSL_CITATION {"citationItems":[{"id":"ITEM-1","itemData":{"DOI":"10.1136/TC.2010.035931","ISSN":"0964-4563","PMID":"21148114","abstract":"Four authoritative reviews of active smoking and breast cancer have been published since 2000, but only one considered data after 2002 and conclusions varied. Three reviews of secondhand smoke (SHS) and breast cancer (2004–2006) each came to different conclusions. With 30 new studies since 2002, further review was deemed desirable. An Expert Panel was convened by four Canadian agencies, the Ontario Tobacco Research Unit, the Public Health Agency of Canada, Physicians for a Smoke-Free Canada and the Canadian Partnership Against Cancer to comprehensively examine the weight of evidence from epidemiological and toxicological studies and understanding of biological mechanisms regarding the relationship between tobacco smoke and breast cancer. This article summarises the panel's full report ([http://www.otru.org/pdf/special/expert\\_panel\\_tobacco\\_breast\\_cancer.pdf][1]). There are 20 known or suspected mammary carcinogens in tobacco smoke, and recognised biological mechanisms that explain how exposure to these carcinogens could lead to breast cancer. Results from the nine cohort studies reporting exposure metrics more detailed than ever/never and ex/current smoker show that early age of smoking commencement, higher pack-years and longer duration of smoking increase breast cancer risk 15% to 40%. Three meta-analyses report 35% to 50% increases in breast cancer risk for long-term smokers with N -acetyltransferase 2 gene ( NAT2 ) slow acetylation genotypes. The active smoking evidence bolsters support for three meta-analyses that each reported about a 65% increase in premenopausal breast cancer risk among never smokers exposed to SHS. The Panel concluded that: 1) the association between active smoking and breast cancer is consistent with causality and 2) the association between SHS and breast cancer among younger, primarily premenopausal women who have never smoked is consistent with causality.\n\n [1]: http://www.otru.org/pdf/special/expert_panel_tobacco_breast_cancer.pdf","author":[{"dropping-particle":"","family":"Johnson","given":"Kenneth C","non-dropping-particle":"","parse-names":false,"suffix":""},{"dropping-particle":"","family":"Miller","given":"Anthony B","non-dropping-particle":"","parse-names":false,"suffix":""},{"dropping-particle":"","family":"Collishaw","given":"Neil E","non-dropping-particle":"","parse-names":false,"suffix":""},{"dropping-particle":"","family":"Palmer","given":"Julie R","non-dropping-particle":"","parse-names":false,"suffix":""},{"dropping-particle":"","family":"Hammond","given":"S Katharine","non-dropping-particle":"","parse-names":false,"suffix":""},{"dropping-particle":"","family":"Salmon","given":"Andrew G","non-dropping-particle":"","parse-names":false,"suffix":""},{"dropping-particle":"","family":"Cantor","given":"Kenneth P","non-dropping-particle":"","parse-names":false,"suffix":""},{"dropping-particle":"","family":"Miller","given":"Mark D","non-dropping-particle":"","parse-names":false,"suffix":""},{"dropping-particle":"","family":"Boyd","given":"Norman F","non-dropping-particle":"","parse-names":false,"suffix":""},{"dropping-particle":"","family":"Millar","given":"John","non-dropping-particle":"","parse-names":false,"suffix":""},{"dropping-particle":"","family":"Turcotte","given":"Fernand","non-dropping-particle":"","parse-names":false,"suffix":""}],"container-title":"Tobacco Control","id":"ITEM-1","issue":"1","issued":{"date-parts":[["2011","1","1"]]},"page":"e2-e2","publisher":"BMJ Publishing Group Ltd","title":"Active smoking and secondhand smoke increase breast cancer risk: the report of the Canadian Expert Panel on Tobacco Smoke and Breast Cancer Risk (2009)","type":"article-journal","volume":"20"},"uris":["http://www.mendeley.com/documents/?uuid=dea19ba9-059c-3390-a2ec-2cfcd924109c"]}],"mendeley":{"formattedCitation":"(9)","plainTextFormattedCitation":"(9)","previouslyFormattedCitation":"(9)"},"properties":{"noteIndex":0},"schema":"https://github.com/citation-style-language/schema/raw/master/csl-citation.json"}</w:instrText>
      </w:r>
      <w:r w:rsidR="007314A7" w:rsidRPr="00674790">
        <w:rPr>
          <w:rFonts w:ascii="Times New Roman" w:hAnsi="Times New Roman" w:cs="Times New Roman"/>
          <w:sz w:val="24"/>
          <w:szCs w:val="24"/>
        </w:rPr>
        <w:fldChar w:fldCharType="separate"/>
      </w:r>
      <w:r w:rsidR="007314A7" w:rsidRPr="00674790">
        <w:rPr>
          <w:rFonts w:ascii="Times New Roman" w:hAnsi="Times New Roman" w:cs="Times New Roman"/>
          <w:noProof/>
          <w:sz w:val="24"/>
          <w:szCs w:val="24"/>
        </w:rPr>
        <w:t>(9)</w:t>
      </w:r>
      <w:r w:rsidR="007314A7" w:rsidRPr="00674790">
        <w:rPr>
          <w:rFonts w:ascii="Times New Roman" w:hAnsi="Times New Roman" w:cs="Times New Roman"/>
          <w:sz w:val="24"/>
          <w:szCs w:val="24"/>
        </w:rPr>
        <w:fldChar w:fldCharType="end"/>
      </w:r>
      <w:r w:rsidR="007314A7" w:rsidRPr="00674790">
        <w:rPr>
          <w:rFonts w:ascii="Times New Roman" w:hAnsi="Times New Roman" w:cs="Times New Roman"/>
          <w:sz w:val="24"/>
          <w:szCs w:val="24"/>
        </w:rPr>
        <w:t>.</w:t>
      </w:r>
    </w:p>
    <w:p w14:paraId="595B99B2" w14:textId="05AB6D14" w:rsidR="00E333BF" w:rsidRPr="00674790" w:rsidRDefault="00B270C9"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In Bangladesh, SLT is the most common type of tobacco consumed. SLT makes a significant contribution to Bangladesh's overall tobacco consumption </w:t>
      </w:r>
      <w:r w:rsidR="00EB19AC" w:rsidRPr="00674790">
        <w:rPr>
          <w:rFonts w:ascii="Times New Roman" w:hAnsi="Times New Roman" w:cs="Times New Roman"/>
          <w:sz w:val="24"/>
          <w:szCs w:val="24"/>
        </w:rPr>
        <w:fldChar w:fldCharType="begin" w:fldLock="1"/>
      </w:r>
      <w:r w:rsidR="00EB19AC" w:rsidRPr="00674790">
        <w:rPr>
          <w:rFonts w:ascii="Times New Roman" w:hAnsi="Times New Roman" w:cs="Times New Roman"/>
          <w:sz w:val="24"/>
          <w:szCs w:val="24"/>
        </w:rPr>
        <w:instrText>ADDIN CSL_CITATION {"citationItems":[{"id":"ITEM-1","itemData":{"DOI":"10.4103/IJPH.IJPH_233_17","ISSN":"0019-557X","PMID":"28928314","abstract":"Despite the high prevalence of smokeless tobacco (SLT) use among adults in Bangladesh, SLT was not included in the Tobacco Control Law till 2013. Information on SLT use among Bangladeshi people is inadequate for policymaking and implementing effective control measures. With the aim to identify the prevalence and trends of different SLT products, health and economic impacts, manufacture, and sale of and policies related to SLT in Bangladesh, we carried out a literature review, which involved literature search, data extraction, and synthesis. Evidence suggests that in Bangladesh, SLTs range from unprocessed to processed or manufactured products including Sada Pata, Zarda, Gul, and Khoinee. Over 27% of Bangladeshi adults aged 15 years and older use SLT in one form or other. SLT use is associated with age, sex, education, and socioeconomic status. SLT consumption has reportedly been associated with increased prevalence of heart diseases, stroke, and oral cancer and led to around 320,000 disability adjusted life years lost in Bangladesh in 2010. No cessation service is available for SLT users in public facilities. Compared to cigarettes, taxation on SLT remains low in Bangladesh. The amendment made in Tobacco Control Law in 2013 requires graphic health warnings to cover 50% of SLT packaging, ban on advertisement of SLT products, and restriction to sale to minors. However, implementation of the law is weak. As the use of SLT is culturally accepted in Bangladesh, culturally appropriate public awareness program is required to curb SLT use along with increased tax and cessation services.","author":[{"dropping-particle":"","family":"Huque","given":"Rumana","non-dropping-particle":"","parse-names":false,"suffix":""},{"dropping-particle":"","family":"Zaman","given":"M. Mostafa","non-dropping-particle":"","parse-names":false,"suffix":""},{"dropping-particle":"","family":"Huq","given":"Syed Mahfuzul","non-dropping-particle":"","parse-names":false,"suffix":""},{"dropping-particle":"","family":"Sinha","given":"Dhirendra N.","non-dropping-particle":"","parse-names":false,"suffix":""}],"container-title":"Indian journal of public health","id":"ITEM-1","issue":"Suppl 1","issued":{"date-parts":[["2017","9","1"]]},"page":"S18-S24","publisher":"Indian J Public Health","title":"Smokeless tobacco and public health in Bangladesh","type":"article-journal","volume":"61"},"uris":["http://www.mendeley.com/documents/?uuid=4fb4d1f3-cda2-3bb1-bc5e-fecae8561023"]}],"mendeley":{"formattedCitation":"(10)","plainTextFormattedCitation":"(10)","previouslyFormattedCitation":"(10)"},"properties":{"noteIndex":0},"schema":"https://github.com/citation-style-language/schema/raw/master/csl-citation.json"}</w:instrText>
      </w:r>
      <w:r w:rsidR="00EB19AC" w:rsidRPr="00674790">
        <w:rPr>
          <w:rFonts w:ascii="Times New Roman" w:hAnsi="Times New Roman" w:cs="Times New Roman"/>
          <w:sz w:val="24"/>
          <w:szCs w:val="24"/>
        </w:rPr>
        <w:fldChar w:fldCharType="separate"/>
      </w:r>
      <w:r w:rsidR="00EB19AC" w:rsidRPr="00674790">
        <w:rPr>
          <w:rFonts w:ascii="Times New Roman" w:hAnsi="Times New Roman" w:cs="Times New Roman"/>
          <w:noProof/>
          <w:sz w:val="24"/>
          <w:szCs w:val="24"/>
        </w:rPr>
        <w:t>(10)</w:t>
      </w:r>
      <w:r w:rsidR="00EB19AC" w:rsidRPr="00674790">
        <w:rPr>
          <w:rFonts w:ascii="Times New Roman" w:hAnsi="Times New Roman" w:cs="Times New Roman"/>
          <w:sz w:val="24"/>
          <w:szCs w:val="24"/>
        </w:rPr>
        <w:fldChar w:fldCharType="end"/>
      </w:r>
      <w:r w:rsidR="00ED0604" w:rsidRPr="00674790">
        <w:rPr>
          <w:rFonts w:ascii="Times New Roman" w:hAnsi="Times New Roman" w:cs="Times New Roman"/>
          <w:sz w:val="24"/>
          <w:szCs w:val="24"/>
        </w:rPr>
        <w:t>. The recent Global Adult Tobacco Survey (2017, Bangladesh) reported that 35.3% of people used tobacco in Bangladesh, with 20.6% being current users of S</w:t>
      </w:r>
      <w:r w:rsidR="0052645C">
        <w:rPr>
          <w:rFonts w:ascii="Times New Roman" w:hAnsi="Times New Roman" w:cs="Times New Roman"/>
          <w:sz w:val="24"/>
          <w:szCs w:val="24"/>
        </w:rPr>
        <w:t>L</w:t>
      </w:r>
      <w:r w:rsidR="00ED0604" w:rsidRPr="00674790">
        <w:rPr>
          <w:rFonts w:ascii="Times New Roman" w:hAnsi="Times New Roman" w:cs="Times New Roman"/>
          <w:sz w:val="24"/>
          <w:szCs w:val="24"/>
        </w:rPr>
        <w:t>T. Among current users, a higher percentage of women (24.8%) used S</w:t>
      </w:r>
      <w:r w:rsidR="0052645C">
        <w:rPr>
          <w:rFonts w:ascii="Times New Roman" w:hAnsi="Times New Roman" w:cs="Times New Roman"/>
          <w:sz w:val="24"/>
          <w:szCs w:val="24"/>
        </w:rPr>
        <w:t>L</w:t>
      </w:r>
      <w:r w:rsidR="00ED0604" w:rsidRPr="00674790">
        <w:rPr>
          <w:rFonts w:ascii="Times New Roman" w:hAnsi="Times New Roman" w:cs="Times New Roman"/>
          <w:sz w:val="24"/>
          <w:szCs w:val="24"/>
        </w:rPr>
        <w:t xml:space="preserve">T compared to men (16.2%) </w:t>
      </w:r>
      <w:r w:rsidR="00EB19AC" w:rsidRPr="00674790">
        <w:rPr>
          <w:rFonts w:ascii="Times New Roman" w:hAnsi="Times New Roman" w:cs="Times New Roman"/>
          <w:sz w:val="24"/>
          <w:szCs w:val="24"/>
        </w:rPr>
        <w:fldChar w:fldCharType="begin" w:fldLock="1"/>
      </w:r>
      <w:r w:rsidR="002C256A" w:rsidRPr="00674790">
        <w:rPr>
          <w:rFonts w:ascii="Times New Roman" w:hAnsi="Times New Roman" w:cs="Times New Roman"/>
          <w:sz w:val="24"/>
          <w:szCs w:val="24"/>
        </w:rPr>
        <w:instrText>ADDIN CSL_CITATION {"citationItems":[{"id":"ITEM-1","itemData":{"author":[{"dropping-particle":"","family":"CDC","given":"","non-dropping-particle":"","parse-names":false,"suffix":""}],"id":"ITEM-1","issued":{"date-parts":[["2018"]]},"title":"Global Adult Tobacco Survey: Bangladesh 2017 Fact Sheet","type":"article-journal"},"uris":["http://www.mendeley.com/documents/?uuid=8d0af5c0-eaf0-4b96-a9a5-2aa1d0126168"]}],"mendeley":{"formattedCitation":"(11)","plainTextFormattedCitation":"(11)","previouslyFormattedCitation":"(11)"},"properties":{"noteIndex":0},"schema":"https://github.com/citation-style-language/schema/raw/master/csl-citation.json"}</w:instrText>
      </w:r>
      <w:r w:rsidR="00EB19AC" w:rsidRPr="00674790">
        <w:rPr>
          <w:rFonts w:ascii="Times New Roman" w:hAnsi="Times New Roman" w:cs="Times New Roman"/>
          <w:sz w:val="24"/>
          <w:szCs w:val="24"/>
        </w:rPr>
        <w:fldChar w:fldCharType="separate"/>
      </w:r>
      <w:r w:rsidR="00EB19AC" w:rsidRPr="00674790">
        <w:rPr>
          <w:rFonts w:ascii="Times New Roman" w:hAnsi="Times New Roman" w:cs="Times New Roman"/>
          <w:noProof/>
          <w:sz w:val="24"/>
          <w:szCs w:val="24"/>
        </w:rPr>
        <w:t>(11)</w:t>
      </w:r>
      <w:r w:rsidR="00EB19AC" w:rsidRPr="00674790">
        <w:rPr>
          <w:rFonts w:ascii="Times New Roman" w:hAnsi="Times New Roman" w:cs="Times New Roman"/>
          <w:sz w:val="24"/>
          <w:szCs w:val="24"/>
        </w:rPr>
        <w:fldChar w:fldCharType="end"/>
      </w:r>
      <w:r w:rsidR="00ED0604" w:rsidRPr="00674790">
        <w:rPr>
          <w:rFonts w:ascii="Times New Roman" w:hAnsi="Times New Roman" w:cs="Times New Roman"/>
          <w:sz w:val="24"/>
          <w:szCs w:val="24"/>
        </w:rPr>
        <w:t>. In Bangladesh, available S</w:t>
      </w:r>
      <w:r w:rsidR="0052645C">
        <w:rPr>
          <w:rFonts w:ascii="Times New Roman" w:hAnsi="Times New Roman" w:cs="Times New Roman"/>
          <w:sz w:val="24"/>
          <w:szCs w:val="24"/>
        </w:rPr>
        <w:t>L</w:t>
      </w:r>
      <w:r w:rsidR="00ED0604" w:rsidRPr="00674790">
        <w:rPr>
          <w:rFonts w:ascii="Times New Roman" w:hAnsi="Times New Roman" w:cs="Times New Roman"/>
          <w:sz w:val="24"/>
          <w:szCs w:val="24"/>
        </w:rPr>
        <w:t xml:space="preserve">T products are betel quid with tobacco, </w:t>
      </w:r>
      <w:proofErr w:type="spellStart"/>
      <w:r w:rsidR="00ED0604" w:rsidRPr="00674790">
        <w:rPr>
          <w:rFonts w:ascii="Times New Roman" w:hAnsi="Times New Roman" w:cs="Times New Roman"/>
          <w:sz w:val="24"/>
          <w:szCs w:val="24"/>
        </w:rPr>
        <w:t>zarda</w:t>
      </w:r>
      <w:proofErr w:type="spellEnd"/>
      <w:r w:rsidR="00ED0604" w:rsidRPr="00674790">
        <w:rPr>
          <w:rFonts w:ascii="Times New Roman" w:hAnsi="Times New Roman" w:cs="Times New Roman"/>
          <w:sz w:val="24"/>
          <w:szCs w:val="24"/>
        </w:rPr>
        <w:t xml:space="preserve">, gul, </w:t>
      </w:r>
      <w:proofErr w:type="spellStart"/>
      <w:r w:rsidR="00ED0604" w:rsidRPr="00674790">
        <w:rPr>
          <w:rFonts w:ascii="Times New Roman" w:hAnsi="Times New Roman" w:cs="Times New Roman"/>
          <w:sz w:val="24"/>
          <w:szCs w:val="24"/>
        </w:rPr>
        <w:t>sada</w:t>
      </w:r>
      <w:proofErr w:type="spellEnd"/>
      <w:r w:rsidR="00ED0604" w:rsidRPr="00674790">
        <w:rPr>
          <w:rFonts w:ascii="Times New Roman" w:hAnsi="Times New Roman" w:cs="Times New Roman"/>
          <w:sz w:val="24"/>
          <w:szCs w:val="24"/>
        </w:rPr>
        <w:t xml:space="preserve"> </w:t>
      </w:r>
      <w:proofErr w:type="spellStart"/>
      <w:r w:rsidR="00ED0604" w:rsidRPr="00674790">
        <w:rPr>
          <w:rFonts w:ascii="Times New Roman" w:hAnsi="Times New Roman" w:cs="Times New Roman"/>
          <w:sz w:val="24"/>
          <w:szCs w:val="24"/>
        </w:rPr>
        <w:t>pata</w:t>
      </w:r>
      <w:proofErr w:type="spellEnd"/>
      <w:r w:rsidR="00ED0604" w:rsidRPr="00674790">
        <w:rPr>
          <w:rFonts w:ascii="Times New Roman" w:hAnsi="Times New Roman" w:cs="Times New Roman"/>
          <w:sz w:val="24"/>
          <w:szCs w:val="24"/>
        </w:rPr>
        <w:t xml:space="preserve"> and </w:t>
      </w:r>
      <w:proofErr w:type="spellStart"/>
      <w:r w:rsidR="00ED0604" w:rsidRPr="00674790">
        <w:rPr>
          <w:rFonts w:ascii="Times New Roman" w:hAnsi="Times New Roman" w:cs="Times New Roman"/>
          <w:sz w:val="24"/>
          <w:szCs w:val="24"/>
        </w:rPr>
        <w:t>Khoinee</w:t>
      </w:r>
      <w:proofErr w:type="spellEnd"/>
      <w:r w:rsidR="00ED0604" w:rsidRPr="00674790">
        <w:rPr>
          <w:rFonts w:ascii="Times New Roman" w:hAnsi="Times New Roman" w:cs="Times New Roman"/>
          <w:sz w:val="24"/>
          <w:szCs w:val="24"/>
        </w:rPr>
        <w:t xml:space="preserve">, most of which are also available in the </w:t>
      </w:r>
      <w:r w:rsidR="007E4103" w:rsidRPr="00674790">
        <w:rPr>
          <w:rFonts w:ascii="Times New Roman" w:hAnsi="Times New Roman" w:cs="Times New Roman"/>
          <w:sz w:val="24"/>
          <w:szCs w:val="24"/>
        </w:rPr>
        <w:t>neighboring</w:t>
      </w:r>
      <w:r w:rsidR="00ED0604" w:rsidRPr="00674790">
        <w:rPr>
          <w:rFonts w:ascii="Times New Roman" w:hAnsi="Times New Roman" w:cs="Times New Roman"/>
          <w:sz w:val="24"/>
          <w:szCs w:val="24"/>
        </w:rPr>
        <w:t xml:space="preserve"> countries India and Myanmar</w:t>
      </w:r>
      <w:r w:rsidR="002C256A" w:rsidRPr="00674790">
        <w:rPr>
          <w:rFonts w:ascii="Times New Roman" w:hAnsi="Times New Roman" w:cs="Times New Roman"/>
          <w:sz w:val="24"/>
          <w:szCs w:val="24"/>
        </w:rPr>
        <w:t xml:space="preserve"> </w:t>
      </w:r>
      <w:r w:rsidR="002C256A" w:rsidRPr="00674790">
        <w:rPr>
          <w:rFonts w:ascii="Times New Roman" w:hAnsi="Times New Roman" w:cs="Times New Roman"/>
          <w:sz w:val="24"/>
          <w:szCs w:val="24"/>
        </w:rPr>
        <w:fldChar w:fldCharType="begin" w:fldLock="1"/>
      </w:r>
      <w:r w:rsidR="002C256A" w:rsidRPr="00674790">
        <w:rPr>
          <w:rFonts w:ascii="Times New Roman" w:hAnsi="Times New Roman" w:cs="Times New Roman"/>
          <w:sz w:val="24"/>
          <w:szCs w:val="24"/>
        </w:rPr>
        <w:instrText>ADDIN CSL_CITATION {"citationItems":[{"id":"ITEM-1","itemData":{"abstract":"Smokeless Tobacco and Public Health: A Global Perspective, GST Report","author":[{"dropping-particle":"","family":"National Cancer Institute and Centers for Disease Control and Prevention","given":"","non-dropping-particle":"","parse-names":false,"suffix":""}],"container-title":"U.S. Department of Health and Human Services, Centers for Disease Control and Prevention and National Institutes of Health, National Cancer Institute. NIH Publication","id":"ITEM-1","issued":{"date-parts":[["2014"]]},"title":"Smokeless Tobacco and Public Health: A Global Perspective","type":"article-journal","volume":"14-7983"},"uris":["http://www.mendeley.com/documents/?uuid=d960a4aa-3ee8-4590-af7d-eb93ced61c94"]}],"mendeley":{"formattedCitation":"(12)","plainTextFormattedCitation":"(12)","previouslyFormattedCitation":"(12)"},"properties":{"noteIndex":0},"schema":"https://github.com/citation-style-language/schema/raw/master/csl-citation.json"}</w:instrText>
      </w:r>
      <w:r w:rsidR="002C256A" w:rsidRPr="00674790">
        <w:rPr>
          <w:rFonts w:ascii="Times New Roman" w:hAnsi="Times New Roman" w:cs="Times New Roman"/>
          <w:sz w:val="24"/>
          <w:szCs w:val="24"/>
        </w:rPr>
        <w:fldChar w:fldCharType="separate"/>
      </w:r>
      <w:r w:rsidR="002C256A" w:rsidRPr="00674790">
        <w:rPr>
          <w:rFonts w:ascii="Times New Roman" w:hAnsi="Times New Roman" w:cs="Times New Roman"/>
          <w:noProof/>
          <w:sz w:val="24"/>
          <w:szCs w:val="24"/>
        </w:rPr>
        <w:t>(12)</w:t>
      </w:r>
      <w:r w:rsidR="002C256A" w:rsidRPr="00674790">
        <w:rPr>
          <w:rFonts w:ascii="Times New Roman" w:hAnsi="Times New Roman" w:cs="Times New Roman"/>
          <w:sz w:val="24"/>
          <w:szCs w:val="24"/>
        </w:rPr>
        <w:fldChar w:fldCharType="end"/>
      </w:r>
      <w:r w:rsidR="00ED0604" w:rsidRPr="00674790">
        <w:rPr>
          <w:rFonts w:ascii="Times New Roman" w:hAnsi="Times New Roman" w:cs="Times New Roman"/>
          <w:sz w:val="24"/>
          <w:szCs w:val="24"/>
        </w:rPr>
        <w:t>. In 2010, S</w:t>
      </w:r>
      <w:r w:rsidR="0052645C">
        <w:rPr>
          <w:rFonts w:ascii="Times New Roman" w:hAnsi="Times New Roman" w:cs="Times New Roman"/>
          <w:sz w:val="24"/>
          <w:szCs w:val="24"/>
        </w:rPr>
        <w:t>L</w:t>
      </w:r>
      <w:r w:rsidR="00ED0604" w:rsidRPr="00674790">
        <w:rPr>
          <w:rFonts w:ascii="Times New Roman" w:hAnsi="Times New Roman" w:cs="Times New Roman"/>
          <w:sz w:val="24"/>
          <w:szCs w:val="24"/>
        </w:rPr>
        <w:t xml:space="preserve">T use caused 13329 </w:t>
      </w:r>
      <w:r w:rsidR="00ED0604" w:rsidRPr="00674790">
        <w:rPr>
          <w:rFonts w:ascii="Times New Roman" w:hAnsi="Times New Roman" w:cs="Times New Roman"/>
          <w:sz w:val="24"/>
          <w:szCs w:val="24"/>
        </w:rPr>
        <w:lastRenderedPageBreak/>
        <w:t xml:space="preserve">deaths and 320000 disability adjusted life years lost from mouth, pharynx and </w:t>
      </w:r>
      <w:proofErr w:type="spellStart"/>
      <w:r w:rsidR="00ED0604" w:rsidRPr="00674790">
        <w:rPr>
          <w:rFonts w:ascii="Times New Roman" w:hAnsi="Times New Roman" w:cs="Times New Roman"/>
          <w:sz w:val="24"/>
          <w:szCs w:val="24"/>
        </w:rPr>
        <w:t>oesophagus</w:t>
      </w:r>
      <w:proofErr w:type="spellEnd"/>
      <w:r w:rsidR="00ED0604" w:rsidRPr="00674790">
        <w:rPr>
          <w:rFonts w:ascii="Times New Roman" w:hAnsi="Times New Roman" w:cs="Times New Roman"/>
          <w:sz w:val="24"/>
          <w:szCs w:val="24"/>
        </w:rPr>
        <w:t xml:space="preserve"> cancer, and ischemic heart disease in Bangladesh</w:t>
      </w:r>
      <w:r w:rsidR="002C256A" w:rsidRPr="00674790">
        <w:rPr>
          <w:rFonts w:ascii="Times New Roman" w:hAnsi="Times New Roman" w:cs="Times New Roman"/>
          <w:sz w:val="24"/>
          <w:szCs w:val="24"/>
        </w:rPr>
        <w:t xml:space="preserve"> </w:t>
      </w:r>
      <w:r w:rsidR="002C256A" w:rsidRPr="00674790">
        <w:rPr>
          <w:rFonts w:ascii="Times New Roman" w:hAnsi="Times New Roman" w:cs="Times New Roman"/>
          <w:sz w:val="24"/>
          <w:szCs w:val="24"/>
        </w:rPr>
        <w:fldChar w:fldCharType="begin" w:fldLock="1"/>
      </w:r>
      <w:r w:rsidR="00637033" w:rsidRPr="00674790">
        <w:rPr>
          <w:rFonts w:ascii="Times New Roman" w:hAnsi="Times New Roman" w:cs="Times New Roman"/>
          <w:sz w:val="24"/>
          <w:szCs w:val="24"/>
        </w:rPr>
        <w:instrText>ADDIN CSL_CITATION {"citationItems":[{"id":"ITEM-1","itemData":{"DOI":"10.4103/IJPH.IJPH_233_17","ISSN":"0019-557X","PMID":"28928314","abstract":"Despite the high prevalence of smokeless tobacco (SLT) use among adults in Bangladesh, SLT was not included in the Tobacco Control Law till 2013. Information on SLT use among Bangladeshi people is inadequate for policymaking and implementing effective control measures. With the aim to identify the prevalence and trends of different SLT products, health and economic impacts, manufacture, and sale of and policies related to SLT in Bangladesh, we carried out a literature review, which involved literature search, data extraction, and synthesis. Evidence suggests that in Bangladesh, SLTs range from unprocessed to processed or manufactured products including Sada Pata, Zarda, Gul, and Khoinee. Over 27% of Bangladeshi adults aged 15 years and older use SLT in one form or other. SLT use is associated with age, sex, education, and socioeconomic status. SLT consumption has reportedly been associated with increased prevalence of heart diseases, stroke, and oral cancer and led to around 320,000 disability adjusted life years lost in Bangladesh in 2010. No cessation service is available for SLT users in public facilities. Compared to cigarettes, taxation on SLT remains low in Bangladesh. The amendment made in Tobacco Control Law in 2013 requires graphic health warnings to cover 50% of SLT packaging, ban on advertisement of SLT products, and restriction to sale to minors. However, implementation of the law is weak. As the use of SLT is culturally accepted in Bangladesh, culturally appropriate public awareness program is required to curb SLT use along with increased tax and cessation services.","author":[{"dropping-particle":"","family":"Huque","given":"Rumana","non-dropping-particle":"","parse-names":false,"suffix":""},{"dropping-particle":"","family":"Zaman","given":"M. Mostafa","non-dropping-particle":"","parse-names":false,"suffix":""},{"dropping-particle":"","family":"Huq","given":"Syed Mahfuzul","non-dropping-particle":"","parse-names":false,"suffix":""},{"dropping-particle":"","family":"Sinha","given":"Dhirendra N.","non-dropping-particle":"","parse-names":false,"suffix":""}],"container-title":"Indian journal of public health","id":"ITEM-1","issue":"Suppl 1","issued":{"date-parts":[["2017","9","1"]]},"page":"S18-S24","publisher":"Indian J Public Health","title":"Smokeless tobacco and public health in Bangladesh","type":"article-journal","volume":"61"},"uris":["http://www.mendeley.com/documents/?uuid=4fb4d1f3-cda2-3bb1-bc5e-fecae8561023"]}],"mendeley":{"formattedCitation":"(10)","plainTextFormattedCitation":"(10)","previouslyFormattedCitation":"(10)"},"properties":{"noteIndex":0},"schema":"https://github.com/citation-style-language/schema/raw/master/csl-citation.json"}</w:instrText>
      </w:r>
      <w:r w:rsidR="002C256A" w:rsidRPr="00674790">
        <w:rPr>
          <w:rFonts w:ascii="Times New Roman" w:hAnsi="Times New Roman" w:cs="Times New Roman"/>
          <w:sz w:val="24"/>
          <w:szCs w:val="24"/>
        </w:rPr>
        <w:fldChar w:fldCharType="separate"/>
      </w:r>
      <w:r w:rsidR="002C256A" w:rsidRPr="00674790">
        <w:rPr>
          <w:rFonts w:ascii="Times New Roman" w:hAnsi="Times New Roman" w:cs="Times New Roman"/>
          <w:noProof/>
          <w:sz w:val="24"/>
          <w:szCs w:val="24"/>
        </w:rPr>
        <w:t>(10)</w:t>
      </w:r>
      <w:r w:rsidR="002C256A" w:rsidRPr="00674790">
        <w:rPr>
          <w:rFonts w:ascii="Times New Roman" w:hAnsi="Times New Roman" w:cs="Times New Roman"/>
          <w:sz w:val="24"/>
          <w:szCs w:val="24"/>
        </w:rPr>
        <w:fldChar w:fldCharType="end"/>
      </w:r>
      <w:r w:rsidR="00ED0604" w:rsidRPr="00674790">
        <w:rPr>
          <w:rFonts w:ascii="Times New Roman" w:hAnsi="Times New Roman" w:cs="Times New Roman"/>
          <w:sz w:val="24"/>
          <w:szCs w:val="24"/>
        </w:rPr>
        <w:t>. Most of the S</w:t>
      </w:r>
      <w:r w:rsidR="0052645C">
        <w:rPr>
          <w:rFonts w:ascii="Times New Roman" w:hAnsi="Times New Roman" w:cs="Times New Roman"/>
          <w:sz w:val="24"/>
          <w:szCs w:val="24"/>
        </w:rPr>
        <w:t>L</w:t>
      </w:r>
      <w:r w:rsidR="00ED0604" w:rsidRPr="00674790">
        <w:rPr>
          <w:rFonts w:ascii="Times New Roman" w:hAnsi="Times New Roman" w:cs="Times New Roman"/>
          <w:sz w:val="24"/>
          <w:szCs w:val="24"/>
        </w:rPr>
        <w:t xml:space="preserve">T products available in World Health Organization (WHO) South-East Asia Regional Office countries are found to be carcinogenic, cardiotoxic, mutagenic and to contain heavy metals </w:t>
      </w:r>
      <w:r w:rsidR="00637033" w:rsidRPr="00674790">
        <w:rPr>
          <w:rFonts w:ascii="Times New Roman" w:hAnsi="Times New Roman" w:cs="Times New Roman"/>
          <w:sz w:val="24"/>
          <w:szCs w:val="24"/>
        </w:rPr>
        <w:fldChar w:fldCharType="begin" w:fldLock="1"/>
      </w:r>
      <w:r w:rsidR="00637033" w:rsidRPr="00674790">
        <w:rPr>
          <w:rFonts w:ascii="Times New Roman" w:hAnsi="Times New Roman" w:cs="Times New Roman"/>
          <w:sz w:val="24"/>
          <w:szCs w:val="24"/>
        </w:rPr>
        <w:instrText>ADDIN CSL_CITATION {"citationItems":[{"id":"ITEM-1","itemData":{"DOI":"10.1111/RESP.13612","ISSN":"1440-1843","PMID":"31195425","author":[{"dropping-particle":"","family":"Siddiqi","given":"Kamran","non-dropping-particle":"","parse-names":false,"suffix":""},{"dropping-particle":"","family":"Mishu","given":"Masuma P.","non-dropping-particle":"","parse-names":false,"suffix":""}],"container-title":"Respirology (Carlton, Vic.)","id":"ITEM-1","issue":"8","issued":{"date-parts":[["2019","8","1"]]},"page":"720-721","publisher":"Respirology","title":"Smokeless tobacco: Why does it need special attention?","type":"article-journal","volume":"24"},"uris":["http://www.mendeley.com/documents/?uuid=34b1f66d-ec29-34df-90a8-b0a4a9239e17"]}],"mendeley":{"formattedCitation":"(13)","plainTextFormattedCitation":"(13)","previouslyFormattedCitation":"(13)"},"properties":{"noteIndex":0},"schema":"https://github.com/citation-style-language/schema/raw/master/csl-citation.json"}</w:instrText>
      </w:r>
      <w:r w:rsidR="00637033" w:rsidRPr="00674790">
        <w:rPr>
          <w:rFonts w:ascii="Times New Roman" w:hAnsi="Times New Roman" w:cs="Times New Roman"/>
          <w:sz w:val="24"/>
          <w:szCs w:val="24"/>
        </w:rPr>
        <w:fldChar w:fldCharType="separate"/>
      </w:r>
      <w:r w:rsidR="00637033" w:rsidRPr="00674790">
        <w:rPr>
          <w:rFonts w:ascii="Times New Roman" w:hAnsi="Times New Roman" w:cs="Times New Roman"/>
          <w:noProof/>
          <w:sz w:val="24"/>
          <w:szCs w:val="24"/>
        </w:rPr>
        <w:t>(13)</w:t>
      </w:r>
      <w:r w:rsidR="00637033" w:rsidRPr="00674790">
        <w:rPr>
          <w:rFonts w:ascii="Times New Roman" w:hAnsi="Times New Roman" w:cs="Times New Roman"/>
          <w:sz w:val="24"/>
          <w:szCs w:val="24"/>
        </w:rPr>
        <w:fldChar w:fldCharType="end"/>
      </w:r>
      <w:r w:rsidR="00ED0604" w:rsidRPr="00674790">
        <w:rPr>
          <w:rFonts w:ascii="Times New Roman" w:hAnsi="Times New Roman" w:cs="Times New Roman"/>
          <w:sz w:val="24"/>
          <w:szCs w:val="24"/>
        </w:rPr>
        <w:t>. Despite high prevalence (20.6%) compared to the prevalence of smoking tobacco (18.0%) and negative health consequences, S</w:t>
      </w:r>
      <w:r w:rsidR="00355CBC">
        <w:rPr>
          <w:rFonts w:ascii="Times New Roman" w:hAnsi="Times New Roman" w:cs="Times New Roman"/>
          <w:sz w:val="24"/>
          <w:szCs w:val="24"/>
        </w:rPr>
        <w:t>L</w:t>
      </w:r>
      <w:r w:rsidR="00ED0604" w:rsidRPr="00674790">
        <w:rPr>
          <w:rFonts w:ascii="Times New Roman" w:hAnsi="Times New Roman" w:cs="Times New Roman"/>
          <w:sz w:val="24"/>
          <w:szCs w:val="24"/>
        </w:rPr>
        <w:t>T is less of a public health priority in Bangladesh due to perceived less harmful effects and social and cultural acceptance</w:t>
      </w:r>
      <w:r w:rsidR="007E4103" w:rsidRPr="00674790">
        <w:rPr>
          <w:rFonts w:ascii="Times New Roman" w:hAnsi="Times New Roman" w:cs="Times New Roman"/>
          <w:sz w:val="24"/>
          <w:szCs w:val="24"/>
        </w:rPr>
        <w:t xml:space="preserve"> </w:t>
      </w:r>
      <w:r w:rsidR="007E4103" w:rsidRPr="00674790">
        <w:rPr>
          <w:rFonts w:ascii="Times New Roman" w:hAnsi="Times New Roman" w:cs="Times New Roman"/>
          <w:sz w:val="24"/>
          <w:szCs w:val="24"/>
        </w:rPr>
        <w:fldChar w:fldCharType="begin" w:fldLock="1"/>
      </w:r>
      <w:r w:rsidR="00C37D98" w:rsidRPr="00674790">
        <w:rPr>
          <w:rFonts w:ascii="Times New Roman" w:hAnsi="Times New Roman" w:cs="Times New Roman"/>
          <w:sz w:val="24"/>
          <w:szCs w:val="24"/>
        </w:rPr>
        <w:instrText>ADDIN CSL_CITATION {"citationItems":[{"id":"ITEM-1","itemData":{"DOI":"10.1371/journal.pone.0233111","ISBN":"1111111111","abstract":"Bangladesh exhibits the second highest rate of smokeless tobacco (SLT) product usage in the world, and this has been associated with the high upper aerodigestive tract cancer incidence in this country. The goal of the present study was to examine the levels of the highly carcinogenic tobacco-specific nitrosamines (TSNAs) in Bangladeshi SLT products and compare these levels to that observed in SLT brands from southeast Asia and the USA. The levels of TSNAs and nicotine were determined by LC-MS/MS in twenty-eight SLT brands and several tobacco additives from Bangladesh, as well as several SLT brands from India, Pakistan and the USA. The levels of N-nitrosonornicotine (NNN), 4-(methylnitrosamino)-1-(3-pyridyl)-1-butanone (NNK), N-nitrosoanatabine (NAT) and N-nitrosoanabasine (NAB) in Bangladeshi SLT brands ranged from 1.1-59, 0.15-34, 0.79-45, and 0.037-13 μg/g SLT powder, respectively. The mean levels of the highly carcinogenic TSNAs (NNN+NNK) were 7.4-, 2.4-, and 63-fold higher in Bangladeshi SLT products as compared to SLT brands from the USA, India and Pakistan, respectively; these trends were also observed for NAT and NAB. Similar mean levels of nicotine were observed in the Bangladeshi brands (31 mg/g powder) versus brands from the USA (25 mg/g powder) and India (20 mg/g powder); they were 3-fold higher than brands from Pakistan (10 mg/g powder). Gul SLT brands exhibited the highest pH and the highest levels of unprotonated nicotine. The high levels of TSNAs in Bangladeshi SLT brands may be an important factor contributing to the high rates of upper aerodigestive tract cancer in Bangladesh.","author":[{"dropping-particle":"","family":"Nasrin","given":"Shamema","non-dropping-particle":"","parse-names":false,"suffix":""},{"dropping-particle":"","family":"Chen","given":"Gang","non-dropping-particle":"","parse-names":false,"suffix":""},{"dropping-particle":"","family":"Watson","given":"Christy J W","non-dropping-particle":"","parse-names":false,"suffix":""},{"dropping-particle":"","family":"Lazarus","given":"Philip","non-dropping-particle":"","parse-names":false,"suffix":""}],"id":"ITEM-1","issued":{"date-parts":[["2020"]]},"title":"Comparison of tobacco-specific nitrosamine levels in smokeless tobacco products: High levels in products from Bangladesh","type":"article-journal"},"uris":["http://www.mendeley.com/documents/?uuid=464a18fd-bfe9-396a-b2cd-3d442402833b"]}],"mendeley":{"formattedCitation":"(14)","plainTextFormattedCitation":"(14)","previouslyFormattedCitation":"(14)"},"properties":{"noteIndex":0},"schema":"https://github.com/citation-style-language/schema/raw/master/csl-citation.json"}</w:instrText>
      </w:r>
      <w:r w:rsidR="007E4103" w:rsidRPr="00674790">
        <w:rPr>
          <w:rFonts w:ascii="Times New Roman" w:hAnsi="Times New Roman" w:cs="Times New Roman"/>
          <w:sz w:val="24"/>
          <w:szCs w:val="24"/>
        </w:rPr>
        <w:fldChar w:fldCharType="separate"/>
      </w:r>
      <w:r w:rsidR="007E4103" w:rsidRPr="00674790">
        <w:rPr>
          <w:rFonts w:ascii="Times New Roman" w:hAnsi="Times New Roman" w:cs="Times New Roman"/>
          <w:noProof/>
          <w:sz w:val="24"/>
          <w:szCs w:val="24"/>
        </w:rPr>
        <w:t>(14)</w:t>
      </w:r>
      <w:r w:rsidR="007E4103" w:rsidRPr="00674790">
        <w:rPr>
          <w:rFonts w:ascii="Times New Roman" w:hAnsi="Times New Roman" w:cs="Times New Roman"/>
          <w:sz w:val="24"/>
          <w:szCs w:val="24"/>
        </w:rPr>
        <w:fldChar w:fldCharType="end"/>
      </w:r>
      <w:r w:rsidR="007E4103" w:rsidRPr="00674790">
        <w:rPr>
          <w:rFonts w:ascii="Times New Roman" w:hAnsi="Times New Roman" w:cs="Times New Roman"/>
          <w:sz w:val="24"/>
          <w:szCs w:val="24"/>
        </w:rPr>
        <w:t>.</w:t>
      </w:r>
    </w:p>
    <w:p w14:paraId="13FAC564" w14:textId="6ABE3BBB" w:rsidR="007B0F98" w:rsidRPr="00674790" w:rsidRDefault="007E4103"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Graphic</w:t>
      </w:r>
      <w:r w:rsidR="00B270C9" w:rsidRPr="00674790">
        <w:rPr>
          <w:rFonts w:ascii="Times New Roman" w:hAnsi="Times New Roman" w:cs="Times New Roman"/>
          <w:sz w:val="24"/>
          <w:szCs w:val="24"/>
        </w:rPr>
        <w:t xml:space="preserve"> health warnings labels (GHWLs) on product packaging have been recognized by the Framework Convention on Tobacco Control (FCTC) of the World Health Organization (WHO) as a cost-effective policy intervention to educate consumers about the dangers of tobacco use. The impact of graphic warnings can be felt by illiterate individuals</w:t>
      </w:r>
      <w:r w:rsidR="00355CBC">
        <w:rPr>
          <w:rFonts w:ascii="Times New Roman" w:hAnsi="Times New Roman" w:cs="Times New Roman"/>
          <w:sz w:val="24"/>
          <w:szCs w:val="24"/>
        </w:rPr>
        <w:t xml:space="preserve"> </w:t>
      </w:r>
      <w:r w:rsidR="00355CBC" w:rsidRPr="00674790">
        <w:rPr>
          <w:rFonts w:ascii="Times New Roman" w:hAnsi="Times New Roman" w:cs="Times New Roman"/>
          <w:sz w:val="24"/>
          <w:szCs w:val="24"/>
        </w:rPr>
        <w:fldChar w:fldCharType="begin" w:fldLock="1"/>
      </w:r>
      <w:r w:rsidR="00355CBC" w:rsidRPr="00674790">
        <w:rPr>
          <w:rFonts w:ascii="Times New Roman" w:hAnsi="Times New Roman" w:cs="Times New Roman"/>
          <w:sz w:val="24"/>
          <w:szCs w:val="24"/>
        </w:rPr>
        <w:instrText>ADDIN CSL_CITATION {"citationItems":[{"id":"ITEM-1","itemData":{"DOI":"10.1136/tobaccocontrol-2014-051978","ISSN":"14683318","PMID":"25948713","abstract":"Objective To inform international research and policy, we conducted a meta-analysis of the experimental literature on pictorial cigarette pack warnings. Data sources We systematically searched 7 computerised databases in April 2013 using several search terms. We also searched reference lists of relevant articles. Study selection We included studies that used an experimental protocol to test cigarette pack warnings and reported data on both pictorial and text-only conditions. 37 studies with data on 48 independent samples (N=33 613) met criteria. Data extraction and synthesis Two independent coders coded all study characteristics. Effect sizes were computed from data extracted from study reports and were combined using random effects meta-analytic procedures. Results Pictorial warnings were more effective than text-only warnings for 12 of 17 effectiveness outcomes (all p&lt;0.05). Relative to text-only warnings, pictorial warnings (1) attracted and held attention better; (2) garnered stronger cognitive and emotional reactions; (3) elicited more negative pack attitudes and negative smoking attitudes and (4) more effectively increased intentions to not start smoking and to quit smoking. Participants also perceived pictorial warnings as being more effective than text-only warnings across all 8 perceived effectiveness outcomes. Conclusions The evidence from this international body of literature supports pictorial cigarette pack warnings as more effective than text-only warnings. Gaps in the literature include a lack of assessment of smoking behaviour and a dearth of theory-based research on how warnings exert their effects.","author":[{"dropping-particle":"","family":"Noar","given":"Seth M.","non-dropping-particle":"","parse-names":false,"suffix":""},{"dropping-particle":"","family":"Hall","given":"Marissa G.","non-dropping-particle":"","parse-names":false,"suffix":""},{"dropping-particle":"","family":"Francis","given":"Diane B.","non-dropping-particle":"","parse-names":false,"suffix":""},{"dropping-particle":"","family":"Ribis","given":"Kurt M.","non-dropping-particle":"","parse-names":false,"suffix":""},{"dropping-particle":"","family":"Pepper","given":"Jessica K.","non-dropping-particle":"","parse-names":false,"suffix":""},{"dropping-particle":"","family":"Brewer","given":"Noel T.","non-dropping-particle":"","parse-names":false,"suffix":""}],"container-title":"Tobacco Control","id":"ITEM-1","issue":"3","issued":{"date-parts":[["2016"]]},"page":"341-354","title":"Pictorial cigarette pack warnings: A meta-analysis of experimental studies","type":"article-journal","volume":"25"},"uris":["http://www.mendeley.com/documents/?uuid=6d483fda-de2c-40f5-bab4-c341814ca72a"]}],"mendeley":{"formattedCitation":"(15)","plainTextFormattedCitation":"(15)","previouslyFormattedCitation":"(15)"},"properties":{"noteIndex":0},"schema":"https://github.com/citation-style-language/schema/raw/master/csl-citation.json"}</w:instrText>
      </w:r>
      <w:r w:rsidR="00355CBC" w:rsidRPr="00674790">
        <w:rPr>
          <w:rFonts w:ascii="Times New Roman" w:hAnsi="Times New Roman" w:cs="Times New Roman"/>
          <w:sz w:val="24"/>
          <w:szCs w:val="24"/>
        </w:rPr>
        <w:fldChar w:fldCharType="separate"/>
      </w:r>
      <w:r w:rsidR="00355CBC" w:rsidRPr="00674790">
        <w:rPr>
          <w:rFonts w:ascii="Times New Roman" w:hAnsi="Times New Roman" w:cs="Times New Roman"/>
          <w:noProof/>
          <w:sz w:val="24"/>
          <w:szCs w:val="24"/>
        </w:rPr>
        <w:t>(15)</w:t>
      </w:r>
      <w:r w:rsidR="00355CBC" w:rsidRPr="00674790">
        <w:rPr>
          <w:rFonts w:ascii="Times New Roman" w:hAnsi="Times New Roman" w:cs="Times New Roman"/>
          <w:sz w:val="24"/>
          <w:szCs w:val="24"/>
        </w:rPr>
        <w:fldChar w:fldCharType="end"/>
      </w:r>
      <w:r w:rsidR="00B270C9" w:rsidRPr="00674790">
        <w:rPr>
          <w:rFonts w:ascii="Times New Roman" w:hAnsi="Times New Roman" w:cs="Times New Roman"/>
          <w:sz w:val="24"/>
          <w:szCs w:val="24"/>
        </w:rPr>
        <w:t>. Insufficient public information about SLT use makes it difficult for program administrators and policymakers to create and implement efficient SLT control measures</w:t>
      </w:r>
      <w:r w:rsidRPr="00674790">
        <w:rPr>
          <w:rFonts w:ascii="Times New Roman" w:hAnsi="Times New Roman" w:cs="Times New Roman"/>
          <w:sz w:val="24"/>
          <w:szCs w:val="24"/>
        </w:rPr>
        <w:t>.</w:t>
      </w:r>
      <w:r w:rsidR="00922689" w:rsidRPr="00674790">
        <w:rPr>
          <w:rFonts w:ascii="Times New Roman" w:hAnsi="Times New Roman" w:cs="Times New Roman"/>
          <w:sz w:val="24"/>
          <w:szCs w:val="24"/>
        </w:rPr>
        <w:t xml:space="preserve"> </w:t>
      </w:r>
      <w:r w:rsidR="00E333BF" w:rsidRPr="00674790">
        <w:rPr>
          <w:rFonts w:ascii="Times New Roman" w:hAnsi="Times New Roman" w:cs="Times New Roman"/>
          <w:sz w:val="24"/>
          <w:szCs w:val="24"/>
        </w:rPr>
        <w:t>Warnings on products and advertisements reduce the positive smoking cues, including craving</w:t>
      </w:r>
      <w:r w:rsidR="00C37D98" w:rsidRPr="00674790">
        <w:rPr>
          <w:rFonts w:ascii="Times New Roman" w:hAnsi="Times New Roman" w:cs="Times New Roman"/>
          <w:sz w:val="24"/>
          <w:szCs w:val="24"/>
        </w:rPr>
        <w:t xml:space="preserve"> </w:t>
      </w:r>
      <w:r w:rsidR="00C37D98" w:rsidRPr="00674790">
        <w:rPr>
          <w:rFonts w:ascii="Times New Roman" w:hAnsi="Times New Roman" w:cs="Times New Roman"/>
          <w:sz w:val="24"/>
          <w:szCs w:val="24"/>
        </w:rPr>
        <w:fldChar w:fldCharType="begin" w:fldLock="1"/>
      </w:r>
      <w:r w:rsidR="00C37D98" w:rsidRPr="00674790">
        <w:rPr>
          <w:rFonts w:ascii="Times New Roman" w:hAnsi="Times New Roman" w:cs="Times New Roman"/>
          <w:sz w:val="24"/>
          <w:szCs w:val="24"/>
        </w:rPr>
        <w:instrText>ADDIN CSL_CITATION {"citationItems":[{"id":"ITEM-1","itemData":{"DOI":"10.1111/adb.12117","ISSN":"13691600","PMID":"24330194","abstract":"There is an ongoing public debate about the new graphic warning labels (GWLs) that the Food and Drug Administration (FDA) proposes to place on cigarette packs. Tobacco companies argued that the strongly emotional images FDA proposed to include in the GWLs encroached on their constitutional rights. The court ruled that FDA did not provide sufficient scientific evidence of compelling public interest in such encroachment. This study's objectives were to examine the effects of the GWLs on the electrophysiological and behavioral correlates of smoking addiction and to determine whether labels rated higher on the emotional reaction (ER) scale are associated with greater effects. We studied 25 non-treatment-seeking smokers. Event-related potentials (ERPs) were recorded while participants viewed a random sequence of paired images, in which visual smoking (Cues) or non-smoking (non-Cues) images were preceded by GWLs or neutral images. Participants reported their cigarette craving after viewing each pair. Dependent variables were magnitude of P300 ERPs and self-reported cigarette craving in response to Cues. We found that subjective craving response to Cues was significantly reduced by preceding GWLs, whereas the P300 amplitude response to Cues was reduced only by preceding GWLs rated high on the ER scale. In conclusion, our study provides experimental neuroscience evidence that weighs in on the ongoing public and legal debate about how to balance the constitutional and public health aspects of the FDA-proposed GWLs. The high toll of smoking-related illness and death adds urgency to the debate and prompts consideration of our findings while longitudinal studies of GWLs are underway. There is a debate in the US about constitutionality of the graphic cigarette warning labels that evoke a strong emotional reaction. Using event-related potentials and cue-induced craving, we found that warning labels rated high on an emotional reaction scale, attenuated the brain and behavioral response to visual smoking cues more than those rated low. These effects on surrogate measures of smoking addiction suggest that the emotional impact of graphic warning labels contributes to their public health effectiveness.","author":[{"dropping-particle":"","family":"Wang","given":"An Li","non-dropping-particle":"","parse-names":false,"suffix":""},{"dropping-particle":"","family":"Romer","given":"Dan","non-dropping-particle":"","parse-names":false,"suffix":""},{"dropping-particle":"","family":"Elman","given":"Igor","non-dropping-particle":"","parse-names":false,"suffix":""},{"dropping-particle":"","family":"Strasser","given":"Andrew A.","non-dropping-particle":"","parse-names":false,"suffix":""},{"dropping-particle":"","family":"Turetsky","given":"Bruce I.","non-dropping-particle":"","parse-names":false,"suffix":""},{"dropping-particle":"","family":"Gur","given":"Ruben C.","non-dropping-particle":"","parse-names":false,"suffix":""},{"dropping-particle":"","family":"Langleben","given":"Daniel D.","non-dropping-particle":"","parse-names":false,"suffix":""}],"container-title":"Addiction Biology","id":"ITEM-1","issue":"2","issued":{"date-parts":[["2015"]]},"page":"368-376","title":"Emotional graphic cigarette warning labels reduce the electrophysiological brain response to smoking cues","type":"article-journal","volume":"20"},"uris":["http://www.mendeley.com/documents/?uuid=22d7ee8a-0cff-43c2-935d-7009c417bbb7"]}],"mendeley":{"formattedCitation":"(16)","plainTextFormattedCitation":"(16)","previouslyFormattedCitation":"(16)"},"properties":{"noteIndex":0},"schema":"https://github.com/citation-style-language/schema/raw/master/csl-citation.json"}</w:instrText>
      </w:r>
      <w:r w:rsidR="00C37D98" w:rsidRPr="00674790">
        <w:rPr>
          <w:rFonts w:ascii="Times New Roman" w:hAnsi="Times New Roman" w:cs="Times New Roman"/>
          <w:sz w:val="24"/>
          <w:szCs w:val="24"/>
        </w:rPr>
        <w:fldChar w:fldCharType="separate"/>
      </w:r>
      <w:r w:rsidR="00C37D98" w:rsidRPr="00674790">
        <w:rPr>
          <w:rFonts w:ascii="Times New Roman" w:hAnsi="Times New Roman" w:cs="Times New Roman"/>
          <w:noProof/>
          <w:sz w:val="24"/>
          <w:szCs w:val="24"/>
        </w:rPr>
        <w:t>(16)</w:t>
      </w:r>
      <w:r w:rsidR="00C37D98" w:rsidRPr="00674790">
        <w:rPr>
          <w:rFonts w:ascii="Times New Roman" w:hAnsi="Times New Roman" w:cs="Times New Roman"/>
          <w:sz w:val="24"/>
          <w:szCs w:val="24"/>
        </w:rPr>
        <w:fldChar w:fldCharType="end"/>
      </w:r>
      <w:r w:rsidR="00E333BF" w:rsidRPr="00674790">
        <w:rPr>
          <w:rFonts w:ascii="Times New Roman" w:hAnsi="Times New Roman" w:cs="Times New Roman"/>
          <w:sz w:val="24"/>
          <w:szCs w:val="24"/>
        </w:rPr>
        <w:t>.</w:t>
      </w:r>
      <w:r w:rsidR="007B0F98" w:rsidRPr="00674790">
        <w:rPr>
          <w:rFonts w:ascii="Times New Roman" w:hAnsi="Times New Roman" w:cs="Times New Roman"/>
          <w:sz w:val="24"/>
          <w:szCs w:val="24"/>
        </w:rPr>
        <w:t xml:space="preserve"> </w:t>
      </w:r>
    </w:p>
    <w:p w14:paraId="0D883382" w14:textId="340290B5" w:rsidR="00C87358" w:rsidRPr="00674790" w:rsidRDefault="007B0F98"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Cigarette packaging also functions as a vital connection to other types of tobacco promotion </w:t>
      </w:r>
      <w:r w:rsidR="00C37D98" w:rsidRPr="00674790">
        <w:rPr>
          <w:rFonts w:ascii="Times New Roman" w:hAnsi="Times New Roman" w:cs="Times New Roman"/>
          <w:sz w:val="24"/>
          <w:szCs w:val="24"/>
        </w:rPr>
        <w:fldChar w:fldCharType="begin" w:fldLock="1"/>
      </w:r>
      <w:r w:rsidR="00C37D98" w:rsidRPr="00674790">
        <w:rPr>
          <w:rFonts w:ascii="Times New Roman" w:hAnsi="Times New Roman" w:cs="Times New Roman"/>
          <w:sz w:val="24"/>
          <w:szCs w:val="24"/>
        </w:rPr>
        <w:instrText>ADDIN CSL_CITATION {"citationItems":[{"id":"ITEM-1","itemData":{"DOI":"10.1136/tc.11.2.154","ISSN":"09644563","PMID":"12035011","abstract":"Faced with bans on advertising, the tobacco companies are looking to new, more subtle ways of maintaining their brands' profile in the public eye.","author":[{"dropping-particle":"","family":"Wakefield","given":"M.","non-dropping-particle":"","parse-names":false,"suffix":""},{"dropping-particle":"","family":"Letcher","given":"T.","non-dropping-particle":"","parse-names":false,"suffix":""}],"container-title":"Tobacco Control","id":"ITEM-1","issue":"2","issued":{"date-parts":[["2002"]]},"page":"154-156","title":"My pack is cuter than your pack","type":"article-journal","volume":"11"},"uris":["http://www.mendeley.com/documents/?uuid=e21e0488-a408-48ba-88fe-c28ef6e666a7"]}],"mendeley":{"formattedCitation":"(17)","plainTextFormattedCitation":"(17)","previouslyFormattedCitation":"(17)"},"properties":{"noteIndex":0},"schema":"https://github.com/citation-style-language/schema/raw/master/csl-citation.json"}</w:instrText>
      </w:r>
      <w:r w:rsidR="00C37D98" w:rsidRPr="00674790">
        <w:rPr>
          <w:rFonts w:ascii="Times New Roman" w:hAnsi="Times New Roman" w:cs="Times New Roman"/>
          <w:sz w:val="24"/>
          <w:szCs w:val="24"/>
        </w:rPr>
        <w:fldChar w:fldCharType="separate"/>
      </w:r>
      <w:r w:rsidR="00C37D98" w:rsidRPr="00674790">
        <w:rPr>
          <w:rFonts w:ascii="Times New Roman" w:hAnsi="Times New Roman" w:cs="Times New Roman"/>
          <w:noProof/>
          <w:sz w:val="24"/>
          <w:szCs w:val="24"/>
        </w:rPr>
        <w:t>(17)</w:t>
      </w:r>
      <w:r w:rsidR="00C37D98" w:rsidRPr="00674790">
        <w:rPr>
          <w:rFonts w:ascii="Times New Roman" w:hAnsi="Times New Roman" w:cs="Times New Roman"/>
          <w:sz w:val="24"/>
          <w:szCs w:val="24"/>
        </w:rPr>
        <w:fldChar w:fldCharType="end"/>
      </w:r>
      <w:r w:rsidRPr="00674790">
        <w:rPr>
          <w:rFonts w:ascii="Times New Roman" w:hAnsi="Times New Roman" w:cs="Times New Roman"/>
          <w:sz w:val="24"/>
          <w:szCs w:val="24"/>
        </w:rPr>
        <w:t>. In Bangladesh, the requirements of the National Tobacco Control Act regarding health warnings on cigarette packets have been effectively enforced. The high frequency of smokeless tobacco use in the nation indicates a high degree of societal acceptance</w:t>
      </w:r>
      <w:r w:rsidR="00674790">
        <w:rPr>
          <w:rFonts w:ascii="Times New Roman" w:hAnsi="Times New Roman" w:cs="Times New Roman"/>
          <w:sz w:val="24"/>
          <w:szCs w:val="24"/>
        </w:rPr>
        <w:t xml:space="preserve"> </w:t>
      </w:r>
      <w:r w:rsidR="00C37D98" w:rsidRPr="00674790">
        <w:rPr>
          <w:rFonts w:ascii="Times New Roman" w:hAnsi="Times New Roman" w:cs="Times New Roman"/>
          <w:sz w:val="24"/>
          <w:szCs w:val="24"/>
        </w:rPr>
        <w:fldChar w:fldCharType="begin" w:fldLock="1"/>
      </w:r>
      <w:r w:rsidR="00C37D98" w:rsidRPr="00674790">
        <w:rPr>
          <w:rFonts w:ascii="Times New Roman" w:hAnsi="Times New Roman" w:cs="Times New Roman"/>
          <w:sz w:val="24"/>
          <w:szCs w:val="24"/>
        </w:rPr>
        <w:instrText>ADDIN CSL_CITATION {"citationItems":[{"id":"ITEM-1","itemData":{"author":[{"dropping-particle":"","family":"C Gupta","given":"Prakash","non-dropping-particle":"","parse-names":false,"suffix":""},{"dropping-particle":"","family":"S Ray","given":"Cecily","non-dropping-particle":"","parse-names":false,"suffix":""}],"container-title":"Respirology","id":"ITEM-1","issued":{"date-parts":[["2003"]]},"title":"Smokeless tobacco and health in India and South Asia","type":"article-journal"},"uris":["http://www.mendeley.com/documents/?uuid=02a9e67c-5bb3-4e9a-a4d2-f79a11aa522b"]}],"mendeley":{"formattedCitation":"(18)","plainTextFormattedCitation":"(18)","previouslyFormattedCitation":"(18)"},"properties":{"noteIndex":0},"schema":"https://github.com/citation-style-language/schema/raw/master/csl-citation.json"}</w:instrText>
      </w:r>
      <w:r w:rsidR="00C37D98" w:rsidRPr="00674790">
        <w:rPr>
          <w:rFonts w:ascii="Times New Roman" w:hAnsi="Times New Roman" w:cs="Times New Roman"/>
          <w:sz w:val="24"/>
          <w:szCs w:val="24"/>
        </w:rPr>
        <w:fldChar w:fldCharType="separate"/>
      </w:r>
      <w:r w:rsidR="00C37D98" w:rsidRPr="00674790">
        <w:rPr>
          <w:rFonts w:ascii="Times New Roman" w:hAnsi="Times New Roman" w:cs="Times New Roman"/>
          <w:noProof/>
          <w:sz w:val="24"/>
          <w:szCs w:val="24"/>
        </w:rPr>
        <w:t>(18)</w:t>
      </w:r>
      <w:r w:rsidR="00C37D98" w:rsidRPr="00674790">
        <w:rPr>
          <w:rFonts w:ascii="Times New Roman" w:hAnsi="Times New Roman" w:cs="Times New Roman"/>
          <w:sz w:val="24"/>
          <w:szCs w:val="24"/>
        </w:rPr>
        <w:fldChar w:fldCharType="end"/>
      </w:r>
      <w:r w:rsidRPr="00674790">
        <w:rPr>
          <w:rFonts w:ascii="Times New Roman" w:hAnsi="Times New Roman" w:cs="Times New Roman"/>
          <w:sz w:val="24"/>
          <w:szCs w:val="24"/>
        </w:rPr>
        <w:t>. Tobacco products must have health warnings because they are extremely addictive and kill about half of their long-term users</w:t>
      </w:r>
      <w:r w:rsidR="00C37D98" w:rsidRPr="00674790">
        <w:rPr>
          <w:rFonts w:ascii="Times New Roman" w:hAnsi="Times New Roman" w:cs="Times New Roman"/>
          <w:sz w:val="24"/>
          <w:szCs w:val="24"/>
        </w:rPr>
        <w:t xml:space="preserve"> </w:t>
      </w:r>
      <w:r w:rsidR="00C37D98" w:rsidRPr="00674790">
        <w:rPr>
          <w:rFonts w:ascii="Times New Roman" w:hAnsi="Times New Roman" w:cs="Times New Roman"/>
          <w:sz w:val="24"/>
          <w:szCs w:val="24"/>
        </w:rPr>
        <w:fldChar w:fldCharType="begin" w:fldLock="1"/>
      </w:r>
      <w:r w:rsidR="0069286A" w:rsidRPr="00674790">
        <w:rPr>
          <w:rFonts w:ascii="Times New Roman" w:hAnsi="Times New Roman" w:cs="Times New Roman"/>
          <w:sz w:val="24"/>
          <w:szCs w:val="24"/>
        </w:rPr>
        <w:instrText>ADDIN CSL_CITATION {"citationItems":[{"id":"ITEM-1","itemData":{"DOI":"10.1016/s0084-3954(07)70288-9","ISSN":"00843954","author":[{"dropping-particle":"","family":"Stockman","given":"J.A.","non-dropping-particle":"","parse-names":false,"suffix":""}],"container-title":"Yearbook of Pediatrics","id":"ITEM-1","issued":{"date-parts":[["2006"]]},"page":"498-500","title":"Mortality in Relation to Smoking: 50 Years' Observations on Male British Doctors","type":"article-journal","volume":"2006"},"uris":["http://www.mendeley.com/documents/?uuid=5069d382-be20-460b-853d-05400779ed6e"]}],"mendeley":{"formattedCitation":"(19)","plainTextFormattedCitation":"(19)","previouslyFormattedCitation":"(19)"},"properties":{"noteIndex":0},"schema":"https://github.com/citation-style-language/schema/raw/master/csl-citation.json"}</w:instrText>
      </w:r>
      <w:r w:rsidR="00C37D98" w:rsidRPr="00674790">
        <w:rPr>
          <w:rFonts w:ascii="Times New Roman" w:hAnsi="Times New Roman" w:cs="Times New Roman"/>
          <w:sz w:val="24"/>
          <w:szCs w:val="24"/>
        </w:rPr>
        <w:fldChar w:fldCharType="separate"/>
      </w:r>
      <w:r w:rsidR="00C37D98" w:rsidRPr="00674790">
        <w:rPr>
          <w:rFonts w:ascii="Times New Roman" w:hAnsi="Times New Roman" w:cs="Times New Roman"/>
          <w:noProof/>
          <w:sz w:val="24"/>
          <w:szCs w:val="24"/>
        </w:rPr>
        <w:t>(19)</w:t>
      </w:r>
      <w:r w:rsidR="00C37D98" w:rsidRPr="00674790">
        <w:rPr>
          <w:rFonts w:ascii="Times New Roman" w:hAnsi="Times New Roman" w:cs="Times New Roman"/>
          <w:sz w:val="24"/>
          <w:szCs w:val="24"/>
        </w:rPr>
        <w:fldChar w:fldCharType="end"/>
      </w:r>
      <w:r w:rsidR="00C37D98" w:rsidRPr="00674790">
        <w:rPr>
          <w:rFonts w:ascii="Times New Roman" w:hAnsi="Times New Roman" w:cs="Times New Roman"/>
          <w:sz w:val="24"/>
          <w:szCs w:val="24"/>
        </w:rPr>
        <w:t xml:space="preserve">. </w:t>
      </w:r>
      <w:r w:rsidRPr="00674790">
        <w:rPr>
          <w:rFonts w:ascii="Times New Roman" w:hAnsi="Times New Roman" w:cs="Times New Roman"/>
          <w:sz w:val="24"/>
          <w:szCs w:val="24"/>
        </w:rPr>
        <w:t xml:space="preserve">Text-only warnings are less successful than all visual forms, and graphic warnings get higher efficacy ratings than symbolic or testimonial warnings </w:t>
      </w:r>
      <w:r w:rsidR="0069286A" w:rsidRPr="00674790">
        <w:rPr>
          <w:rFonts w:ascii="Times New Roman" w:hAnsi="Times New Roman" w:cs="Times New Roman"/>
          <w:sz w:val="24"/>
          <w:szCs w:val="24"/>
        </w:rPr>
        <w:fldChar w:fldCharType="begin" w:fldLock="1"/>
      </w:r>
      <w:r w:rsidR="0069286A" w:rsidRPr="00674790">
        <w:rPr>
          <w:rFonts w:ascii="Times New Roman" w:hAnsi="Times New Roman" w:cs="Times New Roman"/>
          <w:sz w:val="24"/>
          <w:szCs w:val="24"/>
        </w:rPr>
        <w:instrText>ADDIN CSL_CITATION {"citationItems":[{"id":"ITEM-1","itemData":{"DOI":"10.1136/tc.2010.037630","ISSN":"09644563","PMID":"21606180","abstract":"Objective To review evidence on the impact of health warning messages on tobacco packages. Data sources Articles were identified through electronic databases of published articles, as well as relevant 'grey' literature using the following keywords: health warning, health message, health communication, label and labelling in conjunction with at least one of the following terms: smoking, tobacco, cigarette, product, package and pack. Study selection and data extraction: Relevant articles available prior to January 2011 were screened for six methodological criteria. A total of 94 original original articles met inclusion criteria, including 72 quantitative studies, 16 qualitative studies, 5 studies with both qualitative and qualitative components, and 1 review paper: Canada (n=35), USA (n=29) Australia (n=16), UK (n=13), The Netherlands (n=3), France (n=3), New Zealand (n=3), Mexico (n=3), Brazil (n=2), Belgium (n=1), other European countries (n=10), Norway (n=1), Malaysia (n=1) and China (n=1). Results The evidence indicates that the impact of health warnings depends upon their size and design: whereas obscure text-only warnings appear to have little impact, prominent health warnings on the face of packages serve as a prominent source of health information for smokers and non-smokers, can increase health knowledge and perceptions of risk and can promote smoking cessation. The evidence also indicates that comprehensive warnings are effective among youth and may help to prevent smoking initiation. Pictorial health warnings that elicit strong emotional reactions are significantly more effective. Conclusions Health warnings on packages are among the most direct and prominent means of communicating with smokers. Larger warnings with pictures are significantly more effective than smaller, text-only messages.","author":[{"dropping-particle":"","family":"Hammond","given":"David","non-dropping-particle":"","parse-names":false,"suffix":""}],"container-title":"Tobacco Control","id":"ITEM-1","issue":"5","issued":{"date-parts":[["2011"]]},"page":"327-337","title":"Health warning messages on tobacco products: A review","type":"article-journal","volume":"20"},"uris":["http://www.mendeley.com/documents/?uuid=309486d1-9b00-48cb-b106-3578e08652ba"]}],"mendeley":{"formattedCitation":"(20)","plainTextFormattedCitation":"(20)","previouslyFormattedCitation":"(20)"},"properties":{"noteIndex":0},"schema":"https://github.com/citation-style-language/schema/raw/master/csl-citation.json"}</w:instrText>
      </w:r>
      <w:r w:rsidR="0069286A" w:rsidRPr="00674790">
        <w:rPr>
          <w:rFonts w:ascii="Times New Roman" w:hAnsi="Times New Roman" w:cs="Times New Roman"/>
          <w:sz w:val="24"/>
          <w:szCs w:val="24"/>
        </w:rPr>
        <w:fldChar w:fldCharType="separate"/>
      </w:r>
      <w:r w:rsidR="0069286A" w:rsidRPr="00674790">
        <w:rPr>
          <w:rFonts w:ascii="Times New Roman" w:hAnsi="Times New Roman" w:cs="Times New Roman"/>
          <w:noProof/>
          <w:sz w:val="24"/>
          <w:szCs w:val="24"/>
        </w:rPr>
        <w:t>(20)</w:t>
      </w:r>
      <w:r w:rsidR="0069286A" w:rsidRPr="00674790">
        <w:rPr>
          <w:rFonts w:ascii="Times New Roman" w:hAnsi="Times New Roman" w:cs="Times New Roman"/>
          <w:sz w:val="24"/>
          <w:szCs w:val="24"/>
        </w:rPr>
        <w:fldChar w:fldCharType="end"/>
      </w:r>
      <w:r w:rsidRPr="00674790">
        <w:rPr>
          <w:rFonts w:ascii="Times New Roman" w:hAnsi="Times New Roman" w:cs="Times New Roman"/>
          <w:sz w:val="24"/>
          <w:szCs w:val="24"/>
        </w:rPr>
        <w:t>. Thus, the study has been undertaken to explore the relationship between the graphic warning and the use of tobacco.</w:t>
      </w:r>
    </w:p>
    <w:p w14:paraId="65407D9B" w14:textId="0DDEACD7" w:rsidR="00ED7755" w:rsidRPr="00674790" w:rsidRDefault="00355CBC"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lastRenderedPageBreak/>
        <w:t>To</w:t>
      </w:r>
      <w:r w:rsidR="00922689" w:rsidRPr="00674790">
        <w:rPr>
          <w:rFonts w:ascii="Times New Roman" w:hAnsi="Times New Roman" w:cs="Times New Roman"/>
          <w:sz w:val="24"/>
          <w:szCs w:val="24"/>
        </w:rPr>
        <w:t xml:space="preserve"> analyze their effects on a vulnerable population of Bangladesh, this study contrasted the attention given to GHWLs and text health warning labels embedded within SLT advertisements. Our main goal was to identify potential implementation difficulties and predict that SLT users exposed to GHWLs would show improved attention and retention as well as lessened SLT appetite when compared to SLT users exposed to text-only warnings.</w:t>
      </w:r>
    </w:p>
    <w:bookmarkEnd w:id="0"/>
    <w:p w14:paraId="0747D79B" w14:textId="77777777" w:rsidR="00922689" w:rsidRPr="00674790" w:rsidRDefault="00922689" w:rsidP="00674790">
      <w:pPr>
        <w:spacing w:after="0" w:line="480" w:lineRule="auto"/>
        <w:jc w:val="both"/>
        <w:rPr>
          <w:rFonts w:ascii="Times New Roman" w:hAnsi="Times New Roman" w:cs="Times New Roman"/>
          <w:sz w:val="24"/>
          <w:szCs w:val="24"/>
        </w:rPr>
      </w:pPr>
    </w:p>
    <w:p w14:paraId="7BB616BB" w14:textId="6453285E" w:rsidR="000E5B01" w:rsidRPr="00674790" w:rsidRDefault="000E5B01" w:rsidP="00674790">
      <w:pPr>
        <w:spacing w:after="0"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5. Rationale/justification of the research (maximum 300 words)</w:t>
      </w:r>
    </w:p>
    <w:p w14:paraId="4A40B14F" w14:textId="3EF1A861" w:rsidR="00A0465C" w:rsidRPr="00674790" w:rsidRDefault="00922689" w:rsidP="00674790">
      <w:pPr>
        <w:spacing w:after="0" w:line="480" w:lineRule="auto"/>
        <w:jc w:val="both"/>
        <w:rPr>
          <w:rFonts w:ascii="Times New Roman" w:hAnsi="Times New Roman" w:cs="Times New Roman"/>
          <w:sz w:val="24"/>
          <w:szCs w:val="24"/>
        </w:rPr>
      </w:pPr>
      <w:bookmarkStart w:id="1" w:name="_Hlk118834111"/>
      <w:r w:rsidRPr="00674790">
        <w:rPr>
          <w:rFonts w:ascii="Times New Roman" w:hAnsi="Times New Roman" w:cs="Times New Roman"/>
          <w:sz w:val="24"/>
          <w:szCs w:val="24"/>
        </w:rPr>
        <w:t xml:space="preserve">There is a dearth of data on Bangladesh's low socioeconomic population's understanding, attitude, and use of graphic health warnings on tobacco packages. By employing visual warnings, this study aims to close a knowledge gap and offer fresh data on the impact of health warnings on smokers. The findings will add to the body of information on health warnings and provide compelling support for the effectiveness of nations' cigarette labeling laws, particularly for the nation's low socioeconomic population. The Framework Convention on Tobacco Control's suggestion that warnings have visual content is further supported by these findings. </w:t>
      </w:r>
      <w:r w:rsidR="003C3276" w:rsidRPr="00674790">
        <w:rPr>
          <w:rFonts w:ascii="Times New Roman" w:hAnsi="Times New Roman" w:cs="Times New Roman"/>
          <w:sz w:val="24"/>
          <w:szCs w:val="24"/>
        </w:rPr>
        <w:t>This study contributes to the evidence that GHWLs are an effective tobacco control strategy for all tobacco products and marketing, even if GHWLs for SLT products may also encounter legal objections from the tobacco industry. Thus, graphic health warnings help to reduce the country's tobacco usage, which in turn helps to reduce tobacco-related sickness and death over the long term, so improving Bangladesh's public health.</w:t>
      </w:r>
    </w:p>
    <w:bookmarkEnd w:id="1"/>
    <w:p w14:paraId="08BF53BA" w14:textId="77777777" w:rsidR="000E5B01" w:rsidRPr="00674790" w:rsidRDefault="000E5B01" w:rsidP="00674790">
      <w:pPr>
        <w:spacing w:after="0" w:line="480" w:lineRule="auto"/>
        <w:jc w:val="both"/>
        <w:rPr>
          <w:rFonts w:ascii="Times New Roman" w:hAnsi="Times New Roman" w:cs="Times New Roman"/>
          <w:sz w:val="24"/>
          <w:szCs w:val="24"/>
        </w:rPr>
      </w:pPr>
    </w:p>
    <w:p w14:paraId="2EFBB421" w14:textId="77777777" w:rsidR="001533B0" w:rsidRPr="00674790" w:rsidRDefault="006A55A5" w:rsidP="00674790">
      <w:pPr>
        <w:spacing w:after="0"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6</w:t>
      </w:r>
      <w:r w:rsidR="006B7966" w:rsidRPr="00674790">
        <w:rPr>
          <w:rFonts w:ascii="Times New Roman" w:hAnsi="Times New Roman" w:cs="Times New Roman"/>
          <w:b/>
          <w:sz w:val="24"/>
          <w:szCs w:val="24"/>
        </w:rPr>
        <w:t xml:space="preserve">. </w:t>
      </w:r>
      <w:r w:rsidR="001533B0" w:rsidRPr="00674790">
        <w:rPr>
          <w:rFonts w:ascii="Times New Roman" w:hAnsi="Times New Roman" w:cs="Times New Roman"/>
          <w:b/>
          <w:sz w:val="24"/>
          <w:szCs w:val="24"/>
        </w:rPr>
        <w:t>Research question</w:t>
      </w:r>
    </w:p>
    <w:p w14:paraId="019C74D9" w14:textId="77777777" w:rsidR="00507221" w:rsidRPr="00674790" w:rsidRDefault="003C3276" w:rsidP="00674790">
      <w:pPr>
        <w:pStyle w:val="ListParagraph"/>
        <w:numPr>
          <w:ilvl w:val="0"/>
          <w:numId w:val="14"/>
        </w:numPr>
        <w:spacing w:after="0" w:line="480" w:lineRule="auto"/>
        <w:jc w:val="both"/>
        <w:rPr>
          <w:rFonts w:ascii="Times New Roman" w:hAnsi="Times New Roman" w:cs="Times New Roman"/>
          <w:b/>
          <w:sz w:val="24"/>
          <w:szCs w:val="24"/>
        </w:rPr>
      </w:pPr>
      <w:bookmarkStart w:id="2" w:name="_Hlk118834145"/>
      <w:r w:rsidRPr="00674790">
        <w:rPr>
          <w:rFonts w:ascii="Times New Roman" w:hAnsi="Times New Roman" w:cs="Times New Roman"/>
          <w:sz w:val="24"/>
          <w:szCs w:val="24"/>
        </w:rPr>
        <w:t xml:space="preserve">Do consumers care about the graphic health warning labels on smokeless tobacco products? </w:t>
      </w:r>
    </w:p>
    <w:p w14:paraId="49866085" w14:textId="3204EA47" w:rsidR="003C3276" w:rsidRPr="00674790" w:rsidRDefault="003C3276" w:rsidP="00674790">
      <w:pPr>
        <w:pStyle w:val="ListParagraph"/>
        <w:numPr>
          <w:ilvl w:val="0"/>
          <w:numId w:val="14"/>
        </w:numPr>
        <w:spacing w:after="0" w:line="480" w:lineRule="auto"/>
        <w:jc w:val="both"/>
        <w:rPr>
          <w:rFonts w:ascii="Times New Roman" w:hAnsi="Times New Roman" w:cs="Times New Roman"/>
          <w:b/>
          <w:sz w:val="24"/>
          <w:szCs w:val="24"/>
        </w:rPr>
      </w:pPr>
      <w:r w:rsidRPr="00674790">
        <w:rPr>
          <w:rFonts w:ascii="Times New Roman" w:hAnsi="Times New Roman" w:cs="Times New Roman"/>
          <w:sz w:val="24"/>
          <w:szCs w:val="24"/>
        </w:rPr>
        <w:t xml:space="preserve">Do GHWLs receive more attention than text health warning labels that are incorporated into SLT advertisements? </w:t>
      </w:r>
    </w:p>
    <w:p w14:paraId="4DC87DD1" w14:textId="29DBE87F" w:rsidR="00926F5A" w:rsidRPr="00674790" w:rsidRDefault="003C3276" w:rsidP="00674790">
      <w:pPr>
        <w:pStyle w:val="ListParagraph"/>
        <w:numPr>
          <w:ilvl w:val="0"/>
          <w:numId w:val="14"/>
        </w:numPr>
        <w:spacing w:after="0" w:line="480" w:lineRule="auto"/>
        <w:jc w:val="both"/>
        <w:rPr>
          <w:rFonts w:ascii="Times New Roman" w:hAnsi="Times New Roman" w:cs="Times New Roman"/>
          <w:b/>
          <w:sz w:val="24"/>
          <w:szCs w:val="24"/>
        </w:rPr>
      </w:pPr>
      <w:r w:rsidRPr="00674790">
        <w:rPr>
          <w:rFonts w:ascii="Times New Roman" w:hAnsi="Times New Roman" w:cs="Times New Roman"/>
          <w:sz w:val="24"/>
          <w:szCs w:val="24"/>
        </w:rPr>
        <w:lastRenderedPageBreak/>
        <w:t>Which GHWLs influence the status for a certain group of people?</w:t>
      </w:r>
    </w:p>
    <w:p w14:paraId="1F8F9059" w14:textId="77777777" w:rsidR="003E732C" w:rsidRPr="00674790" w:rsidRDefault="0054097F" w:rsidP="00674790">
      <w:pPr>
        <w:spacing w:after="0" w:line="480" w:lineRule="auto"/>
        <w:jc w:val="both"/>
        <w:rPr>
          <w:rFonts w:ascii="Times New Roman" w:hAnsi="Times New Roman" w:cs="Times New Roman"/>
          <w:b/>
          <w:sz w:val="24"/>
          <w:szCs w:val="24"/>
        </w:rPr>
      </w:pPr>
      <w:bookmarkStart w:id="3" w:name="_Hlk118834157"/>
      <w:bookmarkEnd w:id="2"/>
      <w:r w:rsidRPr="00674790">
        <w:rPr>
          <w:rFonts w:ascii="Times New Roman" w:hAnsi="Times New Roman" w:cs="Times New Roman"/>
          <w:b/>
          <w:sz w:val="24"/>
          <w:szCs w:val="24"/>
        </w:rPr>
        <w:t>Overall</w:t>
      </w:r>
      <w:r w:rsidR="003E732C" w:rsidRPr="00674790">
        <w:rPr>
          <w:rFonts w:ascii="Times New Roman" w:hAnsi="Times New Roman" w:cs="Times New Roman"/>
          <w:b/>
          <w:sz w:val="24"/>
          <w:szCs w:val="24"/>
        </w:rPr>
        <w:t xml:space="preserve"> objective</w:t>
      </w:r>
    </w:p>
    <w:p w14:paraId="0666A738" w14:textId="03539D19" w:rsidR="007C442B" w:rsidRPr="00674790" w:rsidRDefault="00507221" w:rsidP="00674790">
      <w:pPr>
        <w:autoSpaceDE w:val="0"/>
        <w:autoSpaceDN w:val="0"/>
        <w:adjustRightInd w:val="0"/>
        <w:spacing w:before="60" w:after="60" w:line="480" w:lineRule="auto"/>
        <w:jc w:val="both"/>
        <w:rPr>
          <w:rFonts w:ascii="Times New Roman" w:hAnsi="Times New Roman" w:cs="Times New Roman"/>
          <w:sz w:val="24"/>
          <w:szCs w:val="24"/>
        </w:rPr>
      </w:pPr>
      <w:r w:rsidRPr="00674790">
        <w:rPr>
          <w:rFonts w:ascii="Times New Roman" w:hAnsi="Times New Roman" w:cs="Times New Roman"/>
          <w:sz w:val="24"/>
          <w:szCs w:val="24"/>
        </w:rPr>
        <w:t>To comprehend how a GHWLs affects the number of people who use smokeless tobacco.</w:t>
      </w:r>
    </w:p>
    <w:p w14:paraId="39BE823A" w14:textId="77777777" w:rsidR="00507221" w:rsidRPr="00674790" w:rsidRDefault="00507221" w:rsidP="00674790">
      <w:pPr>
        <w:autoSpaceDE w:val="0"/>
        <w:autoSpaceDN w:val="0"/>
        <w:adjustRightInd w:val="0"/>
        <w:spacing w:before="60" w:after="60" w:line="480" w:lineRule="auto"/>
        <w:jc w:val="both"/>
        <w:rPr>
          <w:rFonts w:ascii="Times New Roman" w:hAnsi="Times New Roman" w:cs="Times New Roman"/>
          <w:sz w:val="24"/>
          <w:szCs w:val="24"/>
        </w:rPr>
      </w:pPr>
    </w:p>
    <w:p w14:paraId="2B29C777" w14:textId="77777777" w:rsidR="00590526" w:rsidRPr="00674790" w:rsidRDefault="003E732C" w:rsidP="00674790">
      <w:pPr>
        <w:spacing w:after="0"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 xml:space="preserve">Specific </w:t>
      </w:r>
      <w:r w:rsidR="00590526" w:rsidRPr="00674790">
        <w:rPr>
          <w:rFonts w:ascii="Times New Roman" w:hAnsi="Times New Roman" w:cs="Times New Roman"/>
          <w:b/>
          <w:sz w:val="24"/>
          <w:szCs w:val="24"/>
        </w:rPr>
        <w:t>Objective</w:t>
      </w:r>
      <w:r w:rsidR="00CB0A95" w:rsidRPr="00674790">
        <w:rPr>
          <w:rFonts w:ascii="Times New Roman" w:hAnsi="Times New Roman" w:cs="Times New Roman"/>
          <w:b/>
          <w:sz w:val="24"/>
          <w:szCs w:val="24"/>
        </w:rPr>
        <w:t>s</w:t>
      </w:r>
    </w:p>
    <w:p w14:paraId="100DE7F1" w14:textId="77777777" w:rsidR="00507221" w:rsidRPr="00674790" w:rsidRDefault="00507221" w:rsidP="00674790">
      <w:pPr>
        <w:pStyle w:val="ListParagraph"/>
        <w:numPr>
          <w:ilvl w:val="0"/>
          <w:numId w:val="15"/>
        </w:numPr>
        <w:spacing w:after="0" w:line="480" w:lineRule="auto"/>
        <w:jc w:val="both"/>
        <w:rPr>
          <w:rFonts w:ascii="Times New Roman" w:hAnsi="Times New Roman" w:cs="Times New Roman"/>
          <w:sz w:val="24"/>
          <w:szCs w:val="24"/>
        </w:rPr>
      </w:pPr>
      <w:r w:rsidRPr="00674790">
        <w:rPr>
          <w:rFonts w:ascii="Times New Roman" w:eastAsia="Times New Roman" w:hAnsi="Times New Roman" w:cs="Times New Roman"/>
          <w:sz w:val="24"/>
          <w:szCs w:val="24"/>
          <w:lang w:bidi="en-US"/>
        </w:rPr>
        <w:t xml:space="preserve">To ascertain the socioeconomic status of users of smokeless tobacco. </w:t>
      </w:r>
    </w:p>
    <w:p w14:paraId="5C33453F" w14:textId="77777777" w:rsidR="00507221" w:rsidRPr="00674790" w:rsidRDefault="00507221" w:rsidP="00674790">
      <w:pPr>
        <w:pStyle w:val="ListParagraph"/>
        <w:numPr>
          <w:ilvl w:val="0"/>
          <w:numId w:val="15"/>
        </w:numPr>
        <w:spacing w:after="0" w:line="480" w:lineRule="auto"/>
        <w:jc w:val="both"/>
        <w:rPr>
          <w:rFonts w:ascii="Times New Roman" w:hAnsi="Times New Roman" w:cs="Times New Roman"/>
          <w:sz w:val="24"/>
          <w:szCs w:val="24"/>
        </w:rPr>
      </w:pPr>
      <w:r w:rsidRPr="00674790">
        <w:rPr>
          <w:rFonts w:ascii="Times New Roman" w:eastAsia="Times New Roman" w:hAnsi="Times New Roman" w:cs="Times New Roman"/>
          <w:sz w:val="24"/>
          <w:szCs w:val="24"/>
          <w:lang w:bidi="en-US"/>
        </w:rPr>
        <w:t xml:space="preserve">To look at the effects of smokeless tobacco on related people's health. </w:t>
      </w:r>
    </w:p>
    <w:p w14:paraId="472CB421" w14:textId="77777777" w:rsidR="00507221" w:rsidRPr="00674790" w:rsidRDefault="00507221" w:rsidP="00674790">
      <w:pPr>
        <w:pStyle w:val="ListParagraph"/>
        <w:numPr>
          <w:ilvl w:val="0"/>
          <w:numId w:val="15"/>
        </w:numPr>
        <w:spacing w:after="0" w:line="480" w:lineRule="auto"/>
        <w:jc w:val="both"/>
        <w:rPr>
          <w:rFonts w:ascii="Times New Roman" w:hAnsi="Times New Roman" w:cs="Times New Roman"/>
          <w:sz w:val="24"/>
          <w:szCs w:val="24"/>
        </w:rPr>
      </w:pPr>
      <w:r w:rsidRPr="00674790">
        <w:rPr>
          <w:rFonts w:ascii="Times New Roman" w:eastAsia="Times New Roman" w:hAnsi="Times New Roman" w:cs="Times New Roman"/>
          <w:sz w:val="24"/>
          <w:szCs w:val="24"/>
          <w:lang w:bidi="en-US"/>
        </w:rPr>
        <w:t xml:space="preserve">To determine whether GHWLs or text health warning labels incorporated in SLT commercials receive more attention. </w:t>
      </w:r>
    </w:p>
    <w:p w14:paraId="1D05D8D7" w14:textId="64C9007F" w:rsidR="008D7827" w:rsidRPr="00674790" w:rsidRDefault="00507221" w:rsidP="00674790">
      <w:pPr>
        <w:pStyle w:val="ListParagraph"/>
        <w:numPr>
          <w:ilvl w:val="0"/>
          <w:numId w:val="15"/>
        </w:numPr>
        <w:spacing w:after="0" w:line="480" w:lineRule="auto"/>
        <w:jc w:val="both"/>
        <w:rPr>
          <w:rFonts w:ascii="Times New Roman" w:hAnsi="Times New Roman" w:cs="Times New Roman"/>
          <w:sz w:val="24"/>
          <w:szCs w:val="24"/>
        </w:rPr>
      </w:pPr>
      <w:r w:rsidRPr="00674790">
        <w:rPr>
          <w:rFonts w:ascii="Times New Roman" w:eastAsia="Times New Roman" w:hAnsi="Times New Roman" w:cs="Times New Roman"/>
          <w:sz w:val="24"/>
          <w:szCs w:val="24"/>
          <w:lang w:bidi="en-US"/>
        </w:rPr>
        <w:t xml:space="preserve">To comprehend </w:t>
      </w:r>
      <w:r w:rsidR="008D7827" w:rsidRPr="00674790">
        <w:rPr>
          <w:rFonts w:ascii="Times New Roman" w:eastAsia="Times New Roman" w:hAnsi="Times New Roman" w:cs="Times New Roman"/>
          <w:sz w:val="24"/>
          <w:szCs w:val="24"/>
          <w:lang w:bidi="en-US"/>
        </w:rPr>
        <w:t>consumers,</w:t>
      </w:r>
      <w:r w:rsidRPr="00674790">
        <w:rPr>
          <w:rFonts w:ascii="Times New Roman" w:eastAsia="Times New Roman" w:hAnsi="Times New Roman" w:cs="Times New Roman"/>
          <w:sz w:val="24"/>
          <w:szCs w:val="24"/>
          <w:lang w:bidi="en-US"/>
        </w:rPr>
        <w:t xml:space="preserve"> take care the </w:t>
      </w:r>
      <w:r w:rsidR="008D7827" w:rsidRPr="00674790">
        <w:rPr>
          <w:rFonts w:ascii="Times New Roman" w:eastAsia="Times New Roman" w:hAnsi="Times New Roman" w:cs="Times New Roman"/>
          <w:sz w:val="24"/>
          <w:szCs w:val="24"/>
          <w:lang w:bidi="en-US"/>
        </w:rPr>
        <w:t>GHWLs</w:t>
      </w:r>
      <w:r w:rsidRPr="00674790">
        <w:rPr>
          <w:rFonts w:ascii="Times New Roman" w:eastAsia="Times New Roman" w:hAnsi="Times New Roman" w:cs="Times New Roman"/>
          <w:sz w:val="24"/>
          <w:szCs w:val="24"/>
          <w:lang w:bidi="en-US"/>
        </w:rPr>
        <w:t xml:space="preserve"> on smokeless tobacco products. </w:t>
      </w:r>
    </w:p>
    <w:p w14:paraId="730C4766" w14:textId="77777777" w:rsidR="008D7827" w:rsidRPr="00674790" w:rsidRDefault="008D7827" w:rsidP="00674790">
      <w:pPr>
        <w:pStyle w:val="ListParagraph"/>
        <w:numPr>
          <w:ilvl w:val="0"/>
          <w:numId w:val="15"/>
        </w:numPr>
        <w:spacing w:after="0" w:line="480" w:lineRule="auto"/>
        <w:jc w:val="both"/>
        <w:rPr>
          <w:rFonts w:ascii="Times New Roman" w:hAnsi="Times New Roman" w:cs="Times New Roman"/>
          <w:sz w:val="24"/>
          <w:szCs w:val="24"/>
        </w:rPr>
      </w:pPr>
      <w:r w:rsidRPr="00674790">
        <w:rPr>
          <w:rFonts w:ascii="Times New Roman" w:eastAsia="Times New Roman" w:hAnsi="Times New Roman" w:cs="Times New Roman"/>
          <w:sz w:val="24"/>
          <w:szCs w:val="24"/>
          <w:lang w:bidi="en-US"/>
        </w:rPr>
        <w:t>T</w:t>
      </w:r>
      <w:r w:rsidR="00507221" w:rsidRPr="00674790">
        <w:rPr>
          <w:rFonts w:ascii="Times New Roman" w:eastAsia="Times New Roman" w:hAnsi="Times New Roman" w:cs="Times New Roman"/>
          <w:sz w:val="24"/>
          <w:szCs w:val="24"/>
          <w:lang w:bidi="en-US"/>
        </w:rPr>
        <w:t xml:space="preserve">o examine how </w:t>
      </w:r>
      <w:r w:rsidRPr="00674790">
        <w:rPr>
          <w:rFonts w:ascii="Times New Roman" w:eastAsia="Times New Roman" w:hAnsi="Times New Roman" w:cs="Times New Roman"/>
          <w:sz w:val="24"/>
          <w:szCs w:val="24"/>
          <w:lang w:bidi="en-US"/>
        </w:rPr>
        <w:t>GH</w:t>
      </w:r>
      <w:r w:rsidR="00507221" w:rsidRPr="00674790">
        <w:rPr>
          <w:rFonts w:ascii="Times New Roman" w:eastAsia="Times New Roman" w:hAnsi="Times New Roman" w:cs="Times New Roman"/>
          <w:sz w:val="24"/>
          <w:szCs w:val="24"/>
          <w:lang w:bidi="en-US"/>
        </w:rPr>
        <w:t xml:space="preserve">WLs have affected current outcomes for a group of persons. </w:t>
      </w:r>
    </w:p>
    <w:p w14:paraId="329E8889" w14:textId="018CAE30" w:rsidR="001533B0" w:rsidRPr="00674790" w:rsidRDefault="008D7827" w:rsidP="00674790">
      <w:pPr>
        <w:pStyle w:val="ListParagraph"/>
        <w:numPr>
          <w:ilvl w:val="0"/>
          <w:numId w:val="15"/>
        </w:numPr>
        <w:spacing w:after="0" w:line="480" w:lineRule="auto"/>
        <w:jc w:val="both"/>
        <w:rPr>
          <w:rFonts w:ascii="Times New Roman" w:hAnsi="Times New Roman" w:cs="Times New Roman"/>
          <w:sz w:val="24"/>
          <w:szCs w:val="24"/>
        </w:rPr>
      </w:pPr>
      <w:r w:rsidRPr="00674790">
        <w:rPr>
          <w:rFonts w:ascii="Times New Roman" w:eastAsia="Times New Roman" w:hAnsi="Times New Roman" w:cs="Times New Roman"/>
          <w:sz w:val="24"/>
          <w:szCs w:val="24"/>
          <w:lang w:bidi="en-US"/>
        </w:rPr>
        <w:t>T</w:t>
      </w:r>
      <w:r w:rsidR="00507221" w:rsidRPr="00674790">
        <w:rPr>
          <w:rFonts w:ascii="Times New Roman" w:eastAsia="Times New Roman" w:hAnsi="Times New Roman" w:cs="Times New Roman"/>
          <w:sz w:val="24"/>
          <w:szCs w:val="24"/>
          <w:lang w:bidi="en-US"/>
        </w:rPr>
        <w:t xml:space="preserve">o suggest a course of action </w:t>
      </w:r>
      <w:r w:rsidR="00397325" w:rsidRPr="00674790">
        <w:rPr>
          <w:rFonts w:ascii="Times New Roman" w:eastAsia="Times New Roman" w:hAnsi="Times New Roman" w:cs="Times New Roman"/>
          <w:sz w:val="24"/>
          <w:szCs w:val="24"/>
          <w:lang w:bidi="en-US"/>
        </w:rPr>
        <w:t>considering</w:t>
      </w:r>
      <w:r w:rsidR="00507221" w:rsidRPr="00674790">
        <w:rPr>
          <w:rFonts w:ascii="Times New Roman" w:eastAsia="Times New Roman" w:hAnsi="Times New Roman" w:cs="Times New Roman"/>
          <w:sz w:val="24"/>
          <w:szCs w:val="24"/>
          <w:lang w:bidi="en-US"/>
        </w:rPr>
        <w:t xml:space="preserve"> the results</w:t>
      </w:r>
    </w:p>
    <w:bookmarkEnd w:id="3"/>
    <w:p w14:paraId="06E8AF3D" w14:textId="77777777" w:rsidR="001533B0" w:rsidRPr="00674790" w:rsidRDefault="0083511A" w:rsidP="00674790">
      <w:pPr>
        <w:spacing w:after="0"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7</w:t>
      </w:r>
      <w:r w:rsidR="00B807DC" w:rsidRPr="00674790">
        <w:rPr>
          <w:rFonts w:ascii="Times New Roman" w:hAnsi="Times New Roman" w:cs="Times New Roman"/>
          <w:b/>
          <w:sz w:val="24"/>
          <w:szCs w:val="24"/>
        </w:rPr>
        <w:t xml:space="preserve">. </w:t>
      </w:r>
      <w:r w:rsidR="001533B0" w:rsidRPr="00674790">
        <w:rPr>
          <w:rFonts w:ascii="Times New Roman" w:hAnsi="Times New Roman" w:cs="Times New Roman"/>
          <w:b/>
          <w:sz w:val="24"/>
          <w:szCs w:val="24"/>
        </w:rPr>
        <w:t>Methodology</w:t>
      </w:r>
    </w:p>
    <w:p w14:paraId="279764DE" w14:textId="77777777" w:rsidR="001533B0" w:rsidRPr="00674790" w:rsidRDefault="0083511A" w:rsidP="00674790">
      <w:pPr>
        <w:spacing w:after="0" w:line="480" w:lineRule="auto"/>
        <w:jc w:val="both"/>
        <w:rPr>
          <w:rFonts w:ascii="Times New Roman" w:hAnsi="Times New Roman" w:cs="Times New Roman"/>
          <w:sz w:val="24"/>
          <w:szCs w:val="24"/>
        </w:rPr>
      </w:pPr>
      <w:bookmarkStart w:id="4" w:name="_Hlk118834197"/>
      <w:r w:rsidRPr="00674790">
        <w:rPr>
          <w:rFonts w:ascii="Times New Roman" w:hAnsi="Times New Roman" w:cs="Times New Roman"/>
          <w:b/>
          <w:sz w:val="24"/>
          <w:szCs w:val="24"/>
        </w:rPr>
        <w:t>7</w:t>
      </w:r>
      <w:r w:rsidR="00B807DC" w:rsidRPr="00674790">
        <w:rPr>
          <w:rFonts w:ascii="Times New Roman" w:hAnsi="Times New Roman" w:cs="Times New Roman"/>
          <w:b/>
          <w:sz w:val="24"/>
          <w:szCs w:val="24"/>
        </w:rPr>
        <w:t xml:space="preserve">.1 </w:t>
      </w:r>
      <w:r w:rsidR="001533B0" w:rsidRPr="00674790">
        <w:rPr>
          <w:rFonts w:ascii="Times New Roman" w:hAnsi="Times New Roman" w:cs="Times New Roman"/>
          <w:b/>
          <w:sz w:val="24"/>
          <w:szCs w:val="24"/>
        </w:rPr>
        <w:t>Study design</w:t>
      </w:r>
      <w:r w:rsidR="00CE2421" w:rsidRPr="00674790">
        <w:rPr>
          <w:rFonts w:ascii="Times New Roman" w:hAnsi="Times New Roman" w:cs="Times New Roman"/>
          <w:b/>
          <w:sz w:val="24"/>
          <w:szCs w:val="24"/>
        </w:rPr>
        <w:t xml:space="preserve">: </w:t>
      </w:r>
      <w:r w:rsidR="00DC1E85" w:rsidRPr="00674790">
        <w:rPr>
          <w:rFonts w:ascii="Times New Roman" w:hAnsi="Times New Roman" w:cs="Times New Roman"/>
          <w:sz w:val="24"/>
          <w:szCs w:val="24"/>
        </w:rPr>
        <w:t>The proposed study will be mixed. Both qualitative and quantitative data collection techniques will be applied.</w:t>
      </w:r>
    </w:p>
    <w:p w14:paraId="76056AD8" w14:textId="77777777" w:rsidR="00CE2421" w:rsidRPr="00674790" w:rsidRDefault="00CE2421" w:rsidP="00674790">
      <w:pPr>
        <w:spacing w:after="0"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 xml:space="preserve">7.2 Study type: </w:t>
      </w:r>
      <w:r w:rsidRPr="00674790">
        <w:rPr>
          <w:rFonts w:ascii="Times New Roman" w:hAnsi="Times New Roman" w:cs="Times New Roman"/>
          <w:sz w:val="24"/>
          <w:szCs w:val="24"/>
        </w:rPr>
        <w:t>Cross sectional</w:t>
      </w:r>
    </w:p>
    <w:p w14:paraId="48E0C446" w14:textId="77777777" w:rsidR="001533B0" w:rsidRPr="00674790" w:rsidRDefault="001533B0" w:rsidP="00674790">
      <w:pPr>
        <w:spacing w:after="0" w:line="480" w:lineRule="auto"/>
        <w:jc w:val="both"/>
        <w:rPr>
          <w:rFonts w:ascii="Times New Roman" w:hAnsi="Times New Roman" w:cs="Times New Roman"/>
          <w:sz w:val="24"/>
          <w:szCs w:val="24"/>
        </w:rPr>
      </w:pPr>
    </w:p>
    <w:p w14:paraId="71D6892B" w14:textId="77777777" w:rsidR="00B807DC" w:rsidRPr="00674790" w:rsidRDefault="00B86FC6" w:rsidP="00674790">
      <w:pPr>
        <w:spacing w:after="0"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7.3</w:t>
      </w:r>
      <w:r w:rsidR="00B807DC" w:rsidRPr="00674790">
        <w:rPr>
          <w:rFonts w:ascii="Times New Roman" w:hAnsi="Times New Roman" w:cs="Times New Roman"/>
          <w:b/>
          <w:sz w:val="24"/>
          <w:szCs w:val="24"/>
        </w:rPr>
        <w:t xml:space="preserve"> </w:t>
      </w:r>
      <w:r w:rsidR="001533B0" w:rsidRPr="00674790">
        <w:rPr>
          <w:rFonts w:ascii="Times New Roman" w:hAnsi="Times New Roman" w:cs="Times New Roman"/>
          <w:b/>
          <w:sz w:val="24"/>
          <w:szCs w:val="24"/>
        </w:rPr>
        <w:t>Study population</w:t>
      </w:r>
    </w:p>
    <w:p w14:paraId="4E592B5C" w14:textId="6D6374A8" w:rsidR="00B86FC6" w:rsidRPr="00674790" w:rsidRDefault="008F1A4D"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The </w:t>
      </w:r>
      <w:r w:rsidR="00051F76" w:rsidRPr="00674790">
        <w:rPr>
          <w:rFonts w:ascii="Times New Roman" w:hAnsi="Times New Roman" w:cs="Times New Roman"/>
          <w:sz w:val="24"/>
          <w:szCs w:val="24"/>
        </w:rPr>
        <w:t xml:space="preserve">consumers of smokeless tobacco in Sylhet </w:t>
      </w:r>
      <w:r w:rsidR="005F4DA6" w:rsidRPr="00674790">
        <w:rPr>
          <w:rFonts w:ascii="Times New Roman" w:hAnsi="Times New Roman" w:cs="Times New Roman"/>
          <w:sz w:val="24"/>
          <w:szCs w:val="24"/>
        </w:rPr>
        <w:t>division</w:t>
      </w:r>
      <w:r w:rsidR="00051F76" w:rsidRPr="00674790">
        <w:rPr>
          <w:rFonts w:ascii="Times New Roman" w:hAnsi="Times New Roman" w:cs="Times New Roman"/>
          <w:sz w:val="24"/>
          <w:szCs w:val="24"/>
        </w:rPr>
        <w:t xml:space="preserve"> </w:t>
      </w:r>
      <w:r w:rsidRPr="00674790">
        <w:rPr>
          <w:rFonts w:ascii="Times New Roman" w:hAnsi="Times New Roman" w:cs="Times New Roman"/>
          <w:sz w:val="24"/>
          <w:szCs w:val="24"/>
        </w:rPr>
        <w:t xml:space="preserve">are the study population. </w:t>
      </w:r>
    </w:p>
    <w:p w14:paraId="4DE14243" w14:textId="77777777" w:rsidR="00B86FC6" w:rsidRPr="00674790" w:rsidRDefault="00B86FC6" w:rsidP="00674790">
      <w:pPr>
        <w:spacing w:after="0" w:line="480" w:lineRule="auto"/>
        <w:jc w:val="both"/>
        <w:rPr>
          <w:rFonts w:ascii="Times New Roman" w:hAnsi="Times New Roman" w:cs="Times New Roman"/>
          <w:b/>
          <w:sz w:val="24"/>
          <w:szCs w:val="24"/>
        </w:rPr>
      </w:pPr>
    </w:p>
    <w:p w14:paraId="55B7D603" w14:textId="3CF4A0CA" w:rsidR="00B807DC" w:rsidRPr="00674790" w:rsidRDefault="00E758CA"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b/>
          <w:sz w:val="24"/>
          <w:szCs w:val="24"/>
        </w:rPr>
        <w:t>7.4</w:t>
      </w:r>
      <w:r w:rsidR="00B807DC" w:rsidRPr="00674790">
        <w:rPr>
          <w:rFonts w:ascii="Times New Roman" w:hAnsi="Times New Roman" w:cs="Times New Roman"/>
          <w:b/>
          <w:sz w:val="24"/>
          <w:szCs w:val="24"/>
        </w:rPr>
        <w:t xml:space="preserve"> </w:t>
      </w:r>
      <w:r w:rsidRPr="00674790">
        <w:rPr>
          <w:rFonts w:ascii="Times New Roman" w:hAnsi="Times New Roman" w:cs="Times New Roman"/>
          <w:b/>
          <w:sz w:val="24"/>
          <w:szCs w:val="24"/>
        </w:rPr>
        <w:t>Study period:</w:t>
      </w:r>
      <w:r w:rsidRPr="00674790">
        <w:rPr>
          <w:rFonts w:ascii="Times New Roman" w:hAnsi="Times New Roman" w:cs="Times New Roman"/>
          <w:b/>
          <w:bCs/>
          <w:sz w:val="24"/>
          <w:szCs w:val="24"/>
        </w:rPr>
        <w:t xml:space="preserve"> </w:t>
      </w:r>
      <w:r w:rsidRPr="00674790">
        <w:rPr>
          <w:rFonts w:ascii="Times New Roman" w:hAnsi="Times New Roman" w:cs="Times New Roman"/>
          <w:sz w:val="24"/>
          <w:szCs w:val="24"/>
        </w:rPr>
        <w:t>March 202</w:t>
      </w:r>
      <w:r w:rsidR="00051F76" w:rsidRPr="00674790">
        <w:rPr>
          <w:rFonts w:ascii="Times New Roman" w:hAnsi="Times New Roman" w:cs="Times New Roman"/>
          <w:sz w:val="24"/>
          <w:szCs w:val="24"/>
        </w:rPr>
        <w:t>3</w:t>
      </w:r>
      <w:r w:rsidRPr="00674790">
        <w:rPr>
          <w:rFonts w:ascii="Times New Roman" w:hAnsi="Times New Roman" w:cs="Times New Roman"/>
          <w:sz w:val="24"/>
          <w:szCs w:val="24"/>
        </w:rPr>
        <w:t xml:space="preserve"> to November 202</w:t>
      </w:r>
      <w:r w:rsidR="00051F76" w:rsidRPr="00674790">
        <w:rPr>
          <w:rFonts w:ascii="Times New Roman" w:hAnsi="Times New Roman" w:cs="Times New Roman"/>
          <w:sz w:val="24"/>
          <w:szCs w:val="24"/>
        </w:rPr>
        <w:t>3</w:t>
      </w:r>
    </w:p>
    <w:p w14:paraId="089A0A7C" w14:textId="77777777" w:rsidR="00B807DC" w:rsidRPr="00674790" w:rsidRDefault="00E758CA" w:rsidP="00674790">
      <w:pPr>
        <w:spacing w:after="0"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7.5</w:t>
      </w:r>
      <w:r w:rsidR="00B807DC" w:rsidRPr="00674790">
        <w:rPr>
          <w:rFonts w:ascii="Times New Roman" w:hAnsi="Times New Roman" w:cs="Times New Roman"/>
          <w:b/>
          <w:sz w:val="24"/>
          <w:szCs w:val="24"/>
        </w:rPr>
        <w:t xml:space="preserve"> </w:t>
      </w:r>
      <w:r w:rsidR="001533B0" w:rsidRPr="00674790">
        <w:rPr>
          <w:rFonts w:ascii="Times New Roman" w:hAnsi="Times New Roman" w:cs="Times New Roman"/>
          <w:b/>
          <w:sz w:val="24"/>
          <w:szCs w:val="24"/>
        </w:rPr>
        <w:t>Study area</w:t>
      </w:r>
    </w:p>
    <w:p w14:paraId="1890DEE9" w14:textId="029D0BB2" w:rsidR="001533B0" w:rsidRPr="00674790" w:rsidRDefault="00EC7DFC"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The study area of this study will be</w:t>
      </w:r>
      <w:r w:rsidR="00DA756F" w:rsidRPr="00674790">
        <w:rPr>
          <w:rFonts w:ascii="Times New Roman" w:hAnsi="Times New Roman" w:cs="Times New Roman"/>
          <w:sz w:val="24"/>
          <w:szCs w:val="24"/>
        </w:rPr>
        <w:t xml:space="preserve"> </w:t>
      </w:r>
      <w:r w:rsidR="005F4DA6" w:rsidRPr="00674790">
        <w:rPr>
          <w:rFonts w:ascii="Times New Roman" w:hAnsi="Times New Roman" w:cs="Times New Roman"/>
          <w:sz w:val="24"/>
          <w:szCs w:val="24"/>
        </w:rPr>
        <w:t xml:space="preserve">four district of </w:t>
      </w:r>
      <w:r w:rsidR="00051F76" w:rsidRPr="00674790">
        <w:rPr>
          <w:rFonts w:ascii="Times New Roman" w:hAnsi="Times New Roman" w:cs="Times New Roman"/>
          <w:sz w:val="24"/>
          <w:szCs w:val="24"/>
        </w:rPr>
        <w:t>Sylhet di</w:t>
      </w:r>
      <w:r w:rsidR="005F4DA6" w:rsidRPr="00674790">
        <w:rPr>
          <w:rFonts w:ascii="Times New Roman" w:hAnsi="Times New Roman" w:cs="Times New Roman"/>
          <w:sz w:val="24"/>
          <w:szCs w:val="24"/>
        </w:rPr>
        <w:t>vision (</w:t>
      </w:r>
      <w:proofErr w:type="spellStart"/>
      <w:r w:rsidR="005F4DA6" w:rsidRPr="00674790">
        <w:rPr>
          <w:rFonts w:ascii="Times New Roman" w:hAnsi="Times New Roman" w:cs="Times New Roman"/>
          <w:sz w:val="24"/>
          <w:szCs w:val="24"/>
        </w:rPr>
        <w:t>Habiganj</w:t>
      </w:r>
      <w:proofErr w:type="spellEnd"/>
      <w:r w:rsidR="005F4DA6" w:rsidRPr="00674790">
        <w:rPr>
          <w:rFonts w:ascii="Times New Roman" w:hAnsi="Times New Roman" w:cs="Times New Roman"/>
          <w:sz w:val="24"/>
          <w:szCs w:val="24"/>
        </w:rPr>
        <w:t xml:space="preserve">, </w:t>
      </w:r>
      <w:proofErr w:type="spellStart"/>
      <w:r w:rsidR="005F4DA6" w:rsidRPr="00674790">
        <w:rPr>
          <w:rFonts w:ascii="Times New Roman" w:hAnsi="Times New Roman" w:cs="Times New Roman"/>
          <w:sz w:val="24"/>
          <w:szCs w:val="24"/>
        </w:rPr>
        <w:t>Moulvibazar</w:t>
      </w:r>
      <w:proofErr w:type="spellEnd"/>
      <w:r w:rsidR="005F4DA6" w:rsidRPr="00674790">
        <w:rPr>
          <w:rFonts w:ascii="Times New Roman" w:hAnsi="Times New Roman" w:cs="Times New Roman"/>
          <w:sz w:val="24"/>
          <w:szCs w:val="24"/>
        </w:rPr>
        <w:t xml:space="preserve">, </w:t>
      </w:r>
      <w:proofErr w:type="spellStart"/>
      <w:r w:rsidR="005F4DA6" w:rsidRPr="00674790">
        <w:rPr>
          <w:rFonts w:ascii="Times New Roman" w:hAnsi="Times New Roman" w:cs="Times New Roman"/>
          <w:sz w:val="24"/>
          <w:szCs w:val="24"/>
        </w:rPr>
        <w:t>Sunamganj</w:t>
      </w:r>
      <w:proofErr w:type="spellEnd"/>
      <w:r w:rsidR="005F4DA6" w:rsidRPr="00674790">
        <w:rPr>
          <w:rFonts w:ascii="Times New Roman" w:hAnsi="Times New Roman" w:cs="Times New Roman"/>
          <w:sz w:val="24"/>
          <w:szCs w:val="24"/>
        </w:rPr>
        <w:t xml:space="preserve"> and Sylhet)</w:t>
      </w:r>
      <w:r w:rsidR="00051F76" w:rsidRPr="00674790">
        <w:rPr>
          <w:rFonts w:ascii="Times New Roman" w:hAnsi="Times New Roman" w:cs="Times New Roman"/>
          <w:sz w:val="24"/>
          <w:szCs w:val="24"/>
        </w:rPr>
        <w:t xml:space="preserve"> </w:t>
      </w:r>
      <w:r w:rsidR="00DA756F" w:rsidRPr="00674790">
        <w:rPr>
          <w:rFonts w:ascii="Times New Roman" w:hAnsi="Times New Roman" w:cs="Times New Roman"/>
          <w:sz w:val="24"/>
          <w:szCs w:val="24"/>
        </w:rPr>
        <w:t>in Bangladesh.</w:t>
      </w:r>
      <w:r w:rsidRPr="00674790">
        <w:rPr>
          <w:rFonts w:ascii="Times New Roman" w:hAnsi="Times New Roman" w:cs="Times New Roman"/>
          <w:sz w:val="24"/>
          <w:szCs w:val="24"/>
        </w:rPr>
        <w:t xml:space="preserve"> </w:t>
      </w:r>
    </w:p>
    <w:p w14:paraId="08C45C67" w14:textId="77777777" w:rsidR="00B807DC" w:rsidRPr="00674790" w:rsidRDefault="00DA756F" w:rsidP="00674790">
      <w:pPr>
        <w:spacing w:after="0" w:line="480" w:lineRule="auto"/>
        <w:jc w:val="both"/>
        <w:rPr>
          <w:rFonts w:ascii="Times New Roman" w:hAnsi="Times New Roman" w:cs="Times New Roman"/>
          <w:b/>
          <w:sz w:val="24"/>
          <w:szCs w:val="24"/>
        </w:rPr>
      </w:pPr>
      <w:r w:rsidRPr="00674790">
        <w:rPr>
          <w:rFonts w:ascii="Times New Roman" w:hAnsi="Times New Roman" w:cs="Times New Roman"/>
          <w:b/>
          <w:sz w:val="24"/>
          <w:szCs w:val="24"/>
        </w:rPr>
        <w:lastRenderedPageBreak/>
        <w:t>7.6</w:t>
      </w:r>
      <w:r w:rsidR="00B807DC" w:rsidRPr="00674790">
        <w:rPr>
          <w:rFonts w:ascii="Times New Roman" w:hAnsi="Times New Roman" w:cs="Times New Roman"/>
          <w:b/>
          <w:sz w:val="24"/>
          <w:szCs w:val="24"/>
        </w:rPr>
        <w:t xml:space="preserve"> </w:t>
      </w:r>
      <w:r w:rsidR="00972157" w:rsidRPr="00674790">
        <w:rPr>
          <w:rFonts w:ascii="Times New Roman" w:hAnsi="Times New Roman" w:cs="Times New Roman"/>
          <w:b/>
          <w:sz w:val="24"/>
          <w:szCs w:val="24"/>
        </w:rPr>
        <w:t>S</w:t>
      </w:r>
      <w:r w:rsidRPr="00674790">
        <w:rPr>
          <w:rFonts w:ascii="Times New Roman" w:hAnsi="Times New Roman" w:cs="Times New Roman"/>
          <w:b/>
          <w:sz w:val="24"/>
          <w:szCs w:val="24"/>
        </w:rPr>
        <w:t>ampling design</w:t>
      </w:r>
    </w:p>
    <w:p w14:paraId="70198108" w14:textId="56F0ED30" w:rsidR="005071F1" w:rsidRPr="00674790" w:rsidRDefault="005071F1"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In each selected commune, 120 </w:t>
      </w:r>
      <w:r w:rsidR="005F4DA6" w:rsidRPr="00674790">
        <w:rPr>
          <w:rFonts w:ascii="Times New Roman" w:hAnsi="Times New Roman" w:cs="Times New Roman"/>
          <w:sz w:val="24"/>
          <w:szCs w:val="24"/>
        </w:rPr>
        <w:t xml:space="preserve">consumers </w:t>
      </w:r>
      <w:r w:rsidRPr="00674790">
        <w:rPr>
          <w:rFonts w:ascii="Times New Roman" w:hAnsi="Times New Roman" w:cs="Times New Roman"/>
          <w:sz w:val="24"/>
          <w:szCs w:val="24"/>
        </w:rPr>
        <w:t>were sampled using two-stage cluster sampling technique. The sampling procedure is presented in Figure </w:t>
      </w:r>
      <w:hyperlink r:id="rId8" w:anchor="Fig1" w:history="1">
        <w:r w:rsidRPr="00674790">
          <w:rPr>
            <w:rFonts w:ascii="Times New Roman" w:hAnsi="Times New Roman" w:cs="Times New Roman"/>
            <w:sz w:val="24"/>
            <w:szCs w:val="24"/>
          </w:rPr>
          <w:t>1</w:t>
        </w:r>
      </w:hyperlink>
      <w:r w:rsidRPr="00674790">
        <w:rPr>
          <w:rFonts w:ascii="Times New Roman" w:hAnsi="Times New Roman" w:cs="Times New Roman"/>
          <w:sz w:val="24"/>
          <w:szCs w:val="24"/>
        </w:rPr>
        <w:t xml:space="preserve">. The </w:t>
      </w:r>
      <w:r w:rsidR="005F4DA6" w:rsidRPr="00674790">
        <w:rPr>
          <w:rFonts w:ascii="Times New Roman" w:hAnsi="Times New Roman" w:cs="Times New Roman"/>
          <w:sz w:val="24"/>
          <w:szCs w:val="24"/>
        </w:rPr>
        <w:t xml:space="preserve">consumers were </w:t>
      </w:r>
      <w:r w:rsidRPr="00674790">
        <w:rPr>
          <w:rFonts w:ascii="Times New Roman" w:hAnsi="Times New Roman" w:cs="Times New Roman"/>
          <w:sz w:val="24"/>
          <w:szCs w:val="24"/>
        </w:rPr>
        <w:t xml:space="preserve">interviewed on the </w:t>
      </w:r>
      <w:r w:rsidR="005962AA" w:rsidRPr="00674790">
        <w:rPr>
          <w:rFonts w:ascii="Times New Roman" w:hAnsi="Times New Roman" w:cs="Times New Roman"/>
          <w:sz w:val="24"/>
          <w:szCs w:val="24"/>
        </w:rPr>
        <w:t>GHWLs</w:t>
      </w:r>
      <w:r w:rsidRPr="0067479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17"/>
        <w:gridCol w:w="3161"/>
        <w:gridCol w:w="2841"/>
      </w:tblGrid>
      <w:tr w:rsidR="00DD2FE2" w:rsidRPr="00674790" w14:paraId="58DAE148" w14:textId="77777777" w:rsidTr="00DD2FE2">
        <w:tc>
          <w:tcPr>
            <w:tcW w:w="3081" w:type="dxa"/>
          </w:tcPr>
          <w:p w14:paraId="1D77F0CA" w14:textId="77777777" w:rsidR="00DD2FE2" w:rsidRPr="00674790" w:rsidRDefault="00DD2FE2" w:rsidP="00674790">
            <w:pPr>
              <w:tabs>
                <w:tab w:val="left" w:pos="5664"/>
              </w:tabs>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District</w:t>
            </w:r>
          </w:p>
        </w:tc>
        <w:tc>
          <w:tcPr>
            <w:tcW w:w="3237" w:type="dxa"/>
          </w:tcPr>
          <w:p w14:paraId="1D5D49FB" w14:textId="5DD99876" w:rsidR="00DD2FE2" w:rsidRPr="00674790" w:rsidRDefault="00DD2FE2" w:rsidP="00674790">
            <w:pPr>
              <w:tabs>
                <w:tab w:val="left" w:pos="5664"/>
              </w:tabs>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Category of </w:t>
            </w:r>
            <w:r w:rsidR="005962AA" w:rsidRPr="00674790">
              <w:rPr>
                <w:rFonts w:ascii="Times New Roman" w:hAnsi="Times New Roman" w:cs="Times New Roman"/>
                <w:sz w:val="24"/>
                <w:szCs w:val="24"/>
              </w:rPr>
              <w:t>Consumers</w:t>
            </w:r>
            <w:r w:rsidRPr="00674790">
              <w:rPr>
                <w:rFonts w:ascii="Times New Roman" w:hAnsi="Times New Roman" w:cs="Times New Roman"/>
                <w:sz w:val="24"/>
                <w:szCs w:val="24"/>
              </w:rPr>
              <w:t xml:space="preserve"> </w:t>
            </w:r>
          </w:p>
        </w:tc>
        <w:tc>
          <w:tcPr>
            <w:tcW w:w="2927" w:type="dxa"/>
          </w:tcPr>
          <w:p w14:paraId="1EEBD86F" w14:textId="77777777" w:rsidR="00DD2FE2" w:rsidRPr="00674790" w:rsidRDefault="00DD2FE2" w:rsidP="00674790">
            <w:pPr>
              <w:tabs>
                <w:tab w:val="left" w:pos="5664"/>
              </w:tabs>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Total HHs</w:t>
            </w:r>
          </w:p>
        </w:tc>
      </w:tr>
      <w:tr w:rsidR="00972157" w:rsidRPr="00674790" w14:paraId="4540FB77" w14:textId="77777777" w:rsidTr="00DD2FE2">
        <w:tc>
          <w:tcPr>
            <w:tcW w:w="3081" w:type="dxa"/>
          </w:tcPr>
          <w:p w14:paraId="60016185" w14:textId="08E42B81" w:rsidR="00972157" w:rsidRPr="00674790" w:rsidRDefault="005962AA" w:rsidP="00674790">
            <w:pPr>
              <w:tabs>
                <w:tab w:val="left" w:pos="5664"/>
              </w:tabs>
              <w:spacing w:line="480" w:lineRule="auto"/>
              <w:jc w:val="both"/>
              <w:rPr>
                <w:rFonts w:ascii="Times New Roman" w:hAnsi="Times New Roman" w:cs="Times New Roman"/>
                <w:sz w:val="24"/>
                <w:szCs w:val="24"/>
              </w:rPr>
            </w:pPr>
            <w:proofErr w:type="spellStart"/>
            <w:r w:rsidRPr="00674790">
              <w:rPr>
                <w:rFonts w:ascii="Times New Roman" w:hAnsi="Times New Roman" w:cs="Times New Roman"/>
                <w:color w:val="333333"/>
                <w:sz w:val="24"/>
                <w:szCs w:val="24"/>
                <w:shd w:val="clear" w:color="auto" w:fill="FCFCFC"/>
              </w:rPr>
              <w:t>Habiganj</w:t>
            </w:r>
            <w:proofErr w:type="spellEnd"/>
          </w:p>
        </w:tc>
        <w:tc>
          <w:tcPr>
            <w:tcW w:w="3237" w:type="dxa"/>
            <w:vMerge w:val="restart"/>
          </w:tcPr>
          <w:p w14:paraId="30070768" w14:textId="5A13BA19" w:rsidR="00972157" w:rsidRPr="00674790" w:rsidRDefault="005962AA" w:rsidP="00674790">
            <w:pPr>
              <w:tabs>
                <w:tab w:val="left" w:pos="5664"/>
              </w:tabs>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SLT consumers </w:t>
            </w:r>
            <w:r w:rsidR="00972157" w:rsidRPr="00674790">
              <w:rPr>
                <w:rFonts w:ascii="Times New Roman" w:hAnsi="Times New Roman" w:cs="Times New Roman"/>
                <w:sz w:val="24"/>
                <w:szCs w:val="24"/>
              </w:rPr>
              <w:t xml:space="preserve">= 60 </w:t>
            </w:r>
            <w:r w:rsidRPr="00674790">
              <w:rPr>
                <w:rFonts w:ascii="Times New Roman" w:hAnsi="Times New Roman" w:cs="Times New Roman"/>
                <w:sz w:val="24"/>
                <w:szCs w:val="24"/>
              </w:rPr>
              <w:t>individuals</w:t>
            </w:r>
          </w:p>
          <w:p w14:paraId="18B3DD53" w14:textId="15C0D13F" w:rsidR="00972157" w:rsidRPr="00674790" w:rsidRDefault="00972157" w:rsidP="00674790">
            <w:pPr>
              <w:tabs>
                <w:tab w:val="left" w:pos="5664"/>
              </w:tabs>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Others =</w:t>
            </w:r>
            <w:r w:rsidR="005962AA" w:rsidRPr="00674790">
              <w:rPr>
                <w:rFonts w:ascii="Times New Roman" w:hAnsi="Times New Roman" w:cs="Times New Roman"/>
                <w:sz w:val="24"/>
                <w:szCs w:val="24"/>
              </w:rPr>
              <w:t xml:space="preserve"> </w:t>
            </w:r>
            <w:r w:rsidRPr="00674790">
              <w:rPr>
                <w:rFonts w:ascii="Times New Roman" w:hAnsi="Times New Roman" w:cs="Times New Roman"/>
                <w:sz w:val="24"/>
                <w:szCs w:val="24"/>
              </w:rPr>
              <w:t xml:space="preserve">60 </w:t>
            </w:r>
            <w:r w:rsidR="005962AA" w:rsidRPr="00674790">
              <w:rPr>
                <w:rFonts w:ascii="Times New Roman" w:hAnsi="Times New Roman" w:cs="Times New Roman"/>
                <w:sz w:val="24"/>
                <w:szCs w:val="24"/>
              </w:rPr>
              <w:t>individuals</w:t>
            </w:r>
          </w:p>
        </w:tc>
        <w:tc>
          <w:tcPr>
            <w:tcW w:w="2927" w:type="dxa"/>
          </w:tcPr>
          <w:p w14:paraId="473E8A00" w14:textId="77777777" w:rsidR="00972157" w:rsidRPr="00674790" w:rsidRDefault="00972157" w:rsidP="00674790">
            <w:pPr>
              <w:tabs>
                <w:tab w:val="left" w:pos="5664"/>
              </w:tabs>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120</w:t>
            </w:r>
          </w:p>
        </w:tc>
      </w:tr>
      <w:tr w:rsidR="00972157" w:rsidRPr="00674790" w14:paraId="3CF13561" w14:textId="77777777" w:rsidTr="00DD2FE2">
        <w:tc>
          <w:tcPr>
            <w:tcW w:w="3081" w:type="dxa"/>
          </w:tcPr>
          <w:p w14:paraId="68FBD96C" w14:textId="17FC41E3" w:rsidR="00972157" w:rsidRPr="00674790" w:rsidRDefault="005962AA" w:rsidP="00674790">
            <w:pPr>
              <w:spacing w:line="480" w:lineRule="auto"/>
              <w:jc w:val="both"/>
              <w:rPr>
                <w:rFonts w:ascii="Times New Roman" w:hAnsi="Times New Roman" w:cs="Times New Roman"/>
                <w:sz w:val="24"/>
                <w:szCs w:val="24"/>
              </w:rPr>
            </w:pPr>
            <w:proofErr w:type="spellStart"/>
            <w:r w:rsidRPr="00674790">
              <w:rPr>
                <w:rFonts w:ascii="Times New Roman" w:hAnsi="Times New Roman" w:cs="Times New Roman"/>
                <w:sz w:val="24"/>
                <w:szCs w:val="24"/>
              </w:rPr>
              <w:t>Moulvibazar</w:t>
            </w:r>
            <w:proofErr w:type="spellEnd"/>
          </w:p>
        </w:tc>
        <w:tc>
          <w:tcPr>
            <w:tcW w:w="3237" w:type="dxa"/>
            <w:vMerge/>
          </w:tcPr>
          <w:p w14:paraId="20D0F23B" w14:textId="77777777" w:rsidR="00972157" w:rsidRPr="00674790" w:rsidRDefault="00972157" w:rsidP="00674790">
            <w:pPr>
              <w:tabs>
                <w:tab w:val="left" w:pos="5664"/>
              </w:tabs>
              <w:spacing w:line="480" w:lineRule="auto"/>
              <w:jc w:val="both"/>
              <w:rPr>
                <w:rFonts w:ascii="Times New Roman" w:hAnsi="Times New Roman" w:cs="Times New Roman"/>
                <w:sz w:val="24"/>
                <w:szCs w:val="24"/>
              </w:rPr>
            </w:pPr>
          </w:p>
        </w:tc>
        <w:tc>
          <w:tcPr>
            <w:tcW w:w="2927" w:type="dxa"/>
          </w:tcPr>
          <w:p w14:paraId="0AE98DCA" w14:textId="77777777" w:rsidR="00972157" w:rsidRPr="00674790" w:rsidRDefault="00972157"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120</w:t>
            </w:r>
          </w:p>
        </w:tc>
      </w:tr>
      <w:tr w:rsidR="00972157" w:rsidRPr="00674790" w14:paraId="6D5511B9" w14:textId="77777777" w:rsidTr="00DD2FE2">
        <w:tc>
          <w:tcPr>
            <w:tcW w:w="3081" w:type="dxa"/>
          </w:tcPr>
          <w:p w14:paraId="0C99B085" w14:textId="01FF5F6D" w:rsidR="00972157" w:rsidRPr="00674790" w:rsidRDefault="005962AA" w:rsidP="00674790">
            <w:pPr>
              <w:tabs>
                <w:tab w:val="left" w:pos="5664"/>
              </w:tabs>
              <w:spacing w:line="480" w:lineRule="auto"/>
              <w:jc w:val="both"/>
              <w:rPr>
                <w:rFonts w:ascii="Times New Roman" w:hAnsi="Times New Roman" w:cs="Times New Roman"/>
                <w:sz w:val="24"/>
                <w:szCs w:val="24"/>
              </w:rPr>
            </w:pPr>
            <w:proofErr w:type="spellStart"/>
            <w:r w:rsidRPr="00674790">
              <w:rPr>
                <w:rFonts w:ascii="Times New Roman" w:hAnsi="Times New Roman" w:cs="Times New Roman"/>
                <w:sz w:val="24"/>
                <w:szCs w:val="24"/>
              </w:rPr>
              <w:t>Sunamganj</w:t>
            </w:r>
            <w:proofErr w:type="spellEnd"/>
          </w:p>
        </w:tc>
        <w:tc>
          <w:tcPr>
            <w:tcW w:w="3237" w:type="dxa"/>
            <w:vMerge/>
          </w:tcPr>
          <w:p w14:paraId="7F158F77" w14:textId="77777777" w:rsidR="00972157" w:rsidRPr="00674790" w:rsidRDefault="00972157" w:rsidP="00674790">
            <w:pPr>
              <w:spacing w:line="480" w:lineRule="auto"/>
              <w:jc w:val="both"/>
              <w:rPr>
                <w:rFonts w:ascii="Times New Roman" w:hAnsi="Times New Roman" w:cs="Times New Roman"/>
                <w:sz w:val="24"/>
                <w:szCs w:val="24"/>
              </w:rPr>
            </w:pPr>
          </w:p>
        </w:tc>
        <w:tc>
          <w:tcPr>
            <w:tcW w:w="2927" w:type="dxa"/>
          </w:tcPr>
          <w:p w14:paraId="792DCE6D" w14:textId="77777777" w:rsidR="00972157" w:rsidRPr="00674790" w:rsidRDefault="00972157"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120</w:t>
            </w:r>
          </w:p>
        </w:tc>
      </w:tr>
      <w:tr w:rsidR="00972157" w:rsidRPr="00674790" w14:paraId="2E8D619E" w14:textId="77777777" w:rsidTr="00DD2FE2">
        <w:tc>
          <w:tcPr>
            <w:tcW w:w="3081" w:type="dxa"/>
          </w:tcPr>
          <w:p w14:paraId="7395D639" w14:textId="6C23F2AF" w:rsidR="00972157" w:rsidRPr="00674790" w:rsidRDefault="005962AA" w:rsidP="00674790">
            <w:pPr>
              <w:tabs>
                <w:tab w:val="left" w:pos="5664"/>
              </w:tabs>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Sylhet</w:t>
            </w:r>
          </w:p>
        </w:tc>
        <w:tc>
          <w:tcPr>
            <w:tcW w:w="3237" w:type="dxa"/>
            <w:vMerge/>
          </w:tcPr>
          <w:p w14:paraId="564837D3" w14:textId="77777777" w:rsidR="00972157" w:rsidRPr="00674790" w:rsidRDefault="00972157" w:rsidP="00674790">
            <w:pPr>
              <w:tabs>
                <w:tab w:val="left" w:pos="5664"/>
              </w:tabs>
              <w:spacing w:line="480" w:lineRule="auto"/>
              <w:jc w:val="both"/>
              <w:rPr>
                <w:rFonts w:ascii="Times New Roman" w:hAnsi="Times New Roman" w:cs="Times New Roman"/>
                <w:sz w:val="24"/>
                <w:szCs w:val="24"/>
              </w:rPr>
            </w:pPr>
          </w:p>
        </w:tc>
        <w:tc>
          <w:tcPr>
            <w:tcW w:w="2927" w:type="dxa"/>
          </w:tcPr>
          <w:p w14:paraId="2B9281E1" w14:textId="77777777" w:rsidR="00972157" w:rsidRPr="00674790" w:rsidRDefault="00972157"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120</w:t>
            </w:r>
          </w:p>
        </w:tc>
      </w:tr>
      <w:tr w:rsidR="00972157" w:rsidRPr="00674790" w14:paraId="16BDD16B" w14:textId="77777777" w:rsidTr="008156DC">
        <w:tc>
          <w:tcPr>
            <w:tcW w:w="6318" w:type="dxa"/>
            <w:gridSpan w:val="2"/>
          </w:tcPr>
          <w:p w14:paraId="00E6ABD1" w14:textId="77777777" w:rsidR="00972157" w:rsidRPr="00674790" w:rsidRDefault="00972157" w:rsidP="00674790">
            <w:pPr>
              <w:tabs>
                <w:tab w:val="left" w:pos="5664"/>
              </w:tabs>
              <w:spacing w:line="480" w:lineRule="auto"/>
              <w:jc w:val="both"/>
              <w:rPr>
                <w:rFonts w:ascii="Times New Roman" w:hAnsi="Times New Roman" w:cs="Times New Roman"/>
                <w:sz w:val="24"/>
                <w:szCs w:val="24"/>
              </w:rPr>
            </w:pPr>
            <w:r w:rsidRPr="00674790">
              <w:rPr>
                <w:rFonts w:ascii="Times New Roman" w:hAnsi="Times New Roman" w:cs="Times New Roman"/>
                <w:color w:val="333333"/>
                <w:sz w:val="24"/>
                <w:szCs w:val="24"/>
                <w:shd w:val="clear" w:color="auto" w:fill="FCFCFC"/>
              </w:rPr>
              <w:t xml:space="preserve">Total </w:t>
            </w:r>
          </w:p>
        </w:tc>
        <w:tc>
          <w:tcPr>
            <w:tcW w:w="2927" w:type="dxa"/>
          </w:tcPr>
          <w:p w14:paraId="2C5A13FE" w14:textId="77777777" w:rsidR="00972157" w:rsidRPr="00674790" w:rsidRDefault="00972157"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480</w:t>
            </w:r>
          </w:p>
        </w:tc>
      </w:tr>
    </w:tbl>
    <w:p w14:paraId="0B17A232" w14:textId="77777777" w:rsidR="00DD2FE2" w:rsidRPr="00674790" w:rsidRDefault="00DD2FE2" w:rsidP="00674790">
      <w:pPr>
        <w:tabs>
          <w:tab w:val="left" w:pos="5664"/>
        </w:tabs>
        <w:spacing w:after="0" w:line="480" w:lineRule="auto"/>
        <w:jc w:val="both"/>
        <w:rPr>
          <w:rFonts w:ascii="Times New Roman" w:hAnsi="Times New Roman" w:cs="Times New Roman"/>
          <w:sz w:val="24"/>
          <w:szCs w:val="24"/>
        </w:rPr>
      </w:pPr>
    </w:p>
    <w:p w14:paraId="24B6095B" w14:textId="77777777" w:rsidR="00B807DC" w:rsidRPr="00674790" w:rsidRDefault="00EA766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b/>
          <w:sz w:val="24"/>
          <w:szCs w:val="24"/>
        </w:rPr>
        <w:t>7</w:t>
      </w:r>
      <w:r w:rsidR="00B807DC" w:rsidRPr="00674790">
        <w:rPr>
          <w:rFonts w:ascii="Times New Roman" w:hAnsi="Times New Roman" w:cs="Times New Roman"/>
          <w:b/>
          <w:sz w:val="24"/>
          <w:szCs w:val="24"/>
        </w:rPr>
        <w:t>.</w:t>
      </w:r>
      <w:r w:rsidRPr="00674790">
        <w:rPr>
          <w:rFonts w:ascii="Times New Roman" w:hAnsi="Times New Roman" w:cs="Times New Roman"/>
          <w:b/>
          <w:sz w:val="24"/>
          <w:szCs w:val="24"/>
        </w:rPr>
        <w:t>7</w:t>
      </w:r>
      <w:r w:rsidR="00B807DC" w:rsidRPr="00674790">
        <w:rPr>
          <w:rFonts w:ascii="Times New Roman" w:hAnsi="Times New Roman" w:cs="Times New Roman"/>
          <w:b/>
          <w:sz w:val="24"/>
          <w:szCs w:val="24"/>
        </w:rPr>
        <w:t xml:space="preserve"> </w:t>
      </w:r>
      <w:r w:rsidRPr="00674790">
        <w:rPr>
          <w:rFonts w:ascii="Times New Roman" w:hAnsi="Times New Roman" w:cs="Times New Roman"/>
          <w:b/>
          <w:sz w:val="24"/>
          <w:szCs w:val="24"/>
        </w:rPr>
        <w:t xml:space="preserve">Data collection techniques, </w:t>
      </w:r>
      <w:proofErr w:type="gramStart"/>
      <w:r w:rsidRPr="00674790">
        <w:rPr>
          <w:rFonts w:ascii="Times New Roman" w:hAnsi="Times New Roman" w:cs="Times New Roman"/>
          <w:b/>
          <w:sz w:val="24"/>
          <w:szCs w:val="24"/>
        </w:rPr>
        <w:t>instrument</w:t>
      </w:r>
      <w:proofErr w:type="gramEnd"/>
      <w:r w:rsidRPr="00674790">
        <w:rPr>
          <w:rFonts w:ascii="Times New Roman" w:hAnsi="Times New Roman" w:cs="Times New Roman"/>
          <w:b/>
          <w:sz w:val="24"/>
          <w:szCs w:val="24"/>
        </w:rPr>
        <w:t xml:space="preserve"> and measurements</w:t>
      </w:r>
    </w:p>
    <w:p w14:paraId="7691B831" w14:textId="1CF4C302" w:rsidR="00E7740E" w:rsidRPr="00674790" w:rsidRDefault="00EA766E"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Semi structured questionnaire will be used for collecting quantitative data and an in-depth </w:t>
      </w:r>
      <w:r w:rsidR="005962AA" w:rsidRPr="00674790">
        <w:rPr>
          <w:rFonts w:ascii="Times New Roman" w:hAnsi="Times New Roman" w:cs="Times New Roman"/>
          <w:sz w:val="24"/>
          <w:szCs w:val="24"/>
        </w:rPr>
        <w:t>open-ended</w:t>
      </w:r>
      <w:r w:rsidRPr="00674790">
        <w:rPr>
          <w:rFonts w:ascii="Times New Roman" w:hAnsi="Times New Roman" w:cs="Times New Roman"/>
          <w:sz w:val="24"/>
          <w:szCs w:val="24"/>
        </w:rPr>
        <w:t xml:space="preserve"> questionnaire will be used for qualitative data collection from the respondent.</w:t>
      </w:r>
    </w:p>
    <w:p w14:paraId="4F5426F9" w14:textId="77777777" w:rsidR="00192A96" w:rsidRPr="00674790" w:rsidRDefault="008A5E2E" w:rsidP="00674790">
      <w:pPr>
        <w:spacing w:after="0" w:line="480" w:lineRule="auto"/>
        <w:jc w:val="both"/>
        <w:rPr>
          <w:rFonts w:ascii="Times New Roman" w:hAnsi="Times New Roman" w:cs="Times New Roman"/>
          <w:b/>
          <w:sz w:val="24"/>
          <w:szCs w:val="24"/>
        </w:rPr>
      </w:pPr>
      <w:r w:rsidRPr="00674790">
        <w:rPr>
          <w:rFonts w:ascii="Times New Roman" w:hAnsi="Times New Roman" w:cs="Times New Roman"/>
          <w:b/>
          <w:bCs/>
          <w:sz w:val="24"/>
          <w:szCs w:val="24"/>
          <w:lang w:eastAsia="en-GB"/>
        </w:rPr>
        <w:t>7</w:t>
      </w:r>
      <w:r w:rsidRPr="00674790">
        <w:rPr>
          <w:rFonts w:ascii="Times New Roman" w:hAnsi="Times New Roman" w:cs="Times New Roman"/>
          <w:b/>
          <w:sz w:val="24"/>
          <w:szCs w:val="24"/>
        </w:rPr>
        <w:t>.8</w:t>
      </w:r>
      <w:r w:rsidR="00B807DC" w:rsidRPr="00674790">
        <w:rPr>
          <w:rFonts w:ascii="Times New Roman" w:hAnsi="Times New Roman" w:cs="Times New Roman"/>
          <w:b/>
          <w:sz w:val="24"/>
          <w:szCs w:val="24"/>
        </w:rPr>
        <w:t xml:space="preserve"> </w:t>
      </w:r>
      <w:r w:rsidRPr="00674790">
        <w:rPr>
          <w:rFonts w:ascii="Times New Roman" w:hAnsi="Times New Roman" w:cs="Times New Roman"/>
          <w:b/>
          <w:sz w:val="24"/>
          <w:szCs w:val="24"/>
        </w:rPr>
        <w:t>concrete analysis plan</w:t>
      </w:r>
    </w:p>
    <w:p w14:paraId="6A6807BB" w14:textId="77777777" w:rsidR="008A5E2E" w:rsidRPr="00674790" w:rsidRDefault="008A5E2E" w:rsidP="00674790">
      <w:pPr>
        <w:pStyle w:val="Heading1"/>
        <w:spacing w:before="0" w:after="0" w:line="480" w:lineRule="auto"/>
        <w:jc w:val="both"/>
        <w:rPr>
          <w:rFonts w:ascii="Times New Roman" w:hAnsi="Times New Roman" w:cs="Times New Roman"/>
          <w:bCs w:val="0"/>
          <w:sz w:val="24"/>
          <w:szCs w:val="24"/>
          <w:u w:val="single"/>
        </w:rPr>
      </w:pPr>
      <w:r w:rsidRPr="00674790">
        <w:rPr>
          <w:rFonts w:ascii="Times New Roman" w:hAnsi="Times New Roman" w:cs="Times New Roman"/>
          <w:bCs w:val="0"/>
          <w:sz w:val="24"/>
          <w:szCs w:val="24"/>
          <w:u w:val="single"/>
        </w:rPr>
        <w:t>Analytical Techniques</w:t>
      </w:r>
    </w:p>
    <w:p w14:paraId="33FD72A4" w14:textId="76ECA9A6" w:rsidR="008A5E2E" w:rsidRPr="00674790" w:rsidRDefault="008A5E2E" w:rsidP="00674790">
      <w:pPr>
        <w:spacing w:line="480" w:lineRule="auto"/>
        <w:jc w:val="both"/>
        <w:rPr>
          <w:rFonts w:ascii="Times New Roman" w:hAnsi="Times New Roman" w:cs="Times New Roman"/>
          <w:sz w:val="24"/>
          <w:szCs w:val="24"/>
        </w:rPr>
      </w:pPr>
      <w:r w:rsidRPr="00674790">
        <w:rPr>
          <w:rFonts w:ascii="Times New Roman" w:hAnsi="Times New Roman" w:cs="Times New Roman"/>
          <w:b/>
          <w:sz w:val="24"/>
          <w:szCs w:val="24"/>
        </w:rPr>
        <w:t>Step-1</w:t>
      </w:r>
      <w:r w:rsidRPr="00674790">
        <w:rPr>
          <w:rFonts w:ascii="Times New Roman" w:hAnsi="Times New Roman" w:cs="Times New Roman"/>
          <w:b/>
          <w:bCs/>
          <w:sz w:val="24"/>
          <w:szCs w:val="24"/>
        </w:rPr>
        <w:t xml:space="preserve">: </w:t>
      </w:r>
      <w:r w:rsidR="00162950" w:rsidRPr="00674790">
        <w:rPr>
          <w:rFonts w:ascii="Times New Roman" w:hAnsi="Times New Roman" w:cs="Times New Roman"/>
          <w:sz w:val="24"/>
          <w:szCs w:val="24"/>
        </w:rPr>
        <w:t xml:space="preserve">Determine the socio-economic characteristics of the </w:t>
      </w:r>
      <w:r w:rsidR="005962AA" w:rsidRPr="00674790">
        <w:rPr>
          <w:rFonts w:ascii="Times New Roman" w:hAnsi="Times New Roman" w:cs="Times New Roman"/>
          <w:sz w:val="24"/>
          <w:szCs w:val="24"/>
        </w:rPr>
        <w:t>SLT consumers</w:t>
      </w:r>
      <w:r w:rsidR="00961AD8" w:rsidRPr="00674790">
        <w:rPr>
          <w:rFonts w:ascii="Times New Roman" w:hAnsi="Times New Roman" w:cs="Times New Roman"/>
          <w:sz w:val="24"/>
          <w:szCs w:val="24"/>
        </w:rPr>
        <w:t xml:space="preserve">: By using tabulation, mean, percentage and applying chi-square and t-test to calculate the statistics. </w:t>
      </w:r>
    </w:p>
    <w:p w14:paraId="1D23D206" w14:textId="3FDAC86D" w:rsidR="00961AD8" w:rsidRPr="00674790" w:rsidRDefault="008A5E2E" w:rsidP="00674790">
      <w:pPr>
        <w:spacing w:line="480" w:lineRule="auto"/>
        <w:jc w:val="both"/>
        <w:rPr>
          <w:rFonts w:ascii="Times New Roman" w:hAnsi="Times New Roman" w:cs="Times New Roman"/>
          <w:sz w:val="24"/>
          <w:szCs w:val="24"/>
        </w:rPr>
      </w:pPr>
      <w:r w:rsidRPr="00674790">
        <w:rPr>
          <w:rFonts w:ascii="Times New Roman" w:hAnsi="Times New Roman" w:cs="Times New Roman"/>
          <w:b/>
          <w:sz w:val="24"/>
          <w:szCs w:val="24"/>
        </w:rPr>
        <w:t>Step-2:</w:t>
      </w:r>
      <w:r w:rsidRPr="00674790">
        <w:rPr>
          <w:rFonts w:ascii="Times New Roman" w:hAnsi="Times New Roman" w:cs="Times New Roman"/>
          <w:b/>
          <w:bCs/>
          <w:sz w:val="24"/>
          <w:szCs w:val="24"/>
        </w:rPr>
        <w:t xml:space="preserve"> </w:t>
      </w:r>
      <w:r w:rsidR="00961AD8" w:rsidRPr="00674790">
        <w:rPr>
          <w:rFonts w:ascii="Times New Roman" w:hAnsi="Times New Roman" w:cs="Times New Roman"/>
          <w:sz w:val="24"/>
          <w:szCs w:val="24"/>
        </w:rPr>
        <w:t xml:space="preserve">Investigate the impact of </w:t>
      </w:r>
      <w:r w:rsidR="005962AA" w:rsidRPr="00674790">
        <w:rPr>
          <w:rFonts w:ascii="Times New Roman" w:hAnsi="Times New Roman" w:cs="Times New Roman"/>
          <w:sz w:val="24"/>
          <w:szCs w:val="24"/>
        </w:rPr>
        <w:t>SLTs</w:t>
      </w:r>
      <w:r w:rsidR="00961AD8" w:rsidRPr="00674790">
        <w:rPr>
          <w:rFonts w:ascii="Times New Roman" w:hAnsi="Times New Roman" w:cs="Times New Roman"/>
          <w:sz w:val="24"/>
          <w:szCs w:val="24"/>
        </w:rPr>
        <w:t xml:space="preserve"> on health of related individuals</w:t>
      </w:r>
      <w:r w:rsidR="00B41322" w:rsidRPr="00674790">
        <w:rPr>
          <w:rFonts w:ascii="Times New Roman" w:hAnsi="Times New Roman" w:cs="Times New Roman"/>
          <w:sz w:val="24"/>
          <w:szCs w:val="24"/>
        </w:rPr>
        <w:t xml:space="preserve">: Information on self-reported illness during the last six months among the study populations was collected using questions about the occurrence of </w:t>
      </w:r>
      <w:r w:rsidR="007B26DC" w:rsidRPr="00674790">
        <w:rPr>
          <w:rFonts w:ascii="Times New Roman" w:hAnsi="Times New Roman" w:cs="Times New Roman"/>
          <w:sz w:val="24"/>
          <w:szCs w:val="24"/>
        </w:rPr>
        <w:t>9</w:t>
      </w:r>
      <w:r w:rsidR="00B41322" w:rsidRPr="00674790">
        <w:rPr>
          <w:rFonts w:ascii="Times New Roman" w:hAnsi="Times New Roman" w:cs="Times New Roman"/>
          <w:sz w:val="24"/>
          <w:szCs w:val="24"/>
        </w:rPr>
        <w:t xml:space="preserve"> health problems</w:t>
      </w:r>
      <w:r w:rsidR="007B26DC" w:rsidRPr="00674790">
        <w:rPr>
          <w:rFonts w:ascii="Times New Roman" w:hAnsi="Times New Roman" w:cs="Times New Roman"/>
          <w:sz w:val="24"/>
          <w:szCs w:val="24"/>
        </w:rPr>
        <w:t xml:space="preserve"> (Ischemic heart disease, Stroke, </w:t>
      </w:r>
      <w:proofErr w:type="spellStart"/>
      <w:r w:rsidR="007B26DC" w:rsidRPr="00674790">
        <w:rPr>
          <w:rFonts w:ascii="Times New Roman" w:hAnsi="Times New Roman" w:cs="Times New Roman"/>
          <w:sz w:val="24"/>
          <w:szCs w:val="24"/>
        </w:rPr>
        <w:t>Buerger’s</w:t>
      </w:r>
      <w:proofErr w:type="spellEnd"/>
      <w:r w:rsidR="007B26DC" w:rsidRPr="00674790">
        <w:rPr>
          <w:rFonts w:ascii="Times New Roman" w:hAnsi="Times New Roman" w:cs="Times New Roman"/>
          <w:sz w:val="24"/>
          <w:szCs w:val="24"/>
        </w:rPr>
        <w:t xml:space="preserve"> disease, Oral cancer, Lung cancer, Laryngeal cancer, Chronic obstructive pulmonary disease, Pulmonary tuberculosis)</w:t>
      </w:r>
      <w:r w:rsidR="00F332E6" w:rsidRPr="00674790">
        <w:rPr>
          <w:rFonts w:ascii="Times New Roman" w:hAnsi="Times New Roman" w:cs="Times New Roman"/>
          <w:sz w:val="24"/>
          <w:szCs w:val="24"/>
        </w:rPr>
        <w:t>.</w:t>
      </w:r>
    </w:p>
    <w:p w14:paraId="023CFEDC" w14:textId="77777777" w:rsidR="00F332E6" w:rsidRPr="00674790" w:rsidRDefault="00F332E6"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lastRenderedPageBreak/>
        <w:t>Multivariate binary logistic regression model will be applied to determine relative risk. When the dependent variable is dichotomous, logistic regression model is widely used not only to identify risk factors but also to predict the probability of success. The simple linear logistic regression model</w:t>
      </w:r>
      <w:r w:rsidRPr="00674790">
        <w:rPr>
          <w:rFonts w:ascii="Times New Roman" w:hAnsi="Times New Roman" w:cs="Times New Roman"/>
          <w:sz w:val="24"/>
          <w:szCs w:val="24"/>
        </w:rPr>
        <w:footnoteReference w:id="1"/>
      </w:r>
      <w:r w:rsidRPr="00674790">
        <w:rPr>
          <w:rFonts w:ascii="Times New Roman" w:hAnsi="Times New Roman" w:cs="Times New Roman"/>
          <w:sz w:val="24"/>
          <w:szCs w:val="24"/>
        </w:rPr>
        <w:t xml:space="preserve"> can be expressed as </w:t>
      </w:r>
      <w:r w:rsidRPr="00674790">
        <w:rPr>
          <w:rFonts w:ascii="Times New Roman" w:hAnsi="Times New Roman" w:cs="Times New Roman"/>
          <w:position w:val="-30"/>
          <w:sz w:val="24"/>
          <w:szCs w:val="24"/>
        </w:rPr>
        <w:object w:dxaOrig="2880" w:dyaOrig="700" w14:anchorId="3662D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pt" o:ole="">
            <v:imagedata r:id="rId9" o:title=""/>
          </v:shape>
          <o:OLEObject Type="Embed" ProgID="Equation.3" ShapeID="_x0000_i1025" DrawAspect="Content" ObjectID="_1729447224" r:id="rId10"/>
        </w:object>
      </w:r>
    </w:p>
    <w:p w14:paraId="7909E6C1" w14:textId="77777777" w:rsidR="00F332E6" w:rsidRPr="00674790" w:rsidRDefault="00F332E6" w:rsidP="00674790">
      <w:pPr>
        <w:pStyle w:val="List"/>
        <w:spacing w:after="0" w:line="480" w:lineRule="auto"/>
        <w:jc w:val="both"/>
        <w:rPr>
          <w:rFonts w:cs="Times New Roman"/>
          <w:b/>
          <w:bCs/>
        </w:rPr>
      </w:pPr>
      <w:r w:rsidRPr="00674790">
        <w:rPr>
          <w:rFonts w:cs="Times New Roman"/>
        </w:rPr>
        <w:t xml:space="preserve">Where, the quantity </w:t>
      </w:r>
      <w:r w:rsidRPr="00674790">
        <w:rPr>
          <w:rFonts w:cs="Times New Roman"/>
          <w:position w:val="-10"/>
        </w:rPr>
        <w:object w:dxaOrig="2180" w:dyaOrig="340" w14:anchorId="09B8B71C">
          <v:shape id="_x0000_i1026" type="#_x0000_t75" style="width:108.6pt;height:17.4pt" o:ole="">
            <v:imagedata r:id="rId11" o:title=""/>
          </v:shape>
          <o:OLEObject Type="Embed" ProgID="Equation.3" ShapeID="_x0000_i1026" DrawAspect="Content" ObjectID="_1729447225" r:id="rId12"/>
        </w:object>
      </w:r>
      <w:r w:rsidRPr="00674790">
        <w:rPr>
          <w:rFonts w:cs="Times New Roman"/>
        </w:rPr>
        <w:t xml:space="preserve"> </w:t>
      </w:r>
      <w:r w:rsidRPr="00674790">
        <w:rPr>
          <w:rFonts w:eastAsiaTheme="minorHAnsi" w:cs="Times New Roman"/>
          <w:lang w:val="en-US" w:eastAsia="en-US"/>
        </w:rPr>
        <w:t>represent the conditional probability that</w:t>
      </w:r>
      <w:r w:rsidRPr="00674790">
        <w:rPr>
          <w:rFonts w:cs="Times New Roman"/>
        </w:rPr>
        <w:t xml:space="preserve"> Y=1 </w:t>
      </w:r>
      <w:r w:rsidRPr="00674790">
        <w:rPr>
          <w:rFonts w:eastAsiaTheme="minorHAnsi" w:cs="Times New Roman"/>
          <w:lang w:val="en-US" w:eastAsia="en-US"/>
        </w:rPr>
        <w:t>given X and expressed a</w:t>
      </w:r>
      <w:r w:rsidRPr="00674790">
        <w:rPr>
          <w:rFonts w:cs="Times New Roman"/>
        </w:rPr>
        <w:t>s</w:t>
      </w:r>
      <w:r w:rsidRPr="00674790">
        <w:rPr>
          <w:rFonts w:cs="Times New Roman"/>
          <w:position w:val="-44"/>
        </w:rPr>
        <w:object w:dxaOrig="2460" w:dyaOrig="1040" w14:anchorId="0E5573FC">
          <v:shape id="_x0000_i1027" type="#_x0000_t75" style="width:123.6pt;height:35.4pt" o:ole="">
            <v:imagedata r:id="rId13" o:title=""/>
          </v:shape>
          <o:OLEObject Type="Embed" ProgID="Equation.3" ShapeID="_x0000_i1027" DrawAspect="Content" ObjectID="_1729447226" r:id="rId14"/>
        </w:object>
      </w:r>
      <w:r w:rsidRPr="00674790">
        <w:rPr>
          <w:rFonts w:cs="Times New Roman"/>
        </w:rPr>
        <w:t>.</w:t>
      </w:r>
    </w:p>
    <w:p w14:paraId="0BE67A19" w14:textId="77777777" w:rsidR="00F332E6" w:rsidRPr="00674790" w:rsidRDefault="00F332E6" w:rsidP="00674790">
      <w:pPr>
        <w:spacing w:line="480" w:lineRule="auto"/>
        <w:jc w:val="both"/>
        <w:rPr>
          <w:rFonts w:ascii="Times New Roman" w:hAnsi="Times New Roman" w:cs="Times New Roman"/>
          <w:sz w:val="24"/>
          <w:szCs w:val="24"/>
        </w:rPr>
      </w:pPr>
      <w:r w:rsidRPr="00674790">
        <w:rPr>
          <w:rFonts w:ascii="Times New Roman" w:hAnsi="Times New Roman" w:cs="Times New Roman"/>
          <w:sz w:val="24"/>
          <w:szCs w:val="24"/>
        </w:rPr>
        <w:t>If one consider a collection of p independent variables denoted by the vector X/</w:t>
      </w:r>
      <w:proofErr w:type="gramStart"/>
      <w:r w:rsidRPr="00674790">
        <w:rPr>
          <w:rFonts w:ascii="Times New Roman" w:hAnsi="Times New Roman" w:cs="Times New Roman"/>
          <w:sz w:val="24"/>
          <w:szCs w:val="24"/>
        </w:rPr>
        <w:t>=(</w:t>
      </w:r>
      <w:proofErr w:type="gramEnd"/>
      <w:r w:rsidRPr="00674790">
        <w:rPr>
          <w:rFonts w:ascii="Times New Roman" w:hAnsi="Times New Roman" w:cs="Times New Roman"/>
          <w:sz w:val="24"/>
          <w:szCs w:val="24"/>
        </w:rPr>
        <w:t>X1, X2, …,</w:t>
      </w:r>
      <w:proofErr w:type="spellStart"/>
      <w:r w:rsidRPr="00674790">
        <w:rPr>
          <w:rFonts w:ascii="Times New Roman" w:hAnsi="Times New Roman" w:cs="Times New Roman"/>
          <w:sz w:val="24"/>
          <w:szCs w:val="24"/>
        </w:rPr>
        <w:t>Xp</w:t>
      </w:r>
      <w:proofErr w:type="spellEnd"/>
      <w:r w:rsidRPr="00674790">
        <w:rPr>
          <w:rFonts w:ascii="Times New Roman" w:hAnsi="Times New Roman" w:cs="Times New Roman"/>
          <w:sz w:val="24"/>
          <w:szCs w:val="24"/>
        </w:rPr>
        <w:t>) then the multiple logistic regression model is given by the equation as</w:t>
      </w:r>
    </w:p>
    <w:p w14:paraId="23E6BE91" w14:textId="77777777" w:rsidR="00F332E6" w:rsidRPr="00674790" w:rsidRDefault="00F332E6" w:rsidP="00674790">
      <w:pPr>
        <w:spacing w:line="480" w:lineRule="auto"/>
        <w:ind w:firstLine="720"/>
        <w:jc w:val="both"/>
        <w:rPr>
          <w:rFonts w:ascii="Times New Roman" w:hAnsi="Times New Roman" w:cs="Times New Roman"/>
          <w:b/>
          <w:sz w:val="24"/>
          <w:szCs w:val="24"/>
        </w:rPr>
      </w:pPr>
      <w:r w:rsidRPr="00674790">
        <w:rPr>
          <w:rFonts w:ascii="Times New Roman" w:hAnsi="Times New Roman" w:cs="Times New Roman"/>
          <w:position w:val="-30"/>
          <w:sz w:val="24"/>
          <w:szCs w:val="24"/>
        </w:rPr>
        <w:object w:dxaOrig="5200" w:dyaOrig="700" w14:anchorId="7F4F309B">
          <v:shape id="_x0000_i1028" type="#_x0000_t75" style="width:260.4pt;height:29.4pt" o:ole="">
            <v:imagedata r:id="rId15" o:title=""/>
          </v:shape>
          <o:OLEObject Type="Embed" ProgID="Equation.3" ShapeID="_x0000_i1028" DrawAspect="Content" ObjectID="_1729447227" r:id="rId16"/>
        </w:object>
      </w:r>
    </w:p>
    <w:p w14:paraId="66297DF7" w14:textId="77777777" w:rsidR="008A5E2E" w:rsidRPr="00674790" w:rsidRDefault="008A5E2E" w:rsidP="00674790">
      <w:pPr>
        <w:spacing w:line="480" w:lineRule="auto"/>
        <w:jc w:val="both"/>
        <w:rPr>
          <w:rFonts w:ascii="Times New Roman" w:hAnsi="Times New Roman" w:cs="Times New Roman"/>
          <w:color w:val="FF0000"/>
          <w:sz w:val="24"/>
          <w:szCs w:val="24"/>
        </w:rPr>
      </w:pPr>
    </w:p>
    <w:p w14:paraId="50CF053C" w14:textId="7477DFAA" w:rsidR="007B26DC" w:rsidRPr="00674790" w:rsidRDefault="008A5E2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b/>
          <w:sz w:val="24"/>
          <w:szCs w:val="24"/>
        </w:rPr>
        <w:t xml:space="preserve">Step-3: </w:t>
      </w:r>
      <w:r w:rsidR="00F332E6" w:rsidRPr="00674790">
        <w:rPr>
          <w:rFonts w:ascii="Times New Roman" w:hAnsi="Times New Roman" w:cs="Times New Roman"/>
          <w:sz w:val="24"/>
          <w:szCs w:val="24"/>
        </w:rPr>
        <w:t xml:space="preserve">Estimate and compare the </w:t>
      </w:r>
      <w:r w:rsidR="007B26DC" w:rsidRPr="00674790">
        <w:rPr>
          <w:rFonts w:ascii="Times New Roman" w:eastAsia="Times New Roman" w:hAnsi="Times New Roman" w:cs="Times New Roman"/>
          <w:sz w:val="24"/>
          <w:szCs w:val="24"/>
          <w:lang w:bidi="en-US"/>
        </w:rPr>
        <w:t xml:space="preserve">GHWLs or text health warning labels incorporated in SLT commercials receive more attention. </w:t>
      </w:r>
    </w:p>
    <w:p w14:paraId="0E8B3892" w14:textId="6CD5B282" w:rsidR="001533B0" w:rsidRPr="00674790" w:rsidRDefault="00221426" w:rsidP="00674790">
      <w:pPr>
        <w:spacing w:line="480" w:lineRule="auto"/>
        <w:jc w:val="both"/>
        <w:rPr>
          <w:rFonts w:ascii="Times New Roman" w:hAnsi="Times New Roman" w:cs="Times New Roman"/>
          <w:sz w:val="24"/>
          <w:szCs w:val="24"/>
        </w:rPr>
      </w:pPr>
      <w:r w:rsidRPr="00674790">
        <w:rPr>
          <w:rFonts w:ascii="Times New Roman" w:hAnsi="Times New Roman" w:cs="Times New Roman"/>
          <w:b/>
          <w:sz w:val="24"/>
          <w:szCs w:val="24"/>
        </w:rPr>
        <w:t>Step-4:</w:t>
      </w:r>
      <w:r w:rsidRPr="00674790">
        <w:rPr>
          <w:rFonts w:ascii="Times New Roman" w:eastAsia="Times New Roman" w:hAnsi="Times New Roman" w:cs="Times New Roman"/>
          <w:sz w:val="24"/>
          <w:szCs w:val="24"/>
          <w:lang w:bidi="en-US"/>
        </w:rPr>
        <w:t xml:space="preserve"> </w:t>
      </w:r>
      <w:r w:rsidRPr="00674790">
        <w:rPr>
          <w:rFonts w:ascii="Times New Roman" w:hAnsi="Times New Roman" w:cs="Times New Roman"/>
          <w:sz w:val="24"/>
          <w:szCs w:val="24"/>
        </w:rPr>
        <w:t xml:space="preserve">Analysis and compare </w:t>
      </w:r>
      <w:r w:rsidR="00743B5A" w:rsidRPr="00674790">
        <w:rPr>
          <w:rFonts w:ascii="Times New Roman" w:hAnsi="Times New Roman" w:cs="Times New Roman"/>
          <w:sz w:val="24"/>
          <w:szCs w:val="24"/>
        </w:rPr>
        <w:t xml:space="preserve">the </w:t>
      </w:r>
      <w:r w:rsidR="00743B5A" w:rsidRPr="00674790">
        <w:rPr>
          <w:rFonts w:ascii="Times New Roman" w:eastAsia="Times New Roman" w:hAnsi="Times New Roman" w:cs="Times New Roman"/>
          <w:sz w:val="24"/>
          <w:szCs w:val="24"/>
          <w:lang w:bidi="en-US"/>
        </w:rPr>
        <w:t>consumers, take care the GHWLs on smokeless tobacco products</w:t>
      </w:r>
    </w:p>
    <w:p w14:paraId="5D2E1BE9" w14:textId="77777777" w:rsidR="00743B5A" w:rsidRPr="00674790" w:rsidRDefault="00743B5A" w:rsidP="00674790">
      <w:pPr>
        <w:spacing w:line="480" w:lineRule="auto"/>
        <w:jc w:val="both"/>
        <w:rPr>
          <w:rFonts w:ascii="Times New Roman" w:hAnsi="Times New Roman" w:cs="Times New Roman"/>
          <w:sz w:val="24"/>
          <w:szCs w:val="24"/>
        </w:rPr>
      </w:pPr>
    </w:p>
    <w:p w14:paraId="0E05E21A" w14:textId="77777777" w:rsidR="00B807DC" w:rsidRPr="00674790" w:rsidRDefault="008156DC" w:rsidP="00674790">
      <w:pPr>
        <w:spacing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7</w:t>
      </w:r>
      <w:r w:rsidR="00B807DC" w:rsidRPr="00674790">
        <w:rPr>
          <w:rFonts w:ascii="Times New Roman" w:hAnsi="Times New Roman" w:cs="Times New Roman"/>
          <w:b/>
          <w:sz w:val="24"/>
          <w:szCs w:val="24"/>
        </w:rPr>
        <w:t xml:space="preserve">.9 </w:t>
      </w:r>
      <w:r w:rsidR="001533B0" w:rsidRPr="00674790">
        <w:rPr>
          <w:rFonts w:ascii="Times New Roman" w:hAnsi="Times New Roman" w:cs="Times New Roman"/>
          <w:b/>
          <w:sz w:val="24"/>
          <w:szCs w:val="24"/>
        </w:rPr>
        <w:t>Data analysis</w:t>
      </w:r>
    </w:p>
    <w:p w14:paraId="12BFC79B" w14:textId="789D1297" w:rsidR="001533B0" w:rsidRPr="00674790" w:rsidRDefault="00192A96"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All collected data will be checked and verified thoroughly to reduce the inconsistency. The data will be coded, categorized, cleaned, and </w:t>
      </w:r>
      <w:r w:rsidR="00743B5A" w:rsidRPr="00674790">
        <w:rPr>
          <w:rFonts w:ascii="Times New Roman" w:hAnsi="Times New Roman" w:cs="Times New Roman"/>
          <w:sz w:val="24"/>
          <w:szCs w:val="24"/>
        </w:rPr>
        <w:t>entered</w:t>
      </w:r>
      <w:r w:rsidRPr="00674790">
        <w:rPr>
          <w:rFonts w:ascii="Times New Roman" w:hAnsi="Times New Roman" w:cs="Times New Roman"/>
          <w:sz w:val="24"/>
          <w:szCs w:val="24"/>
        </w:rPr>
        <w:t xml:space="preserve"> computer. Quality of data will always </w:t>
      </w:r>
      <w:r w:rsidRPr="00674790">
        <w:rPr>
          <w:rFonts w:ascii="Times New Roman" w:hAnsi="Times New Roman" w:cs="Times New Roman"/>
          <w:sz w:val="24"/>
          <w:szCs w:val="24"/>
        </w:rPr>
        <w:lastRenderedPageBreak/>
        <w:t>ensure. Collected data will then transfer to master table as per the specific objectives and key variables.</w:t>
      </w:r>
      <w:r w:rsidR="002A66AB" w:rsidRPr="00674790">
        <w:rPr>
          <w:rFonts w:ascii="Times New Roman" w:hAnsi="Times New Roman" w:cs="Times New Roman"/>
          <w:sz w:val="24"/>
          <w:szCs w:val="24"/>
        </w:rPr>
        <w:t xml:space="preserve"> </w:t>
      </w:r>
      <w:r w:rsidRPr="00674790">
        <w:rPr>
          <w:rFonts w:ascii="Times New Roman" w:hAnsi="Times New Roman" w:cs="Times New Roman"/>
          <w:sz w:val="24"/>
          <w:szCs w:val="24"/>
        </w:rPr>
        <w:t xml:space="preserve">Analysis of data will be done by </w:t>
      </w:r>
      <w:r w:rsidR="005471F5" w:rsidRPr="00674790">
        <w:rPr>
          <w:rFonts w:ascii="Times New Roman" w:hAnsi="Times New Roman" w:cs="Times New Roman"/>
          <w:sz w:val="24"/>
          <w:szCs w:val="24"/>
        </w:rPr>
        <w:t xml:space="preserve">SPSS, </w:t>
      </w:r>
      <w:r w:rsidR="00743B5A" w:rsidRPr="00674790">
        <w:rPr>
          <w:rFonts w:ascii="Times New Roman" w:hAnsi="Times New Roman" w:cs="Times New Roman"/>
          <w:sz w:val="24"/>
          <w:szCs w:val="24"/>
        </w:rPr>
        <w:t>STATA,</w:t>
      </w:r>
      <w:r w:rsidR="005471F5" w:rsidRPr="00674790">
        <w:rPr>
          <w:rFonts w:ascii="Times New Roman" w:hAnsi="Times New Roman" w:cs="Times New Roman"/>
          <w:sz w:val="24"/>
          <w:szCs w:val="24"/>
        </w:rPr>
        <w:t xml:space="preserve"> or R-programming</w:t>
      </w:r>
      <w:r w:rsidRPr="00674790">
        <w:rPr>
          <w:rFonts w:ascii="Times New Roman" w:hAnsi="Times New Roman" w:cs="Times New Roman"/>
          <w:sz w:val="24"/>
          <w:szCs w:val="24"/>
        </w:rPr>
        <w:t xml:space="preserve"> in the computer. Descriptive statistics like frequency distribution, mean, median, mode, range, standard deviation etc. will be calculated </w:t>
      </w:r>
      <w:r w:rsidR="005471F5" w:rsidRPr="00674790">
        <w:rPr>
          <w:rFonts w:ascii="Times New Roman" w:hAnsi="Times New Roman" w:cs="Times New Roman"/>
          <w:sz w:val="24"/>
          <w:szCs w:val="24"/>
        </w:rPr>
        <w:t>first</w:t>
      </w:r>
      <w:r w:rsidRPr="00674790">
        <w:rPr>
          <w:rFonts w:ascii="Times New Roman" w:hAnsi="Times New Roman" w:cs="Times New Roman"/>
          <w:sz w:val="24"/>
          <w:szCs w:val="24"/>
        </w:rPr>
        <w:t xml:space="preserve">. </w:t>
      </w:r>
      <w:r w:rsidR="005471F5" w:rsidRPr="00674790">
        <w:rPr>
          <w:rFonts w:ascii="Times New Roman" w:hAnsi="Times New Roman" w:cs="Times New Roman"/>
          <w:sz w:val="24"/>
          <w:szCs w:val="24"/>
        </w:rPr>
        <w:t>For i</w:t>
      </w:r>
      <w:r w:rsidRPr="00674790">
        <w:rPr>
          <w:rFonts w:ascii="Times New Roman" w:hAnsi="Times New Roman" w:cs="Times New Roman"/>
          <w:sz w:val="24"/>
          <w:szCs w:val="24"/>
        </w:rPr>
        <w:t>nferential statistics</w:t>
      </w:r>
      <w:r w:rsidR="005471F5" w:rsidRPr="00674790">
        <w:rPr>
          <w:rFonts w:ascii="Times New Roman" w:hAnsi="Times New Roman" w:cs="Times New Roman"/>
          <w:sz w:val="24"/>
          <w:szCs w:val="24"/>
        </w:rPr>
        <w:t>, different test and regression model will be applied. All the analysis, statistical significance</w:t>
      </w:r>
      <w:r w:rsidRPr="00674790">
        <w:rPr>
          <w:rFonts w:ascii="Times New Roman" w:hAnsi="Times New Roman" w:cs="Times New Roman"/>
          <w:sz w:val="24"/>
          <w:szCs w:val="24"/>
        </w:rPr>
        <w:t xml:space="preserve"> will be </w:t>
      </w:r>
      <w:r w:rsidR="005471F5" w:rsidRPr="00674790">
        <w:rPr>
          <w:rFonts w:ascii="Times New Roman" w:hAnsi="Times New Roman" w:cs="Times New Roman"/>
          <w:sz w:val="24"/>
          <w:szCs w:val="24"/>
        </w:rPr>
        <w:t xml:space="preserve">considered </w:t>
      </w:r>
      <w:r w:rsidRPr="00674790">
        <w:rPr>
          <w:rFonts w:ascii="Times New Roman" w:hAnsi="Times New Roman" w:cs="Times New Roman"/>
          <w:sz w:val="24"/>
          <w:szCs w:val="24"/>
        </w:rPr>
        <w:t>at 5% level of significance and 95% confidence Interval.</w:t>
      </w:r>
    </w:p>
    <w:bookmarkEnd w:id="4"/>
    <w:p w14:paraId="625935B6" w14:textId="77777777" w:rsidR="001533B0" w:rsidRPr="00674790" w:rsidRDefault="001533B0" w:rsidP="00674790">
      <w:pPr>
        <w:spacing w:after="0" w:line="480" w:lineRule="auto"/>
        <w:jc w:val="both"/>
        <w:rPr>
          <w:rFonts w:ascii="Times New Roman" w:hAnsi="Times New Roman" w:cs="Times New Roman"/>
          <w:sz w:val="24"/>
          <w:szCs w:val="24"/>
        </w:rPr>
      </w:pPr>
    </w:p>
    <w:p w14:paraId="136E6DFF" w14:textId="77777777" w:rsidR="005471F5" w:rsidRPr="00674790" w:rsidRDefault="008156DC" w:rsidP="00674790">
      <w:pPr>
        <w:spacing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7</w:t>
      </w:r>
      <w:r w:rsidR="00B807DC" w:rsidRPr="00674790">
        <w:rPr>
          <w:rFonts w:ascii="Times New Roman" w:hAnsi="Times New Roman" w:cs="Times New Roman"/>
          <w:b/>
          <w:sz w:val="24"/>
          <w:szCs w:val="24"/>
        </w:rPr>
        <w:t xml:space="preserve">.10. </w:t>
      </w:r>
      <w:bookmarkStart w:id="5" w:name="_Hlk118834332"/>
      <w:r w:rsidR="00737AFD" w:rsidRPr="00674790">
        <w:rPr>
          <w:rFonts w:ascii="Times New Roman" w:hAnsi="Times New Roman" w:cs="Times New Roman"/>
          <w:b/>
          <w:sz w:val="24"/>
          <w:szCs w:val="24"/>
        </w:rPr>
        <w:t>Ethical consideration</w:t>
      </w:r>
    </w:p>
    <w:p w14:paraId="0E7E922D" w14:textId="63017C4F" w:rsidR="001533B0" w:rsidRPr="00674790" w:rsidRDefault="005471F5"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Prior to doing data collection ethical clearance will be obtained from </w:t>
      </w:r>
      <w:r w:rsidR="00051F76" w:rsidRPr="00674790">
        <w:rPr>
          <w:rFonts w:ascii="Times New Roman" w:hAnsi="Times New Roman" w:cs="Times New Roman"/>
          <w:sz w:val="24"/>
          <w:szCs w:val="24"/>
        </w:rPr>
        <w:t>Shahjalal University of Science and Technology, Sylhet</w:t>
      </w:r>
      <w:r w:rsidRPr="00674790">
        <w:rPr>
          <w:rFonts w:ascii="Times New Roman" w:hAnsi="Times New Roman" w:cs="Times New Roman"/>
          <w:sz w:val="24"/>
          <w:szCs w:val="24"/>
        </w:rPr>
        <w:t>. Informed written consent will be taken from participants.</w:t>
      </w:r>
    </w:p>
    <w:bookmarkEnd w:id="5"/>
    <w:p w14:paraId="28BA8737" w14:textId="77777777" w:rsidR="00737AFD" w:rsidRPr="00674790" w:rsidRDefault="00737AFD" w:rsidP="00674790">
      <w:pPr>
        <w:spacing w:after="0" w:line="480" w:lineRule="auto"/>
        <w:jc w:val="both"/>
        <w:rPr>
          <w:rFonts w:ascii="Times New Roman" w:hAnsi="Times New Roman" w:cs="Times New Roman"/>
          <w:sz w:val="24"/>
          <w:szCs w:val="24"/>
        </w:rPr>
      </w:pPr>
    </w:p>
    <w:p w14:paraId="16E20BAB" w14:textId="77777777" w:rsidR="00737AFD" w:rsidRPr="00674790" w:rsidRDefault="0057423A" w:rsidP="00674790">
      <w:pPr>
        <w:spacing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8</w:t>
      </w:r>
      <w:r w:rsidR="007C5156" w:rsidRPr="00674790">
        <w:rPr>
          <w:rFonts w:ascii="Times New Roman" w:hAnsi="Times New Roman" w:cs="Times New Roman"/>
          <w:b/>
          <w:sz w:val="24"/>
          <w:szCs w:val="24"/>
        </w:rPr>
        <w:t>.</w:t>
      </w:r>
      <w:r w:rsidRPr="00674790">
        <w:rPr>
          <w:rFonts w:ascii="Times New Roman" w:hAnsi="Times New Roman" w:cs="Times New Roman"/>
          <w:b/>
          <w:sz w:val="24"/>
          <w:szCs w:val="24"/>
        </w:rPr>
        <w:t xml:space="preserve"> Implications of the proposed research for tobacco control policy in Bangladesh</w:t>
      </w:r>
    </w:p>
    <w:p w14:paraId="78E66BEB" w14:textId="77777777" w:rsidR="0057423A" w:rsidRPr="00674790" w:rsidRDefault="0057423A" w:rsidP="00674790">
      <w:pPr>
        <w:spacing w:after="0" w:line="480" w:lineRule="auto"/>
        <w:jc w:val="both"/>
        <w:rPr>
          <w:rFonts w:ascii="Times New Roman" w:hAnsi="Times New Roman" w:cs="Times New Roman"/>
          <w:sz w:val="24"/>
          <w:szCs w:val="24"/>
        </w:rPr>
      </w:pPr>
      <w:bookmarkStart w:id="6" w:name="_Hlk118834359"/>
      <w:r w:rsidRPr="00674790">
        <w:rPr>
          <w:rFonts w:ascii="Times New Roman" w:hAnsi="Times New Roman" w:cs="Times New Roman"/>
          <w:sz w:val="24"/>
          <w:szCs w:val="24"/>
        </w:rPr>
        <w:t xml:space="preserve">In the tobacco cultivated area, most of the farmers are illiterate and living very miserable life without having modern facilities. So, their knowledge of social awareness, particularly on tobacco production may not be </w:t>
      </w:r>
      <w:proofErr w:type="gramStart"/>
      <w:r w:rsidRPr="00674790">
        <w:rPr>
          <w:rFonts w:ascii="Times New Roman" w:hAnsi="Times New Roman" w:cs="Times New Roman"/>
          <w:sz w:val="24"/>
          <w:szCs w:val="24"/>
        </w:rPr>
        <w:t>sufficient enough</w:t>
      </w:r>
      <w:proofErr w:type="gramEnd"/>
      <w:r w:rsidRPr="00674790">
        <w:rPr>
          <w:rFonts w:ascii="Times New Roman" w:hAnsi="Times New Roman" w:cs="Times New Roman"/>
          <w:sz w:val="24"/>
          <w:szCs w:val="24"/>
        </w:rPr>
        <w:t xml:space="preserve"> to prevent them from the adverse effect of this cultivation. By exploring the prevalence and adverse effect of tobacco cultivation, this study will increase the awareness of the tobacco growers against the negative impacts of tobacco cultivation and will encourage them to quit this practice. The result of the study will help the policymaker to take measures to prevent tobacco cultivation and to encourage them to stop this practice.</w:t>
      </w:r>
    </w:p>
    <w:bookmarkEnd w:id="6"/>
    <w:p w14:paraId="3AC71D8B" w14:textId="77777777" w:rsidR="0057423A" w:rsidRPr="00674790" w:rsidRDefault="0057423A" w:rsidP="00674790">
      <w:pPr>
        <w:spacing w:after="0" w:line="480" w:lineRule="auto"/>
        <w:jc w:val="both"/>
        <w:rPr>
          <w:rFonts w:ascii="Times New Roman" w:hAnsi="Times New Roman" w:cs="Times New Roman"/>
          <w:sz w:val="24"/>
          <w:szCs w:val="24"/>
        </w:rPr>
      </w:pPr>
    </w:p>
    <w:p w14:paraId="03C52B0D" w14:textId="77777777" w:rsidR="00231A56" w:rsidRPr="00674790" w:rsidRDefault="00231A56" w:rsidP="00674790">
      <w:pPr>
        <w:spacing w:after="0" w:line="480" w:lineRule="auto"/>
        <w:jc w:val="both"/>
        <w:rPr>
          <w:rFonts w:ascii="Times New Roman" w:hAnsi="Times New Roman" w:cs="Times New Roman"/>
          <w:sz w:val="24"/>
          <w:szCs w:val="24"/>
        </w:rPr>
      </w:pPr>
    </w:p>
    <w:p w14:paraId="3E114520" w14:textId="77777777" w:rsidR="00737AFD" w:rsidRPr="00674790" w:rsidRDefault="0057423A" w:rsidP="00674790">
      <w:pPr>
        <w:spacing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9</w:t>
      </w:r>
      <w:r w:rsidR="00B807DC" w:rsidRPr="00674790">
        <w:rPr>
          <w:rFonts w:ascii="Times New Roman" w:hAnsi="Times New Roman" w:cs="Times New Roman"/>
          <w:b/>
          <w:sz w:val="24"/>
          <w:szCs w:val="24"/>
        </w:rPr>
        <w:t xml:space="preserve">. </w:t>
      </w:r>
      <w:r w:rsidR="00737AFD" w:rsidRPr="00674790">
        <w:rPr>
          <w:rFonts w:ascii="Times New Roman" w:hAnsi="Times New Roman" w:cs="Times New Roman"/>
          <w:b/>
          <w:sz w:val="24"/>
          <w:szCs w:val="24"/>
        </w:rPr>
        <w:t>Proposed personnel plan</w:t>
      </w:r>
    </w:p>
    <w:p w14:paraId="3795A754" w14:textId="77777777" w:rsidR="00737AFD" w:rsidRPr="00674790" w:rsidRDefault="005433C0" w:rsidP="00674790">
      <w:pPr>
        <w:spacing w:after="0" w:line="480" w:lineRule="auto"/>
        <w:jc w:val="both"/>
        <w:rPr>
          <w:rFonts w:ascii="Times New Roman" w:hAnsi="Times New Roman" w:cs="Times New Roman"/>
          <w:sz w:val="24"/>
          <w:szCs w:val="24"/>
        </w:rPr>
      </w:pPr>
      <w:bookmarkStart w:id="7" w:name="_Hlk118834396"/>
      <w:r w:rsidRPr="00674790">
        <w:rPr>
          <w:rFonts w:ascii="Times New Roman" w:hAnsi="Times New Roman" w:cs="Times New Roman"/>
          <w:sz w:val="24"/>
          <w:szCs w:val="24"/>
        </w:rPr>
        <w:lastRenderedPageBreak/>
        <w:t>To conduct this</w:t>
      </w:r>
      <w:r w:rsidR="002A66AB" w:rsidRPr="00674790">
        <w:rPr>
          <w:rFonts w:ascii="Times New Roman" w:hAnsi="Times New Roman" w:cs="Times New Roman"/>
          <w:sz w:val="24"/>
          <w:szCs w:val="24"/>
        </w:rPr>
        <w:t xml:space="preserve"> </w:t>
      </w:r>
      <w:r w:rsidRPr="00674790">
        <w:rPr>
          <w:rFonts w:ascii="Times New Roman" w:hAnsi="Times New Roman" w:cs="Times New Roman"/>
          <w:sz w:val="24"/>
          <w:szCs w:val="24"/>
        </w:rPr>
        <w:t>study, other than the principal investigator the following personnel will be recruited</w:t>
      </w:r>
    </w:p>
    <w:p w14:paraId="03411F08" w14:textId="77777777" w:rsidR="005433C0" w:rsidRPr="00674790" w:rsidRDefault="005433C0" w:rsidP="00674790">
      <w:pPr>
        <w:pStyle w:val="ListParagraph"/>
        <w:numPr>
          <w:ilvl w:val="0"/>
          <w:numId w:val="8"/>
        </w:num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Field supervisor – 2 persons</w:t>
      </w:r>
    </w:p>
    <w:p w14:paraId="74501D64" w14:textId="77777777" w:rsidR="005433C0" w:rsidRPr="00674790" w:rsidRDefault="005433C0" w:rsidP="00674790">
      <w:pPr>
        <w:pStyle w:val="ListParagraph"/>
        <w:numPr>
          <w:ilvl w:val="0"/>
          <w:numId w:val="8"/>
        </w:num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Data collector – </w:t>
      </w:r>
      <w:r w:rsidR="00022A95" w:rsidRPr="00674790">
        <w:rPr>
          <w:rFonts w:ascii="Times New Roman" w:hAnsi="Times New Roman" w:cs="Times New Roman"/>
          <w:sz w:val="24"/>
          <w:szCs w:val="24"/>
        </w:rPr>
        <w:t>10</w:t>
      </w:r>
      <w:r w:rsidRPr="00674790">
        <w:rPr>
          <w:rFonts w:ascii="Times New Roman" w:hAnsi="Times New Roman" w:cs="Times New Roman"/>
          <w:sz w:val="24"/>
          <w:szCs w:val="24"/>
        </w:rPr>
        <w:t xml:space="preserve"> persons</w:t>
      </w:r>
    </w:p>
    <w:p w14:paraId="40847AF8" w14:textId="77777777" w:rsidR="005433C0" w:rsidRPr="00674790" w:rsidRDefault="005433C0" w:rsidP="00674790">
      <w:pPr>
        <w:pStyle w:val="ListParagraph"/>
        <w:numPr>
          <w:ilvl w:val="0"/>
          <w:numId w:val="8"/>
        </w:num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Data entry operator – 1 person</w:t>
      </w:r>
    </w:p>
    <w:p w14:paraId="356E4D64" w14:textId="77777777" w:rsidR="005433C0" w:rsidRPr="00674790" w:rsidRDefault="005433C0" w:rsidP="00674790">
      <w:pPr>
        <w:pStyle w:val="ListParagraph"/>
        <w:numPr>
          <w:ilvl w:val="0"/>
          <w:numId w:val="8"/>
        </w:num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Data analyst – 1 person</w:t>
      </w:r>
    </w:p>
    <w:p w14:paraId="639BD23D" w14:textId="77777777" w:rsidR="002A66AB" w:rsidRPr="00674790" w:rsidRDefault="002A66AB" w:rsidP="00674790">
      <w:pPr>
        <w:pStyle w:val="ListParagraph"/>
        <w:spacing w:after="0" w:line="480" w:lineRule="auto"/>
        <w:jc w:val="both"/>
        <w:rPr>
          <w:rFonts w:ascii="Times New Roman" w:hAnsi="Times New Roman" w:cs="Times New Roman"/>
          <w:sz w:val="24"/>
          <w:szCs w:val="24"/>
        </w:rPr>
      </w:pPr>
    </w:p>
    <w:p w14:paraId="6BDD50FD" w14:textId="77777777" w:rsidR="0057423A" w:rsidRPr="00674790" w:rsidRDefault="0057423A" w:rsidP="00674790">
      <w:pPr>
        <w:spacing w:line="480" w:lineRule="auto"/>
        <w:jc w:val="both"/>
        <w:rPr>
          <w:rFonts w:ascii="Times New Roman" w:hAnsi="Times New Roman" w:cs="Times New Roman"/>
          <w:sz w:val="24"/>
          <w:szCs w:val="24"/>
        </w:rPr>
      </w:pPr>
      <w:r w:rsidRPr="00674790">
        <w:rPr>
          <w:rFonts w:ascii="Times New Roman" w:hAnsi="Times New Roman" w:cs="Times New Roman"/>
          <w:b/>
          <w:bCs/>
          <w:sz w:val="24"/>
          <w:szCs w:val="24"/>
        </w:rPr>
        <w:t xml:space="preserve">Principal Investigator: </w:t>
      </w:r>
      <w:r w:rsidRPr="00674790">
        <w:rPr>
          <w:rFonts w:ascii="Times New Roman" w:hAnsi="Times New Roman" w:cs="Times New Roman"/>
          <w:sz w:val="24"/>
          <w:szCs w:val="24"/>
        </w:rPr>
        <w:t>Principal Investigator will regulate all the activities of the research. He will write the research proposal, will co-ordinate all official responsibilities, plan- conduct and monitor all research activities, will recruit all research-related personnel, will record all income and expenditures sources, will work with the mentor, and will ultimately submit the final research report.</w:t>
      </w:r>
    </w:p>
    <w:p w14:paraId="2478EA28" w14:textId="77777777" w:rsidR="0057423A" w:rsidRPr="00674790" w:rsidRDefault="0057423A" w:rsidP="00674790">
      <w:pPr>
        <w:spacing w:line="480" w:lineRule="auto"/>
        <w:jc w:val="both"/>
        <w:rPr>
          <w:rFonts w:ascii="Times New Roman" w:hAnsi="Times New Roman" w:cs="Times New Roman"/>
          <w:sz w:val="24"/>
          <w:szCs w:val="24"/>
        </w:rPr>
      </w:pPr>
      <w:r w:rsidRPr="00674790">
        <w:rPr>
          <w:rFonts w:ascii="Times New Roman" w:hAnsi="Times New Roman" w:cs="Times New Roman"/>
          <w:b/>
          <w:bCs/>
          <w:sz w:val="24"/>
          <w:szCs w:val="24"/>
        </w:rPr>
        <w:t>Field Supervisor:</w:t>
      </w:r>
      <w:r w:rsidRPr="00674790">
        <w:rPr>
          <w:rFonts w:ascii="Times New Roman" w:hAnsi="Times New Roman" w:cs="Times New Roman"/>
          <w:sz w:val="24"/>
          <w:szCs w:val="24"/>
        </w:rPr>
        <w:t xml:space="preserve"> Field supervisors must have at least graduation. They will guide and supervise the data collector, monitor the data collection process and quality of data, collect, </w:t>
      </w:r>
      <w:proofErr w:type="gramStart"/>
      <w:r w:rsidRPr="00674790">
        <w:rPr>
          <w:rFonts w:ascii="Times New Roman" w:hAnsi="Times New Roman" w:cs="Times New Roman"/>
          <w:sz w:val="24"/>
          <w:szCs w:val="24"/>
        </w:rPr>
        <w:t>preserve</w:t>
      </w:r>
      <w:proofErr w:type="gramEnd"/>
      <w:r w:rsidRPr="00674790">
        <w:rPr>
          <w:rFonts w:ascii="Times New Roman" w:hAnsi="Times New Roman" w:cs="Times New Roman"/>
          <w:sz w:val="24"/>
          <w:szCs w:val="24"/>
        </w:rPr>
        <w:t xml:space="preserve"> and submit the completed research questionnaire to the principal investigator.</w:t>
      </w:r>
    </w:p>
    <w:p w14:paraId="4DBBB7E7" w14:textId="77777777" w:rsidR="0057423A" w:rsidRPr="00674790" w:rsidRDefault="0057423A" w:rsidP="00674790">
      <w:pPr>
        <w:spacing w:line="480" w:lineRule="auto"/>
        <w:jc w:val="both"/>
        <w:rPr>
          <w:rFonts w:ascii="Times New Roman" w:hAnsi="Times New Roman" w:cs="Times New Roman"/>
          <w:sz w:val="24"/>
          <w:szCs w:val="24"/>
        </w:rPr>
      </w:pPr>
      <w:r w:rsidRPr="00674790">
        <w:rPr>
          <w:rFonts w:ascii="Times New Roman" w:hAnsi="Times New Roman" w:cs="Times New Roman"/>
          <w:b/>
          <w:bCs/>
          <w:sz w:val="24"/>
          <w:szCs w:val="24"/>
        </w:rPr>
        <w:t xml:space="preserve">Data </w:t>
      </w:r>
      <w:r w:rsidR="008F559F" w:rsidRPr="00674790">
        <w:rPr>
          <w:rFonts w:ascii="Times New Roman" w:hAnsi="Times New Roman" w:cs="Times New Roman"/>
          <w:b/>
          <w:sz w:val="24"/>
          <w:szCs w:val="24"/>
        </w:rPr>
        <w:t>collector</w:t>
      </w:r>
      <w:r w:rsidRPr="00674790">
        <w:rPr>
          <w:rFonts w:ascii="Times New Roman" w:hAnsi="Times New Roman" w:cs="Times New Roman"/>
          <w:b/>
          <w:bCs/>
          <w:sz w:val="24"/>
          <w:szCs w:val="24"/>
        </w:rPr>
        <w:t xml:space="preserve">: </w:t>
      </w:r>
      <w:r w:rsidRPr="00674790">
        <w:rPr>
          <w:rFonts w:ascii="Times New Roman" w:hAnsi="Times New Roman" w:cs="Times New Roman"/>
          <w:sz w:val="24"/>
          <w:szCs w:val="24"/>
        </w:rPr>
        <w:t xml:space="preserve">Data enumerator will be experienced and work in relevant projects and </w:t>
      </w:r>
      <w:proofErr w:type="spellStart"/>
      <w:r w:rsidRPr="00674790">
        <w:rPr>
          <w:rFonts w:ascii="Times New Roman" w:hAnsi="Times New Roman" w:cs="Times New Roman"/>
          <w:sz w:val="24"/>
          <w:szCs w:val="24"/>
        </w:rPr>
        <w:t>atleast</w:t>
      </w:r>
      <w:proofErr w:type="spellEnd"/>
      <w:r w:rsidRPr="00674790">
        <w:rPr>
          <w:rFonts w:ascii="Times New Roman" w:hAnsi="Times New Roman" w:cs="Times New Roman"/>
          <w:sz w:val="24"/>
          <w:szCs w:val="24"/>
        </w:rPr>
        <w:t xml:space="preserve"> the university level students. </w:t>
      </w:r>
      <w:proofErr w:type="gramStart"/>
      <w:r w:rsidRPr="00674790">
        <w:rPr>
          <w:rFonts w:ascii="Times New Roman" w:hAnsi="Times New Roman" w:cs="Times New Roman"/>
          <w:sz w:val="24"/>
          <w:szCs w:val="24"/>
        </w:rPr>
        <w:t>All of</w:t>
      </w:r>
      <w:proofErr w:type="gramEnd"/>
      <w:r w:rsidRPr="00674790">
        <w:rPr>
          <w:rFonts w:ascii="Times New Roman" w:hAnsi="Times New Roman" w:cs="Times New Roman"/>
          <w:sz w:val="24"/>
          <w:szCs w:val="24"/>
        </w:rPr>
        <w:t xml:space="preserve"> the enumerators will visit the study area and will collect data from respondents through questionnaire by direct interview and also in FGD, KII. They will collect data under the supervision of the field supervisor.</w:t>
      </w:r>
    </w:p>
    <w:p w14:paraId="358AFBAD" w14:textId="77777777" w:rsidR="0057423A" w:rsidRPr="00674790" w:rsidRDefault="0057423A" w:rsidP="00674790">
      <w:pPr>
        <w:spacing w:line="480" w:lineRule="auto"/>
        <w:jc w:val="both"/>
        <w:rPr>
          <w:rFonts w:ascii="Times New Roman" w:hAnsi="Times New Roman" w:cs="Times New Roman"/>
          <w:sz w:val="24"/>
          <w:szCs w:val="24"/>
        </w:rPr>
      </w:pPr>
      <w:r w:rsidRPr="00674790">
        <w:rPr>
          <w:rFonts w:ascii="Times New Roman" w:hAnsi="Times New Roman" w:cs="Times New Roman"/>
          <w:b/>
          <w:bCs/>
          <w:sz w:val="24"/>
          <w:szCs w:val="24"/>
        </w:rPr>
        <w:t>Data Entry Operator:</w:t>
      </w:r>
      <w:r w:rsidR="008F559F" w:rsidRPr="00674790">
        <w:rPr>
          <w:rFonts w:ascii="Times New Roman" w:hAnsi="Times New Roman" w:cs="Times New Roman"/>
          <w:b/>
          <w:bCs/>
          <w:sz w:val="24"/>
          <w:szCs w:val="24"/>
        </w:rPr>
        <w:t xml:space="preserve"> </w:t>
      </w:r>
      <w:r w:rsidRPr="00674790">
        <w:rPr>
          <w:rFonts w:ascii="Times New Roman" w:hAnsi="Times New Roman" w:cs="Times New Roman"/>
          <w:sz w:val="24"/>
          <w:szCs w:val="24"/>
        </w:rPr>
        <w:t xml:space="preserve">He/she will be appointed and responsible for the entry of the collected data and checking the consistency of the data </w:t>
      </w:r>
    </w:p>
    <w:p w14:paraId="2FE5DEC3" w14:textId="77777777" w:rsidR="0057423A" w:rsidRPr="00674790" w:rsidRDefault="0057423A" w:rsidP="00674790">
      <w:pPr>
        <w:spacing w:line="480" w:lineRule="auto"/>
        <w:jc w:val="both"/>
        <w:rPr>
          <w:rFonts w:ascii="Times New Roman" w:hAnsi="Times New Roman" w:cs="Times New Roman"/>
          <w:sz w:val="24"/>
          <w:szCs w:val="24"/>
        </w:rPr>
      </w:pPr>
      <w:r w:rsidRPr="00674790">
        <w:rPr>
          <w:rFonts w:ascii="Times New Roman" w:hAnsi="Times New Roman" w:cs="Times New Roman"/>
          <w:b/>
          <w:bCs/>
          <w:sz w:val="24"/>
          <w:szCs w:val="24"/>
        </w:rPr>
        <w:t xml:space="preserve">Data Analyst: </w:t>
      </w:r>
      <w:r w:rsidRPr="00674790">
        <w:rPr>
          <w:rFonts w:ascii="Times New Roman" w:hAnsi="Times New Roman" w:cs="Times New Roman"/>
          <w:sz w:val="24"/>
          <w:szCs w:val="24"/>
        </w:rPr>
        <w:t xml:space="preserve">He/she </w:t>
      </w:r>
      <w:proofErr w:type="gramStart"/>
      <w:r w:rsidRPr="00674790">
        <w:rPr>
          <w:rFonts w:ascii="Times New Roman" w:hAnsi="Times New Roman" w:cs="Times New Roman"/>
          <w:sz w:val="24"/>
          <w:szCs w:val="24"/>
        </w:rPr>
        <w:t>will</w:t>
      </w:r>
      <w:proofErr w:type="gramEnd"/>
      <w:r w:rsidRPr="00674790">
        <w:rPr>
          <w:rFonts w:ascii="Times New Roman" w:hAnsi="Times New Roman" w:cs="Times New Roman"/>
          <w:sz w:val="24"/>
          <w:szCs w:val="24"/>
        </w:rPr>
        <w:t xml:space="preserve"> responsible for the analysis of the data as per the objectives of this research.</w:t>
      </w:r>
    </w:p>
    <w:p w14:paraId="209F9A2F" w14:textId="77777777" w:rsidR="0057423A" w:rsidRPr="00674790" w:rsidRDefault="0057423A" w:rsidP="00674790">
      <w:pPr>
        <w:spacing w:line="480" w:lineRule="auto"/>
        <w:jc w:val="both"/>
        <w:rPr>
          <w:rFonts w:ascii="Times New Roman" w:hAnsi="Times New Roman" w:cs="Times New Roman"/>
          <w:sz w:val="24"/>
          <w:szCs w:val="24"/>
        </w:rPr>
      </w:pPr>
      <w:r w:rsidRPr="00674790">
        <w:rPr>
          <w:rFonts w:ascii="Times New Roman" w:hAnsi="Times New Roman" w:cs="Times New Roman"/>
          <w:b/>
          <w:bCs/>
          <w:sz w:val="24"/>
          <w:szCs w:val="24"/>
        </w:rPr>
        <w:lastRenderedPageBreak/>
        <w:t>Staff Schedule:</w:t>
      </w:r>
      <w:r w:rsidR="008F559F" w:rsidRPr="00674790">
        <w:rPr>
          <w:rFonts w:ascii="Times New Roman" w:hAnsi="Times New Roman" w:cs="Times New Roman"/>
          <w:b/>
          <w:bCs/>
          <w:sz w:val="24"/>
          <w:szCs w:val="24"/>
        </w:rPr>
        <w:t xml:space="preserve"> </w:t>
      </w:r>
      <w:r w:rsidRPr="00674790">
        <w:rPr>
          <w:rFonts w:ascii="Times New Roman" w:hAnsi="Times New Roman" w:cs="Times New Roman"/>
          <w:sz w:val="24"/>
          <w:szCs w:val="24"/>
        </w:rPr>
        <w:t xml:space="preserve">The principal investigator will work under the supervision of a Mentor throughout the period. The field supervisor and data collector will be appointed for two months. Data collection activities will take place over two month’s period. Data entry operator will be appointed for a month for entering, </w:t>
      </w:r>
      <w:proofErr w:type="gramStart"/>
      <w:r w:rsidRPr="00674790">
        <w:rPr>
          <w:rFonts w:ascii="Times New Roman" w:hAnsi="Times New Roman" w:cs="Times New Roman"/>
          <w:sz w:val="24"/>
          <w:szCs w:val="24"/>
        </w:rPr>
        <w:t>checking</w:t>
      </w:r>
      <w:proofErr w:type="gramEnd"/>
      <w:r w:rsidRPr="00674790">
        <w:rPr>
          <w:rFonts w:ascii="Times New Roman" w:hAnsi="Times New Roman" w:cs="Times New Roman"/>
          <w:sz w:val="24"/>
          <w:szCs w:val="24"/>
        </w:rPr>
        <w:t xml:space="preserve"> and editing all research data in the computer system and a data analyst for one month for analysis the data according to the objectives.</w:t>
      </w:r>
    </w:p>
    <w:bookmarkEnd w:id="7"/>
    <w:p w14:paraId="25EAD185" w14:textId="77777777" w:rsidR="0057423A" w:rsidRPr="00674790" w:rsidRDefault="0057423A" w:rsidP="00674790">
      <w:pPr>
        <w:spacing w:after="0" w:line="480" w:lineRule="auto"/>
        <w:jc w:val="both"/>
        <w:rPr>
          <w:rFonts w:ascii="Times New Roman" w:hAnsi="Times New Roman" w:cs="Times New Roman"/>
          <w:sz w:val="24"/>
          <w:szCs w:val="24"/>
        </w:rPr>
      </w:pPr>
    </w:p>
    <w:p w14:paraId="3C74A9FE" w14:textId="77777777" w:rsidR="005433C0" w:rsidRPr="00674790" w:rsidRDefault="00B20FAE" w:rsidP="00674790">
      <w:pPr>
        <w:spacing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10. Work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843"/>
        <w:gridCol w:w="723"/>
        <w:gridCol w:w="656"/>
        <w:gridCol w:w="656"/>
        <w:gridCol w:w="617"/>
        <w:gridCol w:w="910"/>
        <w:gridCol w:w="936"/>
        <w:gridCol w:w="743"/>
        <w:gridCol w:w="923"/>
      </w:tblGrid>
      <w:tr w:rsidR="00B20FAE" w:rsidRPr="00674790" w14:paraId="64E477DD" w14:textId="77777777" w:rsidTr="00B20FAE">
        <w:tc>
          <w:tcPr>
            <w:tcW w:w="1348" w:type="pct"/>
            <w:shd w:val="clear" w:color="auto" w:fill="DEEAF6" w:themeFill="accent5" w:themeFillTint="33"/>
          </w:tcPr>
          <w:p w14:paraId="62AA4479" w14:textId="77777777" w:rsidR="00B20FAE" w:rsidRPr="00674790" w:rsidRDefault="00B20FAE" w:rsidP="00674790">
            <w:pPr>
              <w:spacing w:after="0" w:line="480" w:lineRule="auto"/>
              <w:jc w:val="both"/>
              <w:rPr>
                <w:rFonts w:ascii="Times New Roman" w:hAnsi="Times New Roman" w:cs="Times New Roman"/>
                <w:sz w:val="24"/>
                <w:szCs w:val="24"/>
              </w:rPr>
            </w:pPr>
            <w:bookmarkStart w:id="8" w:name="_Hlk118834419"/>
            <w:r w:rsidRPr="00674790">
              <w:rPr>
                <w:rFonts w:ascii="Times New Roman" w:hAnsi="Times New Roman" w:cs="Times New Roman"/>
                <w:sz w:val="24"/>
                <w:szCs w:val="24"/>
              </w:rPr>
              <w:t>Tasks</w:t>
            </w:r>
          </w:p>
        </w:tc>
        <w:tc>
          <w:tcPr>
            <w:tcW w:w="428" w:type="pct"/>
            <w:shd w:val="clear" w:color="auto" w:fill="DEEAF6" w:themeFill="accent5" w:themeFillTint="33"/>
          </w:tcPr>
          <w:p w14:paraId="3911AF92"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March </w:t>
            </w:r>
          </w:p>
        </w:tc>
        <w:tc>
          <w:tcPr>
            <w:tcW w:w="368" w:type="pct"/>
            <w:shd w:val="clear" w:color="auto" w:fill="DEEAF6" w:themeFill="accent5" w:themeFillTint="33"/>
          </w:tcPr>
          <w:p w14:paraId="7689572B"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April</w:t>
            </w:r>
          </w:p>
        </w:tc>
        <w:tc>
          <w:tcPr>
            <w:tcW w:w="337" w:type="pct"/>
            <w:shd w:val="clear" w:color="auto" w:fill="DEEAF6" w:themeFill="accent5" w:themeFillTint="33"/>
          </w:tcPr>
          <w:p w14:paraId="0DE1F261"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May</w:t>
            </w:r>
          </w:p>
        </w:tc>
        <w:tc>
          <w:tcPr>
            <w:tcW w:w="339" w:type="pct"/>
            <w:shd w:val="clear" w:color="auto" w:fill="DEEAF6" w:themeFill="accent5" w:themeFillTint="33"/>
          </w:tcPr>
          <w:p w14:paraId="301C1A21"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June</w:t>
            </w:r>
          </w:p>
        </w:tc>
        <w:tc>
          <w:tcPr>
            <w:tcW w:w="315" w:type="pct"/>
            <w:shd w:val="clear" w:color="auto" w:fill="DEEAF6" w:themeFill="accent5" w:themeFillTint="33"/>
          </w:tcPr>
          <w:p w14:paraId="412321E1"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July </w:t>
            </w:r>
          </w:p>
        </w:tc>
        <w:tc>
          <w:tcPr>
            <w:tcW w:w="461" w:type="pct"/>
            <w:shd w:val="clear" w:color="auto" w:fill="DEEAF6" w:themeFill="accent5" w:themeFillTint="33"/>
          </w:tcPr>
          <w:p w14:paraId="7BD78FEC"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August</w:t>
            </w:r>
          </w:p>
        </w:tc>
        <w:tc>
          <w:tcPr>
            <w:tcW w:w="558" w:type="pct"/>
            <w:shd w:val="clear" w:color="auto" w:fill="DEEAF6" w:themeFill="accent5" w:themeFillTint="33"/>
          </w:tcPr>
          <w:p w14:paraId="17B9531D" w14:textId="77777777" w:rsidR="00B20FAE" w:rsidRPr="00674790" w:rsidRDefault="00B20FAE" w:rsidP="00674790">
            <w:pPr>
              <w:spacing w:after="0" w:line="480" w:lineRule="auto"/>
              <w:jc w:val="both"/>
              <w:rPr>
                <w:rFonts w:ascii="Times New Roman" w:hAnsi="Times New Roman" w:cs="Times New Roman"/>
                <w:sz w:val="24"/>
                <w:szCs w:val="24"/>
              </w:rPr>
            </w:pPr>
            <w:proofErr w:type="spellStart"/>
            <w:r w:rsidRPr="00674790">
              <w:rPr>
                <w:rFonts w:ascii="Times New Roman" w:hAnsi="Times New Roman" w:cs="Times New Roman"/>
                <w:sz w:val="24"/>
                <w:szCs w:val="24"/>
              </w:rPr>
              <w:t>Septem</w:t>
            </w:r>
            <w:proofErr w:type="spellEnd"/>
          </w:p>
          <w:p w14:paraId="3BB6351C" w14:textId="77777777" w:rsidR="00B20FAE" w:rsidRPr="00674790" w:rsidRDefault="00B20FAE" w:rsidP="00674790">
            <w:pPr>
              <w:spacing w:after="0" w:line="480" w:lineRule="auto"/>
              <w:jc w:val="both"/>
              <w:rPr>
                <w:rFonts w:ascii="Times New Roman" w:hAnsi="Times New Roman" w:cs="Times New Roman"/>
                <w:sz w:val="24"/>
                <w:szCs w:val="24"/>
              </w:rPr>
            </w:pPr>
            <w:proofErr w:type="spellStart"/>
            <w:r w:rsidRPr="00674790">
              <w:rPr>
                <w:rFonts w:ascii="Times New Roman" w:hAnsi="Times New Roman" w:cs="Times New Roman"/>
                <w:sz w:val="24"/>
                <w:szCs w:val="24"/>
              </w:rPr>
              <w:t>ber</w:t>
            </w:r>
            <w:proofErr w:type="spellEnd"/>
          </w:p>
          <w:p w14:paraId="58204824"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78" w:type="pct"/>
            <w:shd w:val="clear" w:color="auto" w:fill="DEEAF6" w:themeFill="accent5" w:themeFillTint="33"/>
          </w:tcPr>
          <w:p w14:paraId="697C662A"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Octo.</w:t>
            </w:r>
          </w:p>
          <w:p w14:paraId="64685856" w14:textId="77777777" w:rsidR="00B20FAE" w:rsidRPr="00674790" w:rsidRDefault="00B20FAE" w:rsidP="00674790">
            <w:pPr>
              <w:spacing w:after="0" w:line="480" w:lineRule="auto"/>
              <w:jc w:val="both"/>
              <w:rPr>
                <w:rFonts w:ascii="Times New Roman" w:hAnsi="Times New Roman" w:cs="Times New Roman"/>
                <w:sz w:val="24"/>
                <w:szCs w:val="24"/>
              </w:rPr>
            </w:pPr>
            <w:proofErr w:type="spellStart"/>
            <w:r w:rsidRPr="00674790">
              <w:rPr>
                <w:rFonts w:ascii="Times New Roman" w:hAnsi="Times New Roman" w:cs="Times New Roman"/>
                <w:sz w:val="24"/>
                <w:szCs w:val="24"/>
              </w:rPr>
              <w:t>ber</w:t>
            </w:r>
            <w:proofErr w:type="spellEnd"/>
          </w:p>
        </w:tc>
        <w:tc>
          <w:tcPr>
            <w:tcW w:w="467" w:type="pct"/>
            <w:shd w:val="clear" w:color="auto" w:fill="DEEAF6" w:themeFill="accent5" w:themeFillTint="33"/>
          </w:tcPr>
          <w:p w14:paraId="1211B77B"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Novem</w:t>
            </w:r>
          </w:p>
          <w:p w14:paraId="4CB8B429" w14:textId="77777777" w:rsidR="00B20FAE" w:rsidRPr="00674790" w:rsidRDefault="00B20FAE" w:rsidP="00674790">
            <w:pPr>
              <w:spacing w:after="0" w:line="480" w:lineRule="auto"/>
              <w:jc w:val="both"/>
              <w:rPr>
                <w:rFonts w:ascii="Times New Roman" w:hAnsi="Times New Roman" w:cs="Times New Roman"/>
                <w:sz w:val="24"/>
                <w:szCs w:val="24"/>
              </w:rPr>
            </w:pPr>
            <w:proofErr w:type="spellStart"/>
            <w:r w:rsidRPr="00674790">
              <w:rPr>
                <w:rFonts w:ascii="Times New Roman" w:hAnsi="Times New Roman" w:cs="Times New Roman"/>
                <w:sz w:val="24"/>
                <w:szCs w:val="24"/>
              </w:rPr>
              <w:t>ber</w:t>
            </w:r>
            <w:proofErr w:type="spellEnd"/>
          </w:p>
        </w:tc>
      </w:tr>
      <w:tr w:rsidR="00B20FAE" w:rsidRPr="00674790" w14:paraId="287C3929" w14:textId="77777777" w:rsidTr="00B20FAE">
        <w:tc>
          <w:tcPr>
            <w:tcW w:w="1348" w:type="pct"/>
            <w:shd w:val="clear" w:color="auto" w:fill="EDEDED" w:themeFill="accent3" w:themeFillTint="33"/>
          </w:tcPr>
          <w:p w14:paraId="2BD73380"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Protocol development, instrument development, Manpower recruitment</w:t>
            </w:r>
          </w:p>
        </w:tc>
        <w:tc>
          <w:tcPr>
            <w:tcW w:w="428" w:type="pct"/>
            <w:shd w:val="clear" w:color="auto" w:fill="00B0F0"/>
          </w:tcPr>
          <w:p w14:paraId="79DF83A6" w14:textId="77777777" w:rsidR="00B20FAE" w:rsidRPr="00674790" w:rsidRDefault="00B20FAE" w:rsidP="00674790">
            <w:pPr>
              <w:spacing w:after="0" w:line="480" w:lineRule="auto"/>
              <w:jc w:val="both"/>
              <w:rPr>
                <w:rFonts w:ascii="Times New Roman" w:hAnsi="Times New Roman" w:cs="Times New Roman"/>
                <w:color w:val="00B0F0"/>
                <w:sz w:val="24"/>
                <w:szCs w:val="24"/>
              </w:rPr>
            </w:pPr>
          </w:p>
          <w:p w14:paraId="0ECA6275" w14:textId="77777777" w:rsidR="00B20FAE" w:rsidRPr="00674790" w:rsidRDefault="00B20FAE" w:rsidP="00674790">
            <w:pPr>
              <w:spacing w:after="0" w:line="480" w:lineRule="auto"/>
              <w:jc w:val="both"/>
              <w:rPr>
                <w:rFonts w:ascii="Times New Roman" w:hAnsi="Times New Roman" w:cs="Times New Roman"/>
                <w:color w:val="00B0F0"/>
                <w:sz w:val="24"/>
                <w:szCs w:val="24"/>
              </w:rPr>
            </w:pPr>
          </w:p>
        </w:tc>
        <w:tc>
          <w:tcPr>
            <w:tcW w:w="368" w:type="pct"/>
            <w:shd w:val="clear" w:color="auto" w:fill="00B0F0"/>
          </w:tcPr>
          <w:p w14:paraId="052FCC65" w14:textId="77777777" w:rsidR="00B20FAE" w:rsidRPr="00674790" w:rsidRDefault="00B20FAE" w:rsidP="00674790">
            <w:pPr>
              <w:spacing w:after="0" w:line="480" w:lineRule="auto"/>
              <w:jc w:val="both"/>
              <w:rPr>
                <w:rFonts w:ascii="Times New Roman" w:hAnsi="Times New Roman" w:cs="Times New Roman"/>
                <w:color w:val="00B0F0"/>
                <w:sz w:val="24"/>
                <w:szCs w:val="24"/>
              </w:rPr>
            </w:pPr>
          </w:p>
        </w:tc>
        <w:tc>
          <w:tcPr>
            <w:tcW w:w="337" w:type="pct"/>
            <w:shd w:val="clear" w:color="auto" w:fill="F2F2F2" w:themeFill="background1" w:themeFillShade="F2"/>
          </w:tcPr>
          <w:p w14:paraId="15C0E069" w14:textId="77777777" w:rsidR="00B20FAE" w:rsidRPr="00674790" w:rsidRDefault="00B20FAE" w:rsidP="00674790">
            <w:pPr>
              <w:spacing w:after="0" w:line="480" w:lineRule="auto"/>
              <w:jc w:val="both"/>
              <w:rPr>
                <w:rFonts w:ascii="Times New Roman" w:hAnsi="Times New Roman" w:cs="Times New Roman"/>
                <w:color w:val="1F497D"/>
                <w:sz w:val="24"/>
                <w:szCs w:val="24"/>
              </w:rPr>
            </w:pPr>
          </w:p>
        </w:tc>
        <w:tc>
          <w:tcPr>
            <w:tcW w:w="339" w:type="pct"/>
            <w:shd w:val="clear" w:color="auto" w:fill="F2F2F2" w:themeFill="background1" w:themeFillShade="F2"/>
          </w:tcPr>
          <w:p w14:paraId="236DEBF2"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15" w:type="pct"/>
            <w:shd w:val="clear" w:color="auto" w:fill="F2F2F2" w:themeFill="background1" w:themeFillShade="F2"/>
          </w:tcPr>
          <w:p w14:paraId="4B01678C"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1" w:type="pct"/>
            <w:shd w:val="clear" w:color="auto" w:fill="F2F2F2" w:themeFill="background1" w:themeFillShade="F2"/>
          </w:tcPr>
          <w:p w14:paraId="0FEE4E63" w14:textId="77777777" w:rsidR="00B20FAE" w:rsidRPr="00674790" w:rsidRDefault="00B20FAE" w:rsidP="00674790">
            <w:pPr>
              <w:spacing w:after="0" w:line="480" w:lineRule="auto"/>
              <w:jc w:val="both"/>
              <w:rPr>
                <w:rFonts w:ascii="Times New Roman" w:hAnsi="Times New Roman" w:cs="Times New Roman"/>
                <w:color w:val="4F81BD"/>
                <w:sz w:val="24"/>
                <w:szCs w:val="24"/>
              </w:rPr>
            </w:pPr>
          </w:p>
        </w:tc>
        <w:tc>
          <w:tcPr>
            <w:tcW w:w="558" w:type="pct"/>
            <w:shd w:val="clear" w:color="auto" w:fill="F2F2F2" w:themeFill="background1" w:themeFillShade="F2"/>
          </w:tcPr>
          <w:p w14:paraId="4441EE5A"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78" w:type="pct"/>
            <w:shd w:val="clear" w:color="auto" w:fill="F2F2F2" w:themeFill="background1" w:themeFillShade="F2"/>
          </w:tcPr>
          <w:p w14:paraId="3061C9FD"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7" w:type="pct"/>
            <w:shd w:val="clear" w:color="auto" w:fill="F2F2F2" w:themeFill="background1" w:themeFillShade="F2"/>
          </w:tcPr>
          <w:p w14:paraId="328EB9D7" w14:textId="77777777" w:rsidR="00B20FAE" w:rsidRPr="00674790" w:rsidRDefault="00B20FAE" w:rsidP="00674790">
            <w:pPr>
              <w:spacing w:after="0" w:line="480" w:lineRule="auto"/>
              <w:jc w:val="both"/>
              <w:rPr>
                <w:rFonts w:ascii="Times New Roman" w:hAnsi="Times New Roman" w:cs="Times New Roman"/>
                <w:sz w:val="24"/>
                <w:szCs w:val="24"/>
              </w:rPr>
            </w:pPr>
          </w:p>
        </w:tc>
      </w:tr>
      <w:tr w:rsidR="00B20FAE" w:rsidRPr="00674790" w14:paraId="6015FDC3" w14:textId="77777777" w:rsidTr="00B20FAE">
        <w:tc>
          <w:tcPr>
            <w:tcW w:w="1348" w:type="pct"/>
            <w:shd w:val="clear" w:color="auto" w:fill="EDEDED" w:themeFill="accent3" w:themeFillTint="33"/>
          </w:tcPr>
          <w:p w14:paraId="40A99B62"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Field manual development</w:t>
            </w:r>
          </w:p>
        </w:tc>
        <w:tc>
          <w:tcPr>
            <w:tcW w:w="428" w:type="pct"/>
            <w:shd w:val="clear" w:color="auto" w:fill="F2F2F2" w:themeFill="background1" w:themeFillShade="F2"/>
          </w:tcPr>
          <w:p w14:paraId="45BACF00"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68" w:type="pct"/>
            <w:shd w:val="clear" w:color="auto" w:fill="00B0F0"/>
          </w:tcPr>
          <w:p w14:paraId="2AA40905"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7" w:type="pct"/>
            <w:shd w:val="clear" w:color="auto" w:fill="F2F2F2" w:themeFill="background1" w:themeFillShade="F2"/>
          </w:tcPr>
          <w:p w14:paraId="71FACC5F"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9" w:type="pct"/>
            <w:shd w:val="clear" w:color="auto" w:fill="F2F2F2" w:themeFill="background1" w:themeFillShade="F2"/>
          </w:tcPr>
          <w:p w14:paraId="3D7F4442"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15" w:type="pct"/>
            <w:shd w:val="clear" w:color="auto" w:fill="F2F2F2" w:themeFill="background1" w:themeFillShade="F2"/>
          </w:tcPr>
          <w:p w14:paraId="566A799B"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1" w:type="pct"/>
            <w:shd w:val="clear" w:color="auto" w:fill="F2F2F2" w:themeFill="background1" w:themeFillShade="F2"/>
          </w:tcPr>
          <w:p w14:paraId="4DC82326"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558" w:type="pct"/>
            <w:shd w:val="clear" w:color="auto" w:fill="F2F2F2" w:themeFill="background1" w:themeFillShade="F2"/>
          </w:tcPr>
          <w:p w14:paraId="11F93B9B"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78" w:type="pct"/>
            <w:shd w:val="clear" w:color="auto" w:fill="F2F2F2" w:themeFill="background1" w:themeFillShade="F2"/>
          </w:tcPr>
          <w:p w14:paraId="217051C6"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7" w:type="pct"/>
            <w:shd w:val="clear" w:color="auto" w:fill="F2F2F2" w:themeFill="background1" w:themeFillShade="F2"/>
          </w:tcPr>
          <w:p w14:paraId="6CFDCFB3" w14:textId="77777777" w:rsidR="00B20FAE" w:rsidRPr="00674790" w:rsidRDefault="00B20FAE" w:rsidP="00674790">
            <w:pPr>
              <w:spacing w:after="0" w:line="480" w:lineRule="auto"/>
              <w:jc w:val="both"/>
              <w:rPr>
                <w:rFonts w:ascii="Times New Roman" w:hAnsi="Times New Roman" w:cs="Times New Roman"/>
                <w:sz w:val="24"/>
                <w:szCs w:val="24"/>
              </w:rPr>
            </w:pPr>
          </w:p>
        </w:tc>
      </w:tr>
      <w:tr w:rsidR="00B20FAE" w:rsidRPr="00674790" w14:paraId="55394C07" w14:textId="77777777" w:rsidTr="00B20FAE">
        <w:tc>
          <w:tcPr>
            <w:tcW w:w="1348" w:type="pct"/>
            <w:shd w:val="clear" w:color="auto" w:fill="EDEDED" w:themeFill="accent3" w:themeFillTint="33"/>
          </w:tcPr>
          <w:p w14:paraId="46B505DE"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Training, pre-testing, </w:t>
            </w:r>
          </w:p>
          <w:p w14:paraId="29AF024C"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debriefing and finalization </w:t>
            </w:r>
          </w:p>
          <w:p w14:paraId="39F7DF9F"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of research instrument</w:t>
            </w:r>
          </w:p>
        </w:tc>
        <w:tc>
          <w:tcPr>
            <w:tcW w:w="428" w:type="pct"/>
            <w:shd w:val="clear" w:color="auto" w:fill="F2F2F2" w:themeFill="background1" w:themeFillShade="F2"/>
          </w:tcPr>
          <w:p w14:paraId="754AB192"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68" w:type="pct"/>
            <w:shd w:val="clear" w:color="auto" w:fill="00B0F0"/>
          </w:tcPr>
          <w:p w14:paraId="4D8B33EF"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7" w:type="pct"/>
            <w:shd w:val="clear" w:color="auto" w:fill="00B0F0"/>
          </w:tcPr>
          <w:p w14:paraId="70544870"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9" w:type="pct"/>
            <w:shd w:val="clear" w:color="auto" w:fill="F2F2F2" w:themeFill="background1" w:themeFillShade="F2"/>
          </w:tcPr>
          <w:p w14:paraId="6C6BF11D"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15" w:type="pct"/>
            <w:shd w:val="clear" w:color="auto" w:fill="F2F2F2" w:themeFill="background1" w:themeFillShade="F2"/>
          </w:tcPr>
          <w:p w14:paraId="040DCC44"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1" w:type="pct"/>
            <w:shd w:val="clear" w:color="auto" w:fill="F2F2F2" w:themeFill="background1" w:themeFillShade="F2"/>
          </w:tcPr>
          <w:p w14:paraId="20620161"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558" w:type="pct"/>
            <w:shd w:val="clear" w:color="auto" w:fill="F2F2F2" w:themeFill="background1" w:themeFillShade="F2"/>
          </w:tcPr>
          <w:p w14:paraId="6ADBB450"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78" w:type="pct"/>
            <w:shd w:val="clear" w:color="auto" w:fill="F2F2F2" w:themeFill="background1" w:themeFillShade="F2"/>
          </w:tcPr>
          <w:p w14:paraId="09A1453F"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7" w:type="pct"/>
            <w:shd w:val="clear" w:color="auto" w:fill="F2F2F2" w:themeFill="background1" w:themeFillShade="F2"/>
          </w:tcPr>
          <w:p w14:paraId="0AEA2FD2" w14:textId="77777777" w:rsidR="00B20FAE" w:rsidRPr="00674790" w:rsidRDefault="00B20FAE" w:rsidP="00674790">
            <w:pPr>
              <w:spacing w:after="0" w:line="480" w:lineRule="auto"/>
              <w:jc w:val="both"/>
              <w:rPr>
                <w:rFonts w:ascii="Times New Roman" w:hAnsi="Times New Roman" w:cs="Times New Roman"/>
                <w:sz w:val="24"/>
                <w:szCs w:val="24"/>
              </w:rPr>
            </w:pPr>
          </w:p>
        </w:tc>
      </w:tr>
      <w:tr w:rsidR="00B20FAE" w:rsidRPr="00674790" w14:paraId="365CEDBE" w14:textId="77777777" w:rsidTr="00B20FAE">
        <w:tc>
          <w:tcPr>
            <w:tcW w:w="1348" w:type="pct"/>
            <w:shd w:val="clear" w:color="auto" w:fill="EDEDED" w:themeFill="accent3" w:themeFillTint="33"/>
          </w:tcPr>
          <w:p w14:paraId="12267FFD"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lastRenderedPageBreak/>
              <w:t>Data collection</w:t>
            </w:r>
          </w:p>
        </w:tc>
        <w:tc>
          <w:tcPr>
            <w:tcW w:w="428" w:type="pct"/>
            <w:shd w:val="clear" w:color="auto" w:fill="F2F2F2" w:themeFill="background1" w:themeFillShade="F2"/>
          </w:tcPr>
          <w:p w14:paraId="6A08BF69"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68" w:type="pct"/>
            <w:shd w:val="clear" w:color="auto" w:fill="F2F2F2" w:themeFill="background1" w:themeFillShade="F2"/>
          </w:tcPr>
          <w:p w14:paraId="6CA40951"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7" w:type="pct"/>
            <w:shd w:val="clear" w:color="auto" w:fill="F2F2F2" w:themeFill="background1" w:themeFillShade="F2"/>
          </w:tcPr>
          <w:p w14:paraId="6C065106"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9" w:type="pct"/>
            <w:shd w:val="clear" w:color="auto" w:fill="00B0F0"/>
          </w:tcPr>
          <w:p w14:paraId="495F42E6"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15" w:type="pct"/>
            <w:shd w:val="clear" w:color="auto" w:fill="00B0F0"/>
          </w:tcPr>
          <w:p w14:paraId="669644CC"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1" w:type="pct"/>
            <w:shd w:val="clear" w:color="auto" w:fill="F2F2F2" w:themeFill="background1" w:themeFillShade="F2"/>
          </w:tcPr>
          <w:p w14:paraId="2DDA3EBF"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558" w:type="pct"/>
            <w:shd w:val="clear" w:color="auto" w:fill="F2F2F2" w:themeFill="background1" w:themeFillShade="F2"/>
          </w:tcPr>
          <w:p w14:paraId="28A5E9CC"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78" w:type="pct"/>
            <w:shd w:val="clear" w:color="auto" w:fill="F2F2F2" w:themeFill="background1" w:themeFillShade="F2"/>
          </w:tcPr>
          <w:p w14:paraId="00070ABC"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7" w:type="pct"/>
            <w:shd w:val="clear" w:color="auto" w:fill="F2F2F2" w:themeFill="background1" w:themeFillShade="F2"/>
          </w:tcPr>
          <w:p w14:paraId="293376AF" w14:textId="77777777" w:rsidR="00B20FAE" w:rsidRPr="00674790" w:rsidRDefault="00B20FAE" w:rsidP="00674790">
            <w:pPr>
              <w:spacing w:after="0" w:line="480" w:lineRule="auto"/>
              <w:jc w:val="both"/>
              <w:rPr>
                <w:rFonts w:ascii="Times New Roman" w:hAnsi="Times New Roman" w:cs="Times New Roman"/>
                <w:sz w:val="24"/>
                <w:szCs w:val="24"/>
              </w:rPr>
            </w:pPr>
          </w:p>
        </w:tc>
      </w:tr>
      <w:tr w:rsidR="00B20FAE" w:rsidRPr="00674790" w14:paraId="218A77B5" w14:textId="77777777" w:rsidTr="00B20FAE">
        <w:tc>
          <w:tcPr>
            <w:tcW w:w="1348" w:type="pct"/>
            <w:shd w:val="clear" w:color="auto" w:fill="EDEDED" w:themeFill="accent3" w:themeFillTint="33"/>
          </w:tcPr>
          <w:p w14:paraId="26197528"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Data process cleaning and preparation of entry</w:t>
            </w:r>
          </w:p>
        </w:tc>
        <w:tc>
          <w:tcPr>
            <w:tcW w:w="428" w:type="pct"/>
            <w:shd w:val="clear" w:color="auto" w:fill="F2F2F2" w:themeFill="background1" w:themeFillShade="F2"/>
          </w:tcPr>
          <w:p w14:paraId="39B03EEC"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68" w:type="pct"/>
            <w:shd w:val="clear" w:color="auto" w:fill="F2F2F2" w:themeFill="background1" w:themeFillShade="F2"/>
          </w:tcPr>
          <w:p w14:paraId="396AB0D6"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7" w:type="pct"/>
            <w:shd w:val="clear" w:color="auto" w:fill="F2F2F2" w:themeFill="background1" w:themeFillShade="F2"/>
          </w:tcPr>
          <w:p w14:paraId="4D0ED80F"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9" w:type="pct"/>
            <w:shd w:val="clear" w:color="auto" w:fill="F2F2F2" w:themeFill="background1" w:themeFillShade="F2"/>
          </w:tcPr>
          <w:p w14:paraId="4D839AE1"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15" w:type="pct"/>
            <w:shd w:val="clear" w:color="auto" w:fill="00B0F0"/>
          </w:tcPr>
          <w:p w14:paraId="4CD98500"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1" w:type="pct"/>
            <w:shd w:val="clear" w:color="auto" w:fill="F2F2F2" w:themeFill="background1" w:themeFillShade="F2"/>
          </w:tcPr>
          <w:p w14:paraId="4FD033FB"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558" w:type="pct"/>
            <w:shd w:val="clear" w:color="auto" w:fill="F2F2F2" w:themeFill="background1" w:themeFillShade="F2"/>
          </w:tcPr>
          <w:p w14:paraId="0166FC01"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78" w:type="pct"/>
            <w:shd w:val="clear" w:color="auto" w:fill="F2F2F2" w:themeFill="background1" w:themeFillShade="F2"/>
          </w:tcPr>
          <w:p w14:paraId="66DE6157"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7" w:type="pct"/>
            <w:shd w:val="clear" w:color="auto" w:fill="F2F2F2" w:themeFill="background1" w:themeFillShade="F2"/>
          </w:tcPr>
          <w:p w14:paraId="7C494289" w14:textId="77777777" w:rsidR="00B20FAE" w:rsidRPr="00674790" w:rsidRDefault="00B20FAE" w:rsidP="00674790">
            <w:pPr>
              <w:spacing w:after="0" w:line="480" w:lineRule="auto"/>
              <w:jc w:val="both"/>
              <w:rPr>
                <w:rFonts w:ascii="Times New Roman" w:hAnsi="Times New Roman" w:cs="Times New Roman"/>
                <w:sz w:val="24"/>
                <w:szCs w:val="24"/>
              </w:rPr>
            </w:pPr>
          </w:p>
        </w:tc>
      </w:tr>
      <w:tr w:rsidR="00B20FAE" w:rsidRPr="00674790" w14:paraId="64F6C828" w14:textId="77777777" w:rsidTr="00B20FAE">
        <w:tc>
          <w:tcPr>
            <w:tcW w:w="1348" w:type="pct"/>
            <w:shd w:val="clear" w:color="auto" w:fill="EDEDED" w:themeFill="accent3" w:themeFillTint="33"/>
          </w:tcPr>
          <w:p w14:paraId="581F30FF"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Data entry</w:t>
            </w:r>
          </w:p>
        </w:tc>
        <w:tc>
          <w:tcPr>
            <w:tcW w:w="428" w:type="pct"/>
            <w:shd w:val="clear" w:color="auto" w:fill="F2F2F2" w:themeFill="background1" w:themeFillShade="F2"/>
          </w:tcPr>
          <w:p w14:paraId="3FA78319"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68" w:type="pct"/>
            <w:shd w:val="clear" w:color="auto" w:fill="F2F2F2" w:themeFill="background1" w:themeFillShade="F2"/>
          </w:tcPr>
          <w:p w14:paraId="185D3578"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7" w:type="pct"/>
            <w:shd w:val="clear" w:color="auto" w:fill="F2F2F2" w:themeFill="background1" w:themeFillShade="F2"/>
          </w:tcPr>
          <w:p w14:paraId="4AD8F8D6"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9" w:type="pct"/>
            <w:shd w:val="clear" w:color="auto" w:fill="F2F2F2" w:themeFill="background1" w:themeFillShade="F2"/>
          </w:tcPr>
          <w:p w14:paraId="00CF0515"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15" w:type="pct"/>
            <w:shd w:val="clear" w:color="auto" w:fill="00B0F0"/>
          </w:tcPr>
          <w:p w14:paraId="2102BA37"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1" w:type="pct"/>
            <w:shd w:val="clear" w:color="auto" w:fill="00B0F0"/>
          </w:tcPr>
          <w:p w14:paraId="00AEA3AE"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558" w:type="pct"/>
            <w:shd w:val="clear" w:color="auto" w:fill="F2F2F2" w:themeFill="background1" w:themeFillShade="F2"/>
          </w:tcPr>
          <w:p w14:paraId="46CA0511"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78" w:type="pct"/>
            <w:shd w:val="clear" w:color="auto" w:fill="F2F2F2" w:themeFill="background1" w:themeFillShade="F2"/>
          </w:tcPr>
          <w:p w14:paraId="4F313DDF"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7" w:type="pct"/>
            <w:shd w:val="clear" w:color="auto" w:fill="F2F2F2" w:themeFill="background1" w:themeFillShade="F2"/>
          </w:tcPr>
          <w:p w14:paraId="2F1F75CB" w14:textId="77777777" w:rsidR="00B20FAE" w:rsidRPr="00674790" w:rsidRDefault="00B20FAE" w:rsidP="00674790">
            <w:pPr>
              <w:spacing w:after="0" w:line="480" w:lineRule="auto"/>
              <w:jc w:val="both"/>
              <w:rPr>
                <w:rFonts w:ascii="Times New Roman" w:hAnsi="Times New Roman" w:cs="Times New Roman"/>
                <w:sz w:val="24"/>
                <w:szCs w:val="24"/>
              </w:rPr>
            </w:pPr>
          </w:p>
        </w:tc>
      </w:tr>
      <w:tr w:rsidR="00B20FAE" w:rsidRPr="00674790" w14:paraId="3D01E19E" w14:textId="77777777" w:rsidTr="00B20FAE">
        <w:tc>
          <w:tcPr>
            <w:tcW w:w="1348" w:type="pct"/>
            <w:shd w:val="clear" w:color="auto" w:fill="EDEDED" w:themeFill="accent3" w:themeFillTint="33"/>
          </w:tcPr>
          <w:p w14:paraId="6A699772"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Data analysis</w:t>
            </w:r>
          </w:p>
        </w:tc>
        <w:tc>
          <w:tcPr>
            <w:tcW w:w="428" w:type="pct"/>
            <w:shd w:val="clear" w:color="auto" w:fill="F2F2F2" w:themeFill="background1" w:themeFillShade="F2"/>
          </w:tcPr>
          <w:p w14:paraId="6FE3E659"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68" w:type="pct"/>
            <w:shd w:val="clear" w:color="auto" w:fill="F2F2F2" w:themeFill="background1" w:themeFillShade="F2"/>
          </w:tcPr>
          <w:p w14:paraId="1508E0CA"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7" w:type="pct"/>
            <w:shd w:val="clear" w:color="auto" w:fill="F2F2F2" w:themeFill="background1" w:themeFillShade="F2"/>
          </w:tcPr>
          <w:p w14:paraId="10A473FC"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9" w:type="pct"/>
            <w:shd w:val="clear" w:color="auto" w:fill="F2F2F2" w:themeFill="background1" w:themeFillShade="F2"/>
          </w:tcPr>
          <w:p w14:paraId="100252C8"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15" w:type="pct"/>
            <w:shd w:val="clear" w:color="auto" w:fill="F2F2F2" w:themeFill="background1" w:themeFillShade="F2"/>
          </w:tcPr>
          <w:p w14:paraId="442E7A07"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1" w:type="pct"/>
            <w:shd w:val="clear" w:color="auto" w:fill="F2F2F2" w:themeFill="background1" w:themeFillShade="F2"/>
          </w:tcPr>
          <w:p w14:paraId="460C414C"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558" w:type="pct"/>
            <w:shd w:val="clear" w:color="auto" w:fill="00B0F0"/>
          </w:tcPr>
          <w:p w14:paraId="5F31E9E2"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78" w:type="pct"/>
            <w:shd w:val="clear" w:color="auto" w:fill="00B0F0"/>
          </w:tcPr>
          <w:p w14:paraId="18E664D0"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7" w:type="pct"/>
            <w:shd w:val="clear" w:color="auto" w:fill="F2F2F2" w:themeFill="background1" w:themeFillShade="F2"/>
          </w:tcPr>
          <w:p w14:paraId="59B62DA4" w14:textId="77777777" w:rsidR="00B20FAE" w:rsidRPr="00674790" w:rsidRDefault="00B20FAE" w:rsidP="00674790">
            <w:pPr>
              <w:spacing w:after="0" w:line="480" w:lineRule="auto"/>
              <w:jc w:val="both"/>
              <w:rPr>
                <w:rFonts w:ascii="Times New Roman" w:hAnsi="Times New Roman" w:cs="Times New Roman"/>
                <w:sz w:val="24"/>
                <w:szCs w:val="24"/>
              </w:rPr>
            </w:pPr>
          </w:p>
        </w:tc>
      </w:tr>
      <w:tr w:rsidR="00B20FAE" w:rsidRPr="00674790" w14:paraId="1FEF2030" w14:textId="77777777" w:rsidTr="00B20FAE">
        <w:tc>
          <w:tcPr>
            <w:tcW w:w="1348" w:type="pct"/>
            <w:shd w:val="clear" w:color="auto" w:fill="EDEDED" w:themeFill="accent3" w:themeFillTint="33"/>
          </w:tcPr>
          <w:p w14:paraId="0C39399A"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Report writing</w:t>
            </w:r>
          </w:p>
        </w:tc>
        <w:tc>
          <w:tcPr>
            <w:tcW w:w="428" w:type="pct"/>
            <w:shd w:val="clear" w:color="auto" w:fill="F2F2F2" w:themeFill="background1" w:themeFillShade="F2"/>
          </w:tcPr>
          <w:p w14:paraId="0A637C33"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68" w:type="pct"/>
            <w:shd w:val="clear" w:color="auto" w:fill="F2F2F2" w:themeFill="background1" w:themeFillShade="F2"/>
          </w:tcPr>
          <w:p w14:paraId="25A06D4C"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7" w:type="pct"/>
            <w:shd w:val="clear" w:color="auto" w:fill="F2F2F2" w:themeFill="background1" w:themeFillShade="F2"/>
          </w:tcPr>
          <w:p w14:paraId="168DBC00"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9" w:type="pct"/>
            <w:shd w:val="clear" w:color="auto" w:fill="F2F2F2" w:themeFill="background1" w:themeFillShade="F2"/>
          </w:tcPr>
          <w:p w14:paraId="5672191A"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15" w:type="pct"/>
            <w:shd w:val="clear" w:color="auto" w:fill="F2F2F2" w:themeFill="background1" w:themeFillShade="F2"/>
          </w:tcPr>
          <w:p w14:paraId="7239D0C3"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1" w:type="pct"/>
            <w:shd w:val="clear" w:color="auto" w:fill="F2F2F2" w:themeFill="background1" w:themeFillShade="F2"/>
          </w:tcPr>
          <w:p w14:paraId="2F0AAC45"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558" w:type="pct"/>
            <w:shd w:val="clear" w:color="auto" w:fill="F2F2F2" w:themeFill="background1" w:themeFillShade="F2"/>
          </w:tcPr>
          <w:p w14:paraId="477FAE67"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78" w:type="pct"/>
            <w:shd w:val="clear" w:color="auto" w:fill="00B0F0"/>
          </w:tcPr>
          <w:p w14:paraId="08528F5F"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7" w:type="pct"/>
            <w:shd w:val="clear" w:color="auto" w:fill="00B0F0"/>
          </w:tcPr>
          <w:p w14:paraId="6252DCD7" w14:textId="77777777" w:rsidR="00B20FAE" w:rsidRPr="00674790" w:rsidRDefault="00B20FAE" w:rsidP="00674790">
            <w:pPr>
              <w:spacing w:after="0" w:line="480" w:lineRule="auto"/>
              <w:jc w:val="both"/>
              <w:rPr>
                <w:rFonts w:ascii="Times New Roman" w:hAnsi="Times New Roman" w:cs="Times New Roman"/>
                <w:sz w:val="24"/>
                <w:szCs w:val="24"/>
              </w:rPr>
            </w:pPr>
          </w:p>
        </w:tc>
      </w:tr>
      <w:tr w:rsidR="00B20FAE" w:rsidRPr="00674790" w14:paraId="31C359AF" w14:textId="77777777" w:rsidTr="00B20FAE">
        <w:tc>
          <w:tcPr>
            <w:tcW w:w="1348" w:type="pct"/>
            <w:shd w:val="clear" w:color="auto" w:fill="EDEDED" w:themeFill="accent3" w:themeFillTint="33"/>
          </w:tcPr>
          <w:p w14:paraId="33B2A37C"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Draft, dissemination, </w:t>
            </w:r>
          </w:p>
          <w:p w14:paraId="6736A1EA"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workshop, feedback, </w:t>
            </w:r>
          </w:p>
          <w:p w14:paraId="35EE6DFE"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finalization, printing, </w:t>
            </w:r>
          </w:p>
          <w:p w14:paraId="16FE76E7"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binding, submission</w:t>
            </w:r>
          </w:p>
        </w:tc>
        <w:tc>
          <w:tcPr>
            <w:tcW w:w="428" w:type="pct"/>
            <w:shd w:val="clear" w:color="auto" w:fill="F2F2F2" w:themeFill="background1" w:themeFillShade="F2"/>
          </w:tcPr>
          <w:p w14:paraId="3B24364A"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68" w:type="pct"/>
            <w:shd w:val="clear" w:color="auto" w:fill="F2F2F2" w:themeFill="background1" w:themeFillShade="F2"/>
          </w:tcPr>
          <w:p w14:paraId="77437B76"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7" w:type="pct"/>
            <w:shd w:val="clear" w:color="auto" w:fill="F2F2F2" w:themeFill="background1" w:themeFillShade="F2"/>
          </w:tcPr>
          <w:p w14:paraId="72E4621D"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39" w:type="pct"/>
            <w:shd w:val="clear" w:color="auto" w:fill="F2F2F2" w:themeFill="background1" w:themeFillShade="F2"/>
          </w:tcPr>
          <w:p w14:paraId="3E94E34D"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15" w:type="pct"/>
            <w:shd w:val="clear" w:color="auto" w:fill="F2F2F2" w:themeFill="background1" w:themeFillShade="F2"/>
          </w:tcPr>
          <w:p w14:paraId="70E0E90C"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1" w:type="pct"/>
            <w:shd w:val="clear" w:color="auto" w:fill="F2F2F2" w:themeFill="background1" w:themeFillShade="F2"/>
          </w:tcPr>
          <w:p w14:paraId="7F5956A9"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558" w:type="pct"/>
            <w:shd w:val="clear" w:color="auto" w:fill="F2F2F2" w:themeFill="background1" w:themeFillShade="F2"/>
          </w:tcPr>
          <w:p w14:paraId="215E816A"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378" w:type="pct"/>
            <w:shd w:val="clear" w:color="auto" w:fill="F2F2F2" w:themeFill="background1" w:themeFillShade="F2"/>
          </w:tcPr>
          <w:p w14:paraId="41978843" w14:textId="77777777" w:rsidR="00B20FAE" w:rsidRPr="00674790" w:rsidRDefault="00B20FAE" w:rsidP="00674790">
            <w:pPr>
              <w:spacing w:after="0" w:line="480" w:lineRule="auto"/>
              <w:jc w:val="both"/>
              <w:rPr>
                <w:rFonts w:ascii="Times New Roman" w:hAnsi="Times New Roman" w:cs="Times New Roman"/>
                <w:sz w:val="24"/>
                <w:szCs w:val="24"/>
              </w:rPr>
            </w:pPr>
          </w:p>
        </w:tc>
        <w:tc>
          <w:tcPr>
            <w:tcW w:w="467" w:type="pct"/>
            <w:shd w:val="clear" w:color="auto" w:fill="00B0F0"/>
          </w:tcPr>
          <w:p w14:paraId="6D535A7D" w14:textId="77777777" w:rsidR="00B20FAE" w:rsidRPr="00674790" w:rsidRDefault="00B20FAE" w:rsidP="00674790">
            <w:pPr>
              <w:spacing w:after="0" w:line="480" w:lineRule="auto"/>
              <w:jc w:val="both"/>
              <w:rPr>
                <w:rFonts w:ascii="Times New Roman" w:hAnsi="Times New Roman" w:cs="Times New Roman"/>
                <w:sz w:val="24"/>
                <w:szCs w:val="24"/>
              </w:rPr>
            </w:pPr>
          </w:p>
        </w:tc>
      </w:tr>
      <w:bookmarkEnd w:id="8"/>
    </w:tbl>
    <w:p w14:paraId="2E54542F" w14:textId="77777777" w:rsidR="00B20FAE" w:rsidRPr="00674790" w:rsidRDefault="00B20FAE" w:rsidP="00674790">
      <w:pPr>
        <w:spacing w:after="0" w:line="480" w:lineRule="auto"/>
        <w:jc w:val="both"/>
        <w:rPr>
          <w:rFonts w:ascii="Times New Roman" w:hAnsi="Times New Roman" w:cs="Times New Roman"/>
          <w:b/>
          <w:sz w:val="24"/>
          <w:szCs w:val="24"/>
        </w:rPr>
      </w:pPr>
    </w:p>
    <w:p w14:paraId="742E5F18" w14:textId="77777777" w:rsidR="0017625A" w:rsidRPr="00674790" w:rsidRDefault="0017625A" w:rsidP="00674790">
      <w:pPr>
        <w:spacing w:after="0" w:line="480" w:lineRule="auto"/>
        <w:jc w:val="both"/>
        <w:rPr>
          <w:rFonts w:ascii="Times New Roman" w:hAnsi="Times New Roman" w:cs="Times New Roman"/>
          <w:sz w:val="24"/>
          <w:szCs w:val="24"/>
        </w:rPr>
      </w:pPr>
    </w:p>
    <w:p w14:paraId="32031B9F" w14:textId="77777777" w:rsidR="0017625A" w:rsidRPr="00674790" w:rsidRDefault="0017625A" w:rsidP="00674790">
      <w:pPr>
        <w:spacing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1</w:t>
      </w:r>
      <w:r w:rsidR="00B20FAE" w:rsidRPr="00674790">
        <w:rPr>
          <w:rFonts w:ascii="Times New Roman" w:hAnsi="Times New Roman" w:cs="Times New Roman"/>
          <w:b/>
          <w:sz w:val="24"/>
          <w:szCs w:val="24"/>
        </w:rPr>
        <w:t>1</w:t>
      </w:r>
      <w:r w:rsidRPr="00674790">
        <w:rPr>
          <w:rFonts w:ascii="Times New Roman" w:hAnsi="Times New Roman" w:cs="Times New Roman"/>
          <w:b/>
          <w:sz w:val="24"/>
          <w:szCs w:val="24"/>
        </w:rPr>
        <w:t>. Budget</w:t>
      </w:r>
    </w:p>
    <w:p w14:paraId="3C477F00" w14:textId="77777777" w:rsidR="00B20FAE" w:rsidRPr="00674790" w:rsidRDefault="00B20FAE" w:rsidP="00674790">
      <w:pPr>
        <w:spacing w:after="0" w:line="480" w:lineRule="auto"/>
        <w:jc w:val="both"/>
        <w:rPr>
          <w:rFonts w:ascii="Times New Roman" w:hAnsi="Times New Roman" w:cs="Times New Roman"/>
          <w:b/>
          <w:bCs/>
          <w:color w:val="F79646"/>
          <w:sz w:val="24"/>
          <w:szCs w:val="24"/>
        </w:rPr>
      </w:pPr>
      <w:r w:rsidRPr="00674790">
        <w:rPr>
          <w:rFonts w:ascii="Times New Roman" w:hAnsi="Times New Roman" w:cs="Times New Roman"/>
          <w:b/>
          <w:sz w:val="24"/>
          <w:szCs w:val="24"/>
        </w:rPr>
        <w:t>Bangladesh Center for Communication Programs (BCCP)</w:t>
      </w:r>
    </w:p>
    <w:p w14:paraId="1DDFED7B" w14:textId="77777777" w:rsidR="00B20FAE" w:rsidRPr="00674790" w:rsidRDefault="00B20FAE" w:rsidP="00674790">
      <w:pPr>
        <w:pStyle w:val="ListParagraph"/>
        <w:spacing w:after="0" w:line="480" w:lineRule="auto"/>
        <w:ind w:left="1080"/>
        <w:jc w:val="both"/>
        <w:rPr>
          <w:rFonts w:ascii="Times New Roman" w:hAnsi="Times New Roman" w:cs="Times New Roman"/>
          <w:b/>
          <w:sz w:val="24"/>
          <w:szCs w:val="24"/>
        </w:rPr>
      </w:pPr>
      <w:r w:rsidRPr="00674790">
        <w:rPr>
          <w:rFonts w:ascii="Times New Roman" w:hAnsi="Times New Roman" w:cs="Times New Roman"/>
          <w:b/>
          <w:sz w:val="24"/>
          <w:szCs w:val="24"/>
        </w:rPr>
        <w:t>Financial estimate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4044"/>
        <w:gridCol w:w="1082"/>
        <w:gridCol w:w="1082"/>
        <w:gridCol w:w="892"/>
        <w:gridCol w:w="1356"/>
      </w:tblGrid>
      <w:tr w:rsidR="00B20FAE" w:rsidRPr="00674790" w14:paraId="1EDC4C37" w14:textId="77777777" w:rsidTr="006F13D3">
        <w:tc>
          <w:tcPr>
            <w:tcW w:w="304" w:type="pct"/>
            <w:shd w:val="clear" w:color="auto" w:fill="auto"/>
          </w:tcPr>
          <w:p w14:paraId="32A6504A"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SL</w:t>
            </w:r>
          </w:p>
          <w:p w14:paraId="31630119"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NO</w:t>
            </w:r>
          </w:p>
        </w:tc>
        <w:tc>
          <w:tcPr>
            <w:tcW w:w="2255" w:type="pct"/>
            <w:shd w:val="clear" w:color="auto" w:fill="auto"/>
          </w:tcPr>
          <w:p w14:paraId="3E2DEA3C"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 xml:space="preserve">Particulars </w:t>
            </w:r>
          </w:p>
        </w:tc>
        <w:tc>
          <w:tcPr>
            <w:tcW w:w="613" w:type="pct"/>
            <w:shd w:val="clear" w:color="auto" w:fill="auto"/>
          </w:tcPr>
          <w:p w14:paraId="027FC496"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Name of </w:t>
            </w:r>
          </w:p>
          <w:p w14:paraId="7AA55839"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Unit</w:t>
            </w:r>
          </w:p>
        </w:tc>
        <w:tc>
          <w:tcPr>
            <w:tcW w:w="613" w:type="pct"/>
            <w:shd w:val="clear" w:color="auto" w:fill="auto"/>
          </w:tcPr>
          <w:p w14:paraId="34368995"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 xml:space="preserve">Unit rate </w:t>
            </w:r>
          </w:p>
        </w:tc>
        <w:tc>
          <w:tcPr>
            <w:tcW w:w="507" w:type="pct"/>
            <w:shd w:val="clear" w:color="auto" w:fill="auto"/>
          </w:tcPr>
          <w:p w14:paraId="2B48E1E3"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No. of </w:t>
            </w:r>
          </w:p>
          <w:p w14:paraId="260E8341"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unit</w:t>
            </w:r>
          </w:p>
        </w:tc>
        <w:tc>
          <w:tcPr>
            <w:tcW w:w="708" w:type="pct"/>
            <w:shd w:val="clear" w:color="auto" w:fill="auto"/>
          </w:tcPr>
          <w:p w14:paraId="15CE1A86"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Total taka</w:t>
            </w:r>
          </w:p>
        </w:tc>
      </w:tr>
      <w:tr w:rsidR="00B20FAE" w:rsidRPr="00674790" w14:paraId="67B91F3F" w14:textId="77777777" w:rsidTr="006F13D3">
        <w:trPr>
          <w:trHeight w:val="150"/>
        </w:trPr>
        <w:tc>
          <w:tcPr>
            <w:tcW w:w="304" w:type="pct"/>
            <w:vMerge w:val="restart"/>
            <w:shd w:val="clear" w:color="auto" w:fill="auto"/>
          </w:tcPr>
          <w:p w14:paraId="0464A30A" w14:textId="77777777" w:rsidR="00B20FAE" w:rsidRPr="00674790" w:rsidRDefault="00B20FAE" w:rsidP="00674790">
            <w:pPr>
              <w:pStyle w:val="ListParagraph"/>
              <w:spacing w:after="0" w:line="480" w:lineRule="auto"/>
              <w:ind w:left="0"/>
              <w:jc w:val="both"/>
              <w:rPr>
                <w:rFonts w:ascii="Times New Roman" w:hAnsi="Times New Roman" w:cs="Times New Roman"/>
                <w:b/>
                <w:sz w:val="24"/>
                <w:szCs w:val="24"/>
              </w:rPr>
            </w:pPr>
            <w:r w:rsidRPr="00674790">
              <w:rPr>
                <w:rFonts w:ascii="Times New Roman" w:hAnsi="Times New Roman" w:cs="Times New Roman"/>
                <w:b/>
                <w:sz w:val="24"/>
                <w:szCs w:val="24"/>
              </w:rPr>
              <w:t>01</w:t>
            </w:r>
          </w:p>
        </w:tc>
        <w:tc>
          <w:tcPr>
            <w:tcW w:w="4696" w:type="pct"/>
            <w:gridSpan w:val="5"/>
            <w:shd w:val="clear" w:color="auto" w:fill="auto"/>
          </w:tcPr>
          <w:p w14:paraId="23CF6DEF" w14:textId="77777777" w:rsidR="00B20FAE" w:rsidRPr="00674790" w:rsidRDefault="00B20FAE" w:rsidP="00674790">
            <w:pPr>
              <w:pStyle w:val="ListParagraph"/>
              <w:spacing w:after="0" w:line="480" w:lineRule="auto"/>
              <w:ind w:left="0"/>
              <w:jc w:val="both"/>
              <w:rPr>
                <w:rFonts w:ascii="Times New Roman" w:hAnsi="Times New Roman" w:cs="Times New Roman"/>
                <w:b/>
                <w:sz w:val="24"/>
                <w:szCs w:val="24"/>
              </w:rPr>
            </w:pPr>
            <w:r w:rsidRPr="00674790">
              <w:rPr>
                <w:rFonts w:ascii="Times New Roman" w:hAnsi="Times New Roman" w:cs="Times New Roman"/>
                <w:b/>
                <w:sz w:val="24"/>
                <w:szCs w:val="24"/>
              </w:rPr>
              <w:t>Personal cost</w:t>
            </w:r>
          </w:p>
        </w:tc>
      </w:tr>
      <w:tr w:rsidR="00B20FAE" w:rsidRPr="00674790" w14:paraId="367BD5E0" w14:textId="77777777" w:rsidTr="006F13D3">
        <w:trPr>
          <w:trHeight w:val="150"/>
        </w:trPr>
        <w:tc>
          <w:tcPr>
            <w:tcW w:w="304" w:type="pct"/>
            <w:vMerge/>
            <w:shd w:val="clear" w:color="auto" w:fill="auto"/>
          </w:tcPr>
          <w:p w14:paraId="43F0A148"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0168287E"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Principal Investigator</w:t>
            </w:r>
          </w:p>
        </w:tc>
        <w:tc>
          <w:tcPr>
            <w:tcW w:w="613" w:type="pct"/>
            <w:shd w:val="clear" w:color="auto" w:fill="auto"/>
          </w:tcPr>
          <w:p w14:paraId="13E61B61"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 xml:space="preserve">Month </w:t>
            </w:r>
          </w:p>
        </w:tc>
        <w:tc>
          <w:tcPr>
            <w:tcW w:w="613" w:type="pct"/>
            <w:shd w:val="clear" w:color="auto" w:fill="auto"/>
          </w:tcPr>
          <w:p w14:paraId="7DB51527"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20000</w:t>
            </w:r>
          </w:p>
        </w:tc>
        <w:tc>
          <w:tcPr>
            <w:tcW w:w="507" w:type="pct"/>
            <w:shd w:val="clear" w:color="auto" w:fill="auto"/>
          </w:tcPr>
          <w:p w14:paraId="26F9785C"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8</w:t>
            </w:r>
          </w:p>
        </w:tc>
        <w:tc>
          <w:tcPr>
            <w:tcW w:w="708" w:type="pct"/>
            <w:shd w:val="clear" w:color="auto" w:fill="auto"/>
          </w:tcPr>
          <w:p w14:paraId="4B8B34F7"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160000.00</w:t>
            </w:r>
          </w:p>
        </w:tc>
      </w:tr>
      <w:tr w:rsidR="00B20FAE" w:rsidRPr="00674790" w14:paraId="14FDE4CA" w14:textId="77777777" w:rsidTr="006F13D3">
        <w:trPr>
          <w:trHeight w:val="150"/>
        </w:trPr>
        <w:tc>
          <w:tcPr>
            <w:tcW w:w="304" w:type="pct"/>
            <w:vMerge/>
            <w:shd w:val="clear" w:color="auto" w:fill="auto"/>
          </w:tcPr>
          <w:p w14:paraId="47C8CCAA"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7D606ADF"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Data analyst</w:t>
            </w:r>
          </w:p>
        </w:tc>
        <w:tc>
          <w:tcPr>
            <w:tcW w:w="613" w:type="pct"/>
            <w:shd w:val="clear" w:color="auto" w:fill="auto"/>
          </w:tcPr>
          <w:p w14:paraId="76F0FA66"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Month</w:t>
            </w:r>
          </w:p>
        </w:tc>
        <w:tc>
          <w:tcPr>
            <w:tcW w:w="613" w:type="pct"/>
            <w:shd w:val="clear" w:color="auto" w:fill="auto"/>
          </w:tcPr>
          <w:p w14:paraId="15C311F8"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18500</w:t>
            </w:r>
          </w:p>
        </w:tc>
        <w:tc>
          <w:tcPr>
            <w:tcW w:w="507" w:type="pct"/>
            <w:shd w:val="clear" w:color="auto" w:fill="auto"/>
          </w:tcPr>
          <w:p w14:paraId="779514C2"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2</w:t>
            </w:r>
          </w:p>
        </w:tc>
        <w:tc>
          <w:tcPr>
            <w:tcW w:w="708" w:type="pct"/>
            <w:shd w:val="clear" w:color="auto" w:fill="auto"/>
          </w:tcPr>
          <w:p w14:paraId="2D4A4320"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37000.00</w:t>
            </w:r>
          </w:p>
        </w:tc>
      </w:tr>
      <w:tr w:rsidR="00B20FAE" w:rsidRPr="00674790" w14:paraId="1D75FFD7" w14:textId="77777777" w:rsidTr="006F13D3">
        <w:trPr>
          <w:trHeight w:val="150"/>
        </w:trPr>
        <w:tc>
          <w:tcPr>
            <w:tcW w:w="304" w:type="pct"/>
            <w:vMerge/>
            <w:shd w:val="clear" w:color="auto" w:fill="auto"/>
          </w:tcPr>
          <w:p w14:paraId="6B3EDBC4"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6581EBDB"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Data entry operator</w:t>
            </w:r>
          </w:p>
        </w:tc>
        <w:tc>
          <w:tcPr>
            <w:tcW w:w="613" w:type="pct"/>
            <w:shd w:val="clear" w:color="auto" w:fill="auto"/>
          </w:tcPr>
          <w:p w14:paraId="444221ED"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 xml:space="preserve">Month </w:t>
            </w:r>
          </w:p>
        </w:tc>
        <w:tc>
          <w:tcPr>
            <w:tcW w:w="613" w:type="pct"/>
            <w:shd w:val="clear" w:color="auto" w:fill="auto"/>
          </w:tcPr>
          <w:p w14:paraId="381C541E"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16500</w:t>
            </w:r>
          </w:p>
        </w:tc>
        <w:tc>
          <w:tcPr>
            <w:tcW w:w="507" w:type="pct"/>
            <w:shd w:val="clear" w:color="auto" w:fill="auto"/>
          </w:tcPr>
          <w:p w14:paraId="31D3E6A1"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4</w:t>
            </w:r>
          </w:p>
        </w:tc>
        <w:tc>
          <w:tcPr>
            <w:tcW w:w="708" w:type="pct"/>
            <w:shd w:val="clear" w:color="auto" w:fill="auto"/>
          </w:tcPr>
          <w:p w14:paraId="29437F43"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66000.00</w:t>
            </w:r>
          </w:p>
        </w:tc>
      </w:tr>
      <w:tr w:rsidR="00B20FAE" w:rsidRPr="00674790" w14:paraId="581F0D7A" w14:textId="77777777" w:rsidTr="006F13D3">
        <w:trPr>
          <w:trHeight w:val="105"/>
        </w:trPr>
        <w:tc>
          <w:tcPr>
            <w:tcW w:w="304" w:type="pct"/>
            <w:vMerge/>
            <w:shd w:val="clear" w:color="auto" w:fill="auto"/>
          </w:tcPr>
          <w:p w14:paraId="52E48E0E"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252A9CB5"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 xml:space="preserve">Sub total </w:t>
            </w:r>
          </w:p>
        </w:tc>
        <w:tc>
          <w:tcPr>
            <w:tcW w:w="613" w:type="pct"/>
            <w:shd w:val="clear" w:color="auto" w:fill="auto"/>
          </w:tcPr>
          <w:p w14:paraId="6ECA9BA0"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613" w:type="pct"/>
            <w:shd w:val="clear" w:color="auto" w:fill="auto"/>
          </w:tcPr>
          <w:p w14:paraId="6DC13B17"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507" w:type="pct"/>
            <w:shd w:val="clear" w:color="auto" w:fill="auto"/>
          </w:tcPr>
          <w:p w14:paraId="2904C5D6"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708" w:type="pct"/>
            <w:shd w:val="clear" w:color="auto" w:fill="auto"/>
          </w:tcPr>
          <w:p w14:paraId="37266C8C"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263000.00</w:t>
            </w:r>
          </w:p>
        </w:tc>
      </w:tr>
      <w:tr w:rsidR="00B20FAE" w:rsidRPr="00674790" w14:paraId="6D8BEE60" w14:textId="77777777" w:rsidTr="006F13D3">
        <w:trPr>
          <w:trHeight w:val="135"/>
        </w:trPr>
        <w:tc>
          <w:tcPr>
            <w:tcW w:w="304" w:type="pct"/>
            <w:vMerge w:val="restart"/>
            <w:shd w:val="clear" w:color="auto" w:fill="auto"/>
          </w:tcPr>
          <w:p w14:paraId="3A54DA43" w14:textId="77777777" w:rsidR="00B20FAE" w:rsidRPr="00674790" w:rsidRDefault="00B20FAE" w:rsidP="00674790">
            <w:pPr>
              <w:pStyle w:val="ListParagraph"/>
              <w:spacing w:after="0" w:line="480" w:lineRule="auto"/>
              <w:ind w:left="0"/>
              <w:jc w:val="both"/>
              <w:rPr>
                <w:rFonts w:ascii="Times New Roman" w:hAnsi="Times New Roman" w:cs="Times New Roman"/>
                <w:b/>
                <w:sz w:val="24"/>
                <w:szCs w:val="24"/>
              </w:rPr>
            </w:pPr>
            <w:r w:rsidRPr="00674790">
              <w:rPr>
                <w:rFonts w:ascii="Times New Roman" w:hAnsi="Times New Roman" w:cs="Times New Roman"/>
                <w:b/>
                <w:sz w:val="24"/>
                <w:szCs w:val="24"/>
              </w:rPr>
              <w:t>02</w:t>
            </w:r>
          </w:p>
        </w:tc>
        <w:tc>
          <w:tcPr>
            <w:tcW w:w="4696" w:type="pct"/>
            <w:gridSpan w:val="5"/>
            <w:shd w:val="clear" w:color="auto" w:fill="auto"/>
          </w:tcPr>
          <w:p w14:paraId="6446071E" w14:textId="77777777" w:rsidR="00B20FAE" w:rsidRPr="00674790" w:rsidRDefault="00B20FAE" w:rsidP="00674790">
            <w:pPr>
              <w:pStyle w:val="ListParagraph"/>
              <w:spacing w:after="0" w:line="480" w:lineRule="auto"/>
              <w:ind w:left="0"/>
              <w:jc w:val="both"/>
              <w:rPr>
                <w:rFonts w:ascii="Times New Roman" w:hAnsi="Times New Roman" w:cs="Times New Roman"/>
                <w:b/>
                <w:sz w:val="24"/>
                <w:szCs w:val="24"/>
              </w:rPr>
            </w:pPr>
            <w:r w:rsidRPr="00674790">
              <w:rPr>
                <w:rFonts w:ascii="Times New Roman" w:hAnsi="Times New Roman" w:cs="Times New Roman"/>
                <w:b/>
                <w:sz w:val="24"/>
                <w:szCs w:val="24"/>
              </w:rPr>
              <w:t>Field Activity Cost</w:t>
            </w:r>
          </w:p>
        </w:tc>
      </w:tr>
      <w:tr w:rsidR="00B20FAE" w:rsidRPr="00674790" w14:paraId="47E31A11" w14:textId="77777777" w:rsidTr="006F13D3">
        <w:trPr>
          <w:trHeight w:val="150"/>
        </w:trPr>
        <w:tc>
          <w:tcPr>
            <w:tcW w:w="304" w:type="pct"/>
            <w:vMerge/>
            <w:shd w:val="clear" w:color="auto" w:fill="auto"/>
          </w:tcPr>
          <w:p w14:paraId="2C44C8F8"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65DEA1BE"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Allowance for Field supervisors</w:t>
            </w:r>
          </w:p>
        </w:tc>
        <w:tc>
          <w:tcPr>
            <w:tcW w:w="613" w:type="pct"/>
            <w:shd w:val="clear" w:color="auto" w:fill="auto"/>
          </w:tcPr>
          <w:p w14:paraId="28EFD316"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 xml:space="preserve">Month </w:t>
            </w:r>
          </w:p>
        </w:tc>
        <w:tc>
          <w:tcPr>
            <w:tcW w:w="613" w:type="pct"/>
            <w:shd w:val="clear" w:color="auto" w:fill="auto"/>
          </w:tcPr>
          <w:p w14:paraId="1381BD66"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19000</w:t>
            </w:r>
          </w:p>
        </w:tc>
        <w:tc>
          <w:tcPr>
            <w:tcW w:w="507" w:type="pct"/>
            <w:shd w:val="clear" w:color="auto" w:fill="auto"/>
          </w:tcPr>
          <w:p w14:paraId="734BB3B0"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4</w:t>
            </w:r>
          </w:p>
        </w:tc>
        <w:tc>
          <w:tcPr>
            <w:tcW w:w="708" w:type="pct"/>
            <w:shd w:val="clear" w:color="auto" w:fill="auto"/>
          </w:tcPr>
          <w:p w14:paraId="3A396BA3"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76000.00</w:t>
            </w:r>
          </w:p>
        </w:tc>
      </w:tr>
      <w:tr w:rsidR="00B20FAE" w:rsidRPr="00674790" w14:paraId="3A25623A" w14:textId="77777777" w:rsidTr="006F13D3">
        <w:trPr>
          <w:trHeight w:val="120"/>
        </w:trPr>
        <w:tc>
          <w:tcPr>
            <w:tcW w:w="304" w:type="pct"/>
            <w:vMerge/>
            <w:shd w:val="clear" w:color="auto" w:fill="auto"/>
          </w:tcPr>
          <w:p w14:paraId="6E6BCD73"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38B5955C"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Allowance for Data enumerator</w:t>
            </w:r>
          </w:p>
        </w:tc>
        <w:tc>
          <w:tcPr>
            <w:tcW w:w="613" w:type="pct"/>
            <w:shd w:val="clear" w:color="auto" w:fill="auto"/>
          </w:tcPr>
          <w:p w14:paraId="292FC982"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 xml:space="preserve">Month </w:t>
            </w:r>
          </w:p>
        </w:tc>
        <w:tc>
          <w:tcPr>
            <w:tcW w:w="613" w:type="pct"/>
            <w:shd w:val="clear" w:color="auto" w:fill="auto"/>
          </w:tcPr>
          <w:p w14:paraId="295246F6"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12000</w:t>
            </w:r>
          </w:p>
        </w:tc>
        <w:tc>
          <w:tcPr>
            <w:tcW w:w="507" w:type="pct"/>
            <w:shd w:val="clear" w:color="auto" w:fill="auto"/>
          </w:tcPr>
          <w:p w14:paraId="547910D3"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12</w:t>
            </w:r>
          </w:p>
        </w:tc>
        <w:tc>
          <w:tcPr>
            <w:tcW w:w="708" w:type="pct"/>
            <w:shd w:val="clear" w:color="auto" w:fill="auto"/>
          </w:tcPr>
          <w:p w14:paraId="4387571A"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144000.00</w:t>
            </w:r>
          </w:p>
        </w:tc>
      </w:tr>
      <w:tr w:rsidR="00B20FAE" w:rsidRPr="00674790" w14:paraId="0FDAB63F" w14:textId="77777777" w:rsidTr="006F13D3">
        <w:trPr>
          <w:trHeight w:val="120"/>
        </w:trPr>
        <w:tc>
          <w:tcPr>
            <w:tcW w:w="304" w:type="pct"/>
            <w:vMerge/>
            <w:shd w:val="clear" w:color="auto" w:fill="auto"/>
          </w:tcPr>
          <w:p w14:paraId="4736267C"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036F2D9B"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3 days Orientation for data collectors (2 days for data collection + 1 day for data entry)</w:t>
            </w:r>
          </w:p>
        </w:tc>
        <w:tc>
          <w:tcPr>
            <w:tcW w:w="613" w:type="pct"/>
            <w:shd w:val="clear" w:color="auto" w:fill="auto"/>
          </w:tcPr>
          <w:p w14:paraId="5B353C85"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Day</w:t>
            </w:r>
          </w:p>
        </w:tc>
        <w:tc>
          <w:tcPr>
            <w:tcW w:w="613" w:type="pct"/>
            <w:shd w:val="clear" w:color="auto" w:fill="auto"/>
          </w:tcPr>
          <w:p w14:paraId="245F9069"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4000</w:t>
            </w:r>
          </w:p>
        </w:tc>
        <w:tc>
          <w:tcPr>
            <w:tcW w:w="507" w:type="pct"/>
            <w:shd w:val="clear" w:color="auto" w:fill="auto"/>
          </w:tcPr>
          <w:p w14:paraId="0133DAAC"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3</w:t>
            </w:r>
          </w:p>
        </w:tc>
        <w:tc>
          <w:tcPr>
            <w:tcW w:w="708" w:type="pct"/>
            <w:shd w:val="clear" w:color="auto" w:fill="auto"/>
          </w:tcPr>
          <w:p w14:paraId="3D58B9BF"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12000.00</w:t>
            </w:r>
          </w:p>
        </w:tc>
      </w:tr>
      <w:tr w:rsidR="00B20FAE" w:rsidRPr="00674790" w14:paraId="0CEFB7F9" w14:textId="77777777" w:rsidTr="006F13D3">
        <w:trPr>
          <w:trHeight w:val="135"/>
        </w:trPr>
        <w:tc>
          <w:tcPr>
            <w:tcW w:w="304" w:type="pct"/>
            <w:vMerge/>
            <w:shd w:val="clear" w:color="auto" w:fill="auto"/>
          </w:tcPr>
          <w:p w14:paraId="548E565E"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739438ED"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Travel expenses related to data </w:t>
            </w:r>
          </w:p>
          <w:p w14:paraId="1858C1B4"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collection + data entry</w:t>
            </w:r>
          </w:p>
        </w:tc>
        <w:tc>
          <w:tcPr>
            <w:tcW w:w="613" w:type="pct"/>
            <w:shd w:val="clear" w:color="auto" w:fill="auto"/>
          </w:tcPr>
          <w:p w14:paraId="200BD58F"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Day</w:t>
            </w:r>
          </w:p>
        </w:tc>
        <w:tc>
          <w:tcPr>
            <w:tcW w:w="613" w:type="pct"/>
            <w:shd w:val="clear" w:color="auto" w:fill="auto"/>
          </w:tcPr>
          <w:p w14:paraId="010C8726"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400</w:t>
            </w:r>
          </w:p>
        </w:tc>
        <w:tc>
          <w:tcPr>
            <w:tcW w:w="507" w:type="pct"/>
            <w:shd w:val="clear" w:color="auto" w:fill="auto"/>
          </w:tcPr>
          <w:p w14:paraId="58A9791F"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60</w:t>
            </w:r>
          </w:p>
        </w:tc>
        <w:tc>
          <w:tcPr>
            <w:tcW w:w="708" w:type="pct"/>
            <w:shd w:val="clear" w:color="auto" w:fill="auto"/>
          </w:tcPr>
          <w:p w14:paraId="78987C91"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24000.00</w:t>
            </w:r>
          </w:p>
        </w:tc>
      </w:tr>
      <w:tr w:rsidR="00B20FAE" w:rsidRPr="00674790" w14:paraId="53ACCDE7" w14:textId="77777777" w:rsidTr="006F13D3">
        <w:trPr>
          <w:trHeight w:val="120"/>
        </w:trPr>
        <w:tc>
          <w:tcPr>
            <w:tcW w:w="304" w:type="pct"/>
            <w:vMerge/>
            <w:shd w:val="clear" w:color="auto" w:fill="auto"/>
          </w:tcPr>
          <w:p w14:paraId="63717125"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120E804C" w14:textId="77777777" w:rsidR="00B20FAE" w:rsidRPr="00674790" w:rsidRDefault="00B20FAE" w:rsidP="00674790">
            <w:pPr>
              <w:pStyle w:val="Default"/>
              <w:spacing w:line="480" w:lineRule="auto"/>
              <w:jc w:val="both"/>
              <w:rPr>
                <w:color w:val="auto"/>
              </w:rPr>
            </w:pPr>
            <w:r w:rsidRPr="00674790">
              <w:rPr>
                <w:color w:val="auto"/>
              </w:rPr>
              <w:t>Other cost related to data collection (local data collection costs)</w:t>
            </w:r>
          </w:p>
          <w:p w14:paraId="515C8DA5"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613" w:type="pct"/>
            <w:shd w:val="clear" w:color="auto" w:fill="auto"/>
          </w:tcPr>
          <w:p w14:paraId="66B2C8F5"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613" w:type="pct"/>
            <w:shd w:val="clear" w:color="auto" w:fill="auto"/>
          </w:tcPr>
          <w:p w14:paraId="73D44CEC"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507" w:type="pct"/>
            <w:shd w:val="clear" w:color="auto" w:fill="auto"/>
          </w:tcPr>
          <w:p w14:paraId="3297E57B"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708" w:type="pct"/>
            <w:shd w:val="clear" w:color="auto" w:fill="auto"/>
          </w:tcPr>
          <w:p w14:paraId="084B8152"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17000.00</w:t>
            </w:r>
          </w:p>
        </w:tc>
      </w:tr>
      <w:tr w:rsidR="00B20FAE" w:rsidRPr="00674790" w14:paraId="0FEB7BEC" w14:textId="77777777" w:rsidTr="006F13D3">
        <w:trPr>
          <w:trHeight w:val="135"/>
        </w:trPr>
        <w:tc>
          <w:tcPr>
            <w:tcW w:w="304" w:type="pct"/>
            <w:vMerge/>
            <w:shd w:val="clear" w:color="auto" w:fill="auto"/>
          </w:tcPr>
          <w:p w14:paraId="2763E9B7"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3F09E04E"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 xml:space="preserve">Sub Total </w:t>
            </w:r>
          </w:p>
        </w:tc>
        <w:tc>
          <w:tcPr>
            <w:tcW w:w="613" w:type="pct"/>
            <w:shd w:val="clear" w:color="auto" w:fill="auto"/>
          </w:tcPr>
          <w:p w14:paraId="78EEED78"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613" w:type="pct"/>
            <w:shd w:val="clear" w:color="auto" w:fill="auto"/>
          </w:tcPr>
          <w:p w14:paraId="01190C55"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507" w:type="pct"/>
            <w:shd w:val="clear" w:color="auto" w:fill="auto"/>
          </w:tcPr>
          <w:p w14:paraId="38FAD68C"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708" w:type="pct"/>
            <w:shd w:val="clear" w:color="auto" w:fill="auto"/>
          </w:tcPr>
          <w:p w14:paraId="0A057F26"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273000.00</w:t>
            </w:r>
          </w:p>
        </w:tc>
      </w:tr>
      <w:tr w:rsidR="00B20FAE" w:rsidRPr="00674790" w14:paraId="3B67738D" w14:textId="77777777" w:rsidTr="006F13D3">
        <w:trPr>
          <w:trHeight w:val="120"/>
        </w:trPr>
        <w:tc>
          <w:tcPr>
            <w:tcW w:w="304" w:type="pct"/>
            <w:vMerge w:val="restart"/>
            <w:shd w:val="clear" w:color="auto" w:fill="auto"/>
          </w:tcPr>
          <w:p w14:paraId="57FDB92A" w14:textId="77777777" w:rsidR="00B20FAE" w:rsidRPr="00674790" w:rsidRDefault="00B20FAE" w:rsidP="00674790">
            <w:pPr>
              <w:pStyle w:val="ListParagraph"/>
              <w:spacing w:after="0" w:line="480" w:lineRule="auto"/>
              <w:ind w:left="0"/>
              <w:jc w:val="both"/>
              <w:rPr>
                <w:rFonts w:ascii="Times New Roman" w:hAnsi="Times New Roman" w:cs="Times New Roman"/>
                <w:b/>
                <w:sz w:val="24"/>
                <w:szCs w:val="24"/>
              </w:rPr>
            </w:pPr>
            <w:r w:rsidRPr="00674790">
              <w:rPr>
                <w:rFonts w:ascii="Times New Roman" w:hAnsi="Times New Roman" w:cs="Times New Roman"/>
                <w:b/>
                <w:sz w:val="24"/>
                <w:szCs w:val="24"/>
              </w:rPr>
              <w:t>03</w:t>
            </w:r>
          </w:p>
        </w:tc>
        <w:tc>
          <w:tcPr>
            <w:tcW w:w="4696" w:type="pct"/>
            <w:gridSpan w:val="5"/>
            <w:shd w:val="clear" w:color="auto" w:fill="auto"/>
          </w:tcPr>
          <w:p w14:paraId="3BB57572" w14:textId="77777777" w:rsidR="00B20FAE" w:rsidRPr="00674790" w:rsidRDefault="00B20FAE" w:rsidP="00674790">
            <w:pPr>
              <w:pStyle w:val="ListParagraph"/>
              <w:spacing w:after="0" w:line="480" w:lineRule="auto"/>
              <w:ind w:left="0"/>
              <w:jc w:val="both"/>
              <w:rPr>
                <w:rFonts w:ascii="Times New Roman" w:hAnsi="Times New Roman" w:cs="Times New Roman"/>
                <w:b/>
                <w:sz w:val="24"/>
                <w:szCs w:val="24"/>
              </w:rPr>
            </w:pPr>
            <w:r w:rsidRPr="00674790">
              <w:rPr>
                <w:rFonts w:ascii="Times New Roman" w:hAnsi="Times New Roman" w:cs="Times New Roman"/>
                <w:b/>
                <w:sz w:val="24"/>
                <w:szCs w:val="24"/>
              </w:rPr>
              <w:t>Travel and transportation Cost</w:t>
            </w:r>
          </w:p>
        </w:tc>
      </w:tr>
      <w:tr w:rsidR="00B20FAE" w:rsidRPr="00674790" w14:paraId="03889440" w14:textId="77777777" w:rsidTr="006F13D3">
        <w:trPr>
          <w:trHeight w:val="104"/>
        </w:trPr>
        <w:tc>
          <w:tcPr>
            <w:tcW w:w="304" w:type="pct"/>
            <w:vMerge/>
            <w:shd w:val="clear" w:color="auto" w:fill="auto"/>
          </w:tcPr>
          <w:p w14:paraId="0AC8B999"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5184E019"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Inter district transport cost</w:t>
            </w:r>
          </w:p>
        </w:tc>
        <w:tc>
          <w:tcPr>
            <w:tcW w:w="613" w:type="pct"/>
            <w:shd w:val="clear" w:color="auto" w:fill="auto"/>
          </w:tcPr>
          <w:p w14:paraId="7195FDCA"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Trip</w:t>
            </w:r>
          </w:p>
        </w:tc>
        <w:tc>
          <w:tcPr>
            <w:tcW w:w="613" w:type="pct"/>
            <w:shd w:val="clear" w:color="auto" w:fill="auto"/>
          </w:tcPr>
          <w:p w14:paraId="22361F01"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5500</w:t>
            </w:r>
          </w:p>
        </w:tc>
        <w:tc>
          <w:tcPr>
            <w:tcW w:w="507" w:type="pct"/>
            <w:shd w:val="clear" w:color="auto" w:fill="auto"/>
          </w:tcPr>
          <w:p w14:paraId="11501D24"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10</w:t>
            </w:r>
          </w:p>
        </w:tc>
        <w:tc>
          <w:tcPr>
            <w:tcW w:w="708" w:type="pct"/>
            <w:shd w:val="clear" w:color="auto" w:fill="auto"/>
          </w:tcPr>
          <w:p w14:paraId="497AB542"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55000.00</w:t>
            </w:r>
          </w:p>
        </w:tc>
      </w:tr>
      <w:tr w:rsidR="00B20FAE" w:rsidRPr="00674790" w14:paraId="00484390" w14:textId="77777777" w:rsidTr="006F13D3">
        <w:trPr>
          <w:trHeight w:val="150"/>
        </w:trPr>
        <w:tc>
          <w:tcPr>
            <w:tcW w:w="304" w:type="pct"/>
            <w:vMerge/>
            <w:shd w:val="clear" w:color="auto" w:fill="auto"/>
          </w:tcPr>
          <w:p w14:paraId="29AC049D"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4739B8B3"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Local conveyance</w:t>
            </w:r>
          </w:p>
        </w:tc>
        <w:tc>
          <w:tcPr>
            <w:tcW w:w="613" w:type="pct"/>
            <w:shd w:val="clear" w:color="auto" w:fill="auto"/>
          </w:tcPr>
          <w:p w14:paraId="0C6F97AD"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Month</w:t>
            </w:r>
          </w:p>
        </w:tc>
        <w:tc>
          <w:tcPr>
            <w:tcW w:w="613" w:type="pct"/>
            <w:shd w:val="clear" w:color="auto" w:fill="auto"/>
          </w:tcPr>
          <w:p w14:paraId="301A89DC"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2400</w:t>
            </w:r>
          </w:p>
        </w:tc>
        <w:tc>
          <w:tcPr>
            <w:tcW w:w="507" w:type="pct"/>
            <w:shd w:val="clear" w:color="auto" w:fill="auto"/>
          </w:tcPr>
          <w:p w14:paraId="052797BD"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9</w:t>
            </w:r>
          </w:p>
        </w:tc>
        <w:tc>
          <w:tcPr>
            <w:tcW w:w="708" w:type="pct"/>
            <w:shd w:val="clear" w:color="auto" w:fill="auto"/>
          </w:tcPr>
          <w:p w14:paraId="5AF4E6D4"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21600.00</w:t>
            </w:r>
          </w:p>
        </w:tc>
      </w:tr>
      <w:tr w:rsidR="00B20FAE" w:rsidRPr="00674790" w14:paraId="7662A2EA" w14:textId="77777777" w:rsidTr="006F13D3">
        <w:trPr>
          <w:trHeight w:val="105"/>
        </w:trPr>
        <w:tc>
          <w:tcPr>
            <w:tcW w:w="304" w:type="pct"/>
            <w:vMerge/>
            <w:shd w:val="clear" w:color="auto" w:fill="auto"/>
          </w:tcPr>
          <w:p w14:paraId="6F54980B"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1B59C8B3"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Sub-Total</w:t>
            </w:r>
          </w:p>
        </w:tc>
        <w:tc>
          <w:tcPr>
            <w:tcW w:w="613" w:type="pct"/>
            <w:shd w:val="clear" w:color="auto" w:fill="auto"/>
          </w:tcPr>
          <w:p w14:paraId="5E752FB3"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613" w:type="pct"/>
            <w:shd w:val="clear" w:color="auto" w:fill="auto"/>
          </w:tcPr>
          <w:p w14:paraId="50B3DA77"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507" w:type="pct"/>
            <w:shd w:val="clear" w:color="auto" w:fill="auto"/>
          </w:tcPr>
          <w:p w14:paraId="1ED0EB69"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708" w:type="pct"/>
            <w:shd w:val="clear" w:color="auto" w:fill="auto"/>
          </w:tcPr>
          <w:p w14:paraId="4FE3EF5D"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76600.00</w:t>
            </w:r>
          </w:p>
        </w:tc>
      </w:tr>
      <w:tr w:rsidR="00B20FAE" w:rsidRPr="00674790" w14:paraId="5D675B7F" w14:textId="77777777" w:rsidTr="006F13D3">
        <w:trPr>
          <w:trHeight w:val="165"/>
        </w:trPr>
        <w:tc>
          <w:tcPr>
            <w:tcW w:w="304" w:type="pct"/>
            <w:vMerge w:val="restart"/>
            <w:shd w:val="clear" w:color="auto" w:fill="auto"/>
          </w:tcPr>
          <w:p w14:paraId="4110ECEF" w14:textId="77777777" w:rsidR="00B20FAE" w:rsidRPr="00674790" w:rsidRDefault="00B20FAE" w:rsidP="00674790">
            <w:pPr>
              <w:pStyle w:val="ListParagraph"/>
              <w:spacing w:after="0" w:line="480" w:lineRule="auto"/>
              <w:ind w:left="0"/>
              <w:jc w:val="both"/>
              <w:rPr>
                <w:rFonts w:ascii="Times New Roman" w:hAnsi="Times New Roman" w:cs="Times New Roman"/>
                <w:b/>
                <w:sz w:val="24"/>
                <w:szCs w:val="24"/>
              </w:rPr>
            </w:pPr>
            <w:r w:rsidRPr="00674790">
              <w:rPr>
                <w:rFonts w:ascii="Times New Roman" w:hAnsi="Times New Roman" w:cs="Times New Roman"/>
                <w:b/>
                <w:sz w:val="24"/>
                <w:szCs w:val="24"/>
              </w:rPr>
              <w:t>04</w:t>
            </w:r>
          </w:p>
        </w:tc>
        <w:tc>
          <w:tcPr>
            <w:tcW w:w="4696" w:type="pct"/>
            <w:gridSpan w:val="5"/>
            <w:shd w:val="clear" w:color="auto" w:fill="auto"/>
          </w:tcPr>
          <w:p w14:paraId="415E6577" w14:textId="77777777" w:rsidR="00B20FAE" w:rsidRPr="00674790" w:rsidRDefault="00B20FAE" w:rsidP="00674790">
            <w:pPr>
              <w:pStyle w:val="ListParagraph"/>
              <w:spacing w:after="0" w:line="480" w:lineRule="auto"/>
              <w:ind w:left="0"/>
              <w:jc w:val="both"/>
              <w:rPr>
                <w:rFonts w:ascii="Times New Roman" w:hAnsi="Times New Roman" w:cs="Times New Roman"/>
                <w:b/>
                <w:sz w:val="24"/>
                <w:szCs w:val="24"/>
              </w:rPr>
            </w:pPr>
            <w:r w:rsidRPr="00674790">
              <w:rPr>
                <w:rFonts w:ascii="Times New Roman" w:hAnsi="Times New Roman" w:cs="Times New Roman"/>
                <w:b/>
                <w:sz w:val="24"/>
                <w:szCs w:val="24"/>
              </w:rPr>
              <w:t>Professional Service</w:t>
            </w:r>
          </w:p>
        </w:tc>
      </w:tr>
      <w:tr w:rsidR="00B20FAE" w:rsidRPr="00674790" w14:paraId="72546892" w14:textId="77777777" w:rsidTr="006F13D3">
        <w:trPr>
          <w:trHeight w:val="150"/>
        </w:trPr>
        <w:tc>
          <w:tcPr>
            <w:tcW w:w="304" w:type="pct"/>
            <w:vMerge/>
            <w:shd w:val="clear" w:color="auto" w:fill="auto"/>
          </w:tcPr>
          <w:p w14:paraId="612E0C19"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3E9309AD"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Honorarium for mentor</w:t>
            </w:r>
          </w:p>
        </w:tc>
        <w:tc>
          <w:tcPr>
            <w:tcW w:w="613" w:type="pct"/>
            <w:shd w:val="clear" w:color="auto" w:fill="auto"/>
          </w:tcPr>
          <w:p w14:paraId="29E70F96"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613" w:type="pct"/>
            <w:shd w:val="clear" w:color="auto" w:fill="auto"/>
          </w:tcPr>
          <w:p w14:paraId="204DA9E3"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507" w:type="pct"/>
            <w:shd w:val="clear" w:color="auto" w:fill="auto"/>
          </w:tcPr>
          <w:p w14:paraId="5E7B2C60"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708" w:type="pct"/>
            <w:shd w:val="clear" w:color="auto" w:fill="auto"/>
          </w:tcPr>
          <w:p w14:paraId="36624095"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50000.00</w:t>
            </w:r>
          </w:p>
        </w:tc>
      </w:tr>
      <w:tr w:rsidR="00B20FAE" w:rsidRPr="00674790" w14:paraId="71309E19" w14:textId="77777777" w:rsidTr="006F13D3">
        <w:trPr>
          <w:trHeight w:val="105"/>
        </w:trPr>
        <w:tc>
          <w:tcPr>
            <w:tcW w:w="304" w:type="pct"/>
            <w:vMerge/>
            <w:shd w:val="clear" w:color="auto" w:fill="auto"/>
          </w:tcPr>
          <w:p w14:paraId="2B3C9E14"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4F89349D"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Sub-Total</w:t>
            </w:r>
          </w:p>
        </w:tc>
        <w:tc>
          <w:tcPr>
            <w:tcW w:w="613" w:type="pct"/>
            <w:shd w:val="clear" w:color="auto" w:fill="auto"/>
          </w:tcPr>
          <w:p w14:paraId="5DB45296"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613" w:type="pct"/>
            <w:shd w:val="clear" w:color="auto" w:fill="auto"/>
          </w:tcPr>
          <w:p w14:paraId="69D11F61"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507" w:type="pct"/>
            <w:shd w:val="clear" w:color="auto" w:fill="auto"/>
          </w:tcPr>
          <w:p w14:paraId="16ADB2BE"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708" w:type="pct"/>
            <w:shd w:val="clear" w:color="auto" w:fill="auto"/>
          </w:tcPr>
          <w:p w14:paraId="20AEE915"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50,000.00</w:t>
            </w:r>
          </w:p>
        </w:tc>
      </w:tr>
      <w:tr w:rsidR="00B20FAE" w:rsidRPr="00674790" w14:paraId="233270A8" w14:textId="77777777" w:rsidTr="006F13D3">
        <w:trPr>
          <w:trHeight w:val="150"/>
        </w:trPr>
        <w:tc>
          <w:tcPr>
            <w:tcW w:w="304" w:type="pct"/>
            <w:vMerge w:val="restart"/>
            <w:shd w:val="clear" w:color="auto" w:fill="auto"/>
          </w:tcPr>
          <w:p w14:paraId="712E0C41" w14:textId="77777777" w:rsidR="00B20FAE" w:rsidRPr="00674790" w:rsidRDefault="00B20FAE" w:rsidP="00674790">
            <w:pPr>
              <w:pStyle w:val="ListParagraph"/>
              <w:spacing w:after="0" w:line="480" w:lineRule="auto"/>
              <w:ind w:left="0"/>
              <w:jc w:val="both"/>
              <w:rPr>
                <w:rFonts w:ascii="Times New Roman" w:hAnsi="Times New Roman" w:cs="Times New Roman"/>
                <w:b/>
                <w:sz w:val="24"/>
                <w:szCs w:val="24"/>
              </w:rPr>
            </w:pPr>
            <w:r w:rsidRPr="00674790">
              <w:rPr>
                <w:rFonts w:ascii="Times New Roman" w:hAnsi="Times New Roman" w:cs="Times New Roman"/>
                <w:b/>
                <w:sz w:val="24"/>
                <w:szCs w:val="24"/>
              </w:rPr>
              <w:t>05</w:t>
            </w:r>
          </w:p>
        </w:tc>
        <w:tc>
          <w:tcPr>
            <w:tcW w:w="4696" w:type="pct"/>
            <w:gridSpan w:val="5"/>
            <w:shd w:val="clear" w:color="auto" w:fill="auto"/>
          </w:tcPr>
          <w:p w14:paraId="0E991E77" w14:textId="77777777" w:rsidR="00B20FAE" w:rsidRPr="00674790" w:rsidRDefault="00B20FAE" w:rsidP="00674790">
            <w:pPr>
              <w:pStyle w:val="ListParagraph"/>
              <w:spacing w:after="0" w:line="480" w:lineRule="auto"/>
              <w:ind w:left="0"/>
              <w:jc w:val="both"/>
              <w:rPr>
                <w:rFonts w:ascii="Times New Roman" w:hAnsi="Times New Roman" w:cs="Times New Roman"/>
                <w:b/>
                <w:sz w:val="24"/>
                <w:szCs w:val="24"/>
              </w:rPr>
            </w:pPr>
            <w:r w:rsidRPr="00674790">
              <w:rPr>
                <w:rFonts w:ascii="Times New Roman" w:hAnsi="Times New Roman" w:cs="Times New Roman"/>
                <w:b/>
                <w:sz w:val="24"/>
                <w:szCs w:val="24"/>
              </w:rPr>
              <w:t>General operating cost</w:t>
            </w:r>
          </w:p>
        </w:tc>
      </w:tr>
      <w:tr w:rsidR="00B20FAE" w:rsidRPr="00674790" w14:paraId="329DF704" w14:textId="77777777" w:rsidTr="006F13D3">
        <w:trPr>
          <w:trHeight w:val="165"/>
        </w:trPr>
        <w:tc>
          <w:tcPr>
            <w:tcW w:w="304" w:type="pct"/>
            <w:vMerge/>
            <w:shd w:val="clear" w:color="auto" w:fill="auto"/>
          </w:tcPr>
          <w:p w14:paraId="6118A410"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095ADB26"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Stationeries</w:t>
            </w:r>
          </w:p>
        </w:tc>
        <w:tc>
          <w:tcPr>
            <w:tcW w:w="613" w:type="pct"/>
            <w:shd w:val="clear" w:color="auto" w:fill="auto"/>
          </w:tcPr>
          <w:p w14:paraId="7D95F267"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Month</w:t>
            </w:r>
          </w:p>
        </w:tc>
        <w:tc>
          <w:tcPr>
            <w:tcW w:w="613" w:type="pct"/>
            <w:shd w:val="clear" w:color="auto" w:fill="auto"/>
          </w:tcPr>
          <w:p w14:paraId="7C81630F"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3200</w:t>
            </w:r>
          </w:p>
        </w:tc>
        <w:tc>
          <w:tcPr>
            <w:tcW w:w="507" w:type="pct"/>
            <w:shd w:val="clear" w:color="auto" w:fill="auto"/>
          </w:tcPr>
          <w:p w14:paraId="0AC22A38"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9</w:t>
            </w:r>
          </w:p>
        </w:tc>
        <w:tc>
          <w:tcPr>
            <w:tcW w:w="708" w:type="pct"/>
            <w:shd w:val="clear" w:color="auto" w:fill="auto"/>
          </w:tcPr>
          <w:p w14:paraId="55DA4BE2"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28800.00</w:t>
            </w:r>
          </w:p>
        </w:tc>
      </w:tr>
      <w:tr w:rsidR="00B20FAE" w:rsidRPr="00674790" w14:paraId="29EE09B5" w14:textId="77777777" w:rsidTr="006F13D3">
        <w:trPr>
          <w:trHeight w:val="135"/>
        </w:trPr>
        <w:tc>
          <w:tcPr>
            <w:tcW w:w="304" w:type="pct"/>
            <w:vMerge/>
            <w:shd w:val="clear" w:color="auto" w:fill="auto"/>
          </w:tcPr>
          <w:p w14:paraId="711A2D17"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1440C6FD"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Communication exp</w:t>
            </w:r>
          </w:p>
        </w:tc>
        <w:tc>
          <w:tcPr>
            <w:tcW w:w="613" w:type="pct"/>
            <w:shd w:val="clear" w:color="auto" w:fill="auto"/>
          </w:tcPr>
          <w:p w14:paraId="141EA6AA"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Month</w:t>
            </w:r>
          </w:p>
        </w:tc>
        <w:tc>
          <w:tcPr>
            <w:tcW w:w="613" w:type="pct"/>
            <w:shd w:val="clear" w:color="auto" w:fill="auto"/>
          </w:tcPr>
          <w:p w14:paraId="76EC778F"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1000</w:t>
            </w:r>
          </w:p>
        </w:tc>
        <w:tc>
          <w:tcPr>
            <w:tcW w:w="507" w:type="pct"/>
            <w:shd w:val="clear" w:color="auto" w:fill="auto"/>
          </w:tcPr>
          <w:p w14:paraId="68B3A4CE"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9</w:t>
            </w:r>
          </w:p>
        </w:tc>
        <w:tc>
          <w:tcPr>
            <w:tcW w:w="708" w:type="pct"/>
            <w:shd w:val="clear" w:color="auto" w:fill="auto"/>
          </w:tcPr>
          <w:p w14:paraId="4EC6566A"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9000.00</w:t>
            </w:r>
          </w:p>
        </w:tc>
      </w:tr>
      <w:tr w:rsidR="00B20FAE" w:rsidRPr="00674790" w14:paraId="43C4A6F1" w14:textId="77777777" w:rsidTr="006F13D3">
        <w:trPr>
          <w:trHeight w:val="135"/>
        </w:trPr>
        <w:tc>
          <w:tcPr>
            <w:tcW w:w="304" w:type="pct"/>
            <w:vMerge/>
            <w:shd w:val="clear" w:color="auto" w:fill="auto"/>
          </w:tcPr>
          <w:p w14:paraId="2BF73F7E"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474B9D57"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Printing &amp; Photocopy expenses</w:t>
            </w:r>
          </w:p>
        </w:tc>
        <w:tc>
          <w:tcPr>
            <w:tcW w:w="613" w:type="pct"/>
            <w:shd w:val="clear" w:color="auto" w:fill="auto"/>
          </w:tcPr>
          <w:p w14:paraId="3ADFE0E8"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Month</w:t>
            </w:r>
          </w:p>
        </w:tc>
        <w:tc>
          <w:tcPr>
            <w:tcW w:w="613" w:type="pct"/>
            <w:shd w:val="clear" w:color="auto" w:fill="auto"/>
          </w:tcPr>
          <w:p w14:paraId="39C3F701"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3000</w:t>
            </w:r>
          </w:p>
        </w:tc>
        <w:tc>
          <w:tcPr>
            <w:tcW w:w="507" w:type="pct"/>
            <w:shd w:val="clear" w:color="auto" w:fill="auto"/>
          </w:tcPr>
          <w:p w14:paraId="2DE7A939"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9</w:t>
            </w:r>
          </w:p>
        </w:tc>
        <w:tc>
          <w:tcPr>
            <w:tcW w:w="708" w:type="pct"/>
            <w:shd w:val="clear" w:color="auto" w:fill="auto"/>
          </w:tcPr>
          <w:p w14:paraId="2B53AA9A"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27000.00</w:t>
            </w:r>
          </w:p>
        </w:tc>
      </w:tr>
      <w:tr w:rsidR="00B20FAE" w:rsidRPr="00674790" w14:paraId="36CEF940" w14:textId="77777777" w:rsidTr="006F13D3">
        <w:trPr>
          <w:trHeight w:val="119"/>
        </w:trPr>
        <w:tc>
          <w:tcPr>
            <w:tcW w:w="304" w:type="pct"/>
            <w:vMerge/>
            <w:shd w:val="clear" w:color="auto" w:fill="auto"/>
          </w:tcPr>
          <w:p w14:paraId="6A4552F3"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008C2799"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Courier &amp; postage expenses</w:t>
            </w:r>
          </w:p>
        </w:tc>
        <w:tc>
          <w:tcPr>
            <w:tcW w:w="613" w:type="pct"/>
            <w:shd w:val="clear" w:color="auto" w:fill="auto"/>
          </w:tcPr>
          <w:p w14:paraId="1BD7BA9A"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Month</w:t>
            </w:r>
          </w:p>
        </w:tc>
        <w:tc>
          <w:tcPr>
            <w:tcW w:w="613" w:type="pct"/>
            <w:shd w:val="clear" w:color="auto" w:fill="auto"/>
          </w:tcPr>
          <w:p w14:paraId="3E1E6B41"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580</w:t>
            </w:r>
          </w:p>
        </w:tc>
        <w:tc>
          <w:tcPr>
            <w:tcW w:w="507" w:type="pct"/>
            <w:shd w:val="clear" w:color="auto" w:fill="auto"/>
          </w:tcPr>
          <w:p w14:paraId="300582A1"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9</w:t>
            </w:r>
          </w:p>
        </w:tc>
        <w:tc>
          <w:tcPr>
            <w:tcW w:w="708" w:type="pct"/>
            <w:shd w:val="clear" w:color="auto" w:fill="auto"/>
          </w:tcPr>
          <w:p w14:paraId="5E712CC2"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5220.00</w:t>
            </w:r>
          </w:p>
        </w:tc>
      </w:tr>
      <w:tr w:rsidR="00B20FAE" w:rsidRPr="00674790" w14:paraId="0F5DF58D" w14:textId="77777777" w:rsidTr="006F13D3">
        <w:trPr>
          <w:trHeight w:val="150"/>
        </w:trPr>
        <w:tc>
          <w:tcPr>
            <w:tcW w:w="304" w:type="pct"/>
            <w:vMerge/>
            <w:shd w:val="clear" w:color="auto" w:fill="auto"/>
          </w:tcPr>
          <w:p w14:paraId="3D3CDFDF"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63653CC2"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 xml:space="preserve">Purchase health sanitizers </w:t>
            </w:r>
            <w:proofErr w:type="gramStart"/>
            <w:r w:rsidRPr="00674790">
              <w:rPr>
                <w:rFonts w:ascii="Times New Roman" w:hAnsi="Times New Roman" w:cs="Times New Roman"/>
                <w:sz w:val="24"/>
                <w:szCs w:val="24"/>
              </w:rPr>
              <w:t>and  other</w:t>
            </w:r>
            <w:proofErr w:type="gramEnd"/>
            <w:r w:rsidRPr="00674790">
              <w:rPr>
                <w:rFonts w:ascii="Times New Roman" w:hAnsi="Times New Roman" w:cs="Times New Roman"/>
                <w:sz w:val="24"/>
                <w:szCs w:val="24"/>
              </w:rPr>
              <w:t xml:space="preserve"> </w:t>
            </w:r>
          </w:p>
          <w:p w14:paraId="3DD8DB02"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protective equipment</w:t>
            </w:r>
          </w:p>
        </w:tc>
        <w:tc>
          <w:tcPr>
            <w:tcW w:w="613" w:type="pct"/>
            <w:shd w:val="clear" w:color="auto" w:fill="auto"/>
          </w:tcPr>
          <w:p w14:paraId="4356B138" w14:textId="77777777" w:rsidR="00B20FAE" w:rsidRPr="00674790" w:rsidRDefault="00B20FAE" w:rsidP="00674790">
            <w:pPr>
              <w:spacing w:after="0" w:line="480" w:lineRule="auto"/>
              <w:jc w:val="both"/>
              <w:rPr>
                <w:rFonts w:ascii="Times New Roman" w:hAnsi="Times New Roman" w:cs="Times New Roman"/>
                <w:sz w:val="24"/>
                <w:szCs w:val="24"/>
              </w:rPr>
            </w:pPr>
            <w:r w:rsidRPr="00674790">
              <w:rPr>
                <w:rFonts w:ascii="Times New Roman" w:hAnsi="Times New Roman" w:cs="Times New Roman"/>
                <w:sz w:val="24"/>
                <w:szCs w:val="24"/>
              </w:rPr>
              <w:t>Month</w:t>
            </w:r>
          </w:p>
        </w:tc>
        <w:tc>
          <w:tcPr>
            <w:tcW w:w="613" w:type="pct"/>
            <w:shd w:val="clear" w:color="auto" w:fill="auto"/>
          </w:tcPr>
          <w:p w14:paraId="6FD994D9"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1000</w:t>
            </w:r>
          </w:p>
        </w:tc>
        <w:tc>
          <w:tcPr>
            <w:tcW w:w="507" w:type="pct"/>
            <w:shd w:val="clear" w:color="auto" w:fill="auto"/>
          </w:tcPr>
          <w:p w14:paraId="09302B11"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9</w:t>
            </w:r>
          </w:p>
        </w:tc>
        <w:tc>
          <w:tcPr>
            <w:tcW w:w="708" w:type="pct"/>
            <w:shd w:val="clear" w:color="auto" w:fill="auto"/>
          </w:tcPr>
          <w:p w14:paraId="17F0E3C0"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9000.00</w:t>
            </w:r>
          </w:p>
        </w:tc>
      </w:tr>
      <w:tr w:rsidR="00B20FAE" w:rsidRPr="00674790" w14:paraId="521FBDB4" w14:textId="77777777" w:rsidTr="006F13D3">
        <w:trPr>
          <w:trHeight w:val="135"/>
        </w:trPr>
        <w:tc>
          <w:tcPr>
            <w:tcW w:w="304" w:type="pct"/>
            <w:vMerge/>
            <w:shd w:val="clear" w:color="auto" w:fill="auto"/>
          </w:tcPr>
          <w:p w14:paraId="22A1C990"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2255" w:type="pct"/>
            <w:shd w:val="clear" w:color="auto" w:fill="auto"/>
          </w:tcPr>
          <w:p w14:paraId="33BE5AA7"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Sub-Total</w:t>
            </w:r>
          </w:p>
        </w:tc>
        <w:tc>
          <w:tcPr>
            <w:tcW w:w="613" w:type="pct"/>
            <w:shd w:val="clear" w:color="auto" w:fill="auto"/>
          </w:tcPr>
          <w:p w14:paraId="28A87B22"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613" w:type="pct"/>
            <w:shd w:val="clear" w:color="auto" w:fill="auto"/>
          </w:tcPr>
          <w:p w14:paraId="62887F3F"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507" w:type="pct"/>
            <w:shd w:val="clear" w:color="auto" w:fill="auto"/>
          </w:tcPr>
          <w:p w14:paraId="2986810F"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708" w:type="pct"/>
            <w:shd w:val="clear" w:color="auto" w:fill="auto"/>
          </w:tcPr>
          <w:p w14:paraId="2811E8E1"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79020.00</w:t>
            </w:r>
          </w:p>
        </w:tc>
      </w:tr>
      <w:tr w:rsidR="00B20FAE" w:rsidRPr="00674790" w14:paraId="31744E3E" w14:textId="77777777" w:rsidTr="006F13D3">
        <w:trPr>
          <w:trHeight w:val="165"/>
        </w:trPr>
        <w:tc>
          <w:tcPr>
            <w:tcW w:w="2559" w:type="pct"/>
            <w:gridSpan w:val="2"/>
            <w:shd w:val="clear" w:color="auto" w:fill="auto"/>
          </w:tcPr>
          <w:p w14:paraId="26BD848C"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Total</w:t>
            </w:r>
          </w:p>
        </w:tc>
        <w:tc>
          <w:tcPr>
            <w:tcW w:w="613" w:type="pct"/>
            <w:shd w:val="clear" w:color="auto" w:fill="auto"/>
          </w:tcPr>
          <w:p w14:paraId="4F92C6C0"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613" w:type="pct"/>
            <w:shd w:val="clear" w:color="auto" w:fill="auto"/>
          </w:tcPr>
          <w:p w14:paraId="4CDF9010"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507" w:type="pct"/>
            <w:shd w:val="clear" w:color="auto" w:fill="auto"/>
          </w:tcPr>
          <w:p w14:paraId="37A68743"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708" w:type="pct"/>
            <w:shd w:val="clear" w:color="auto" w:fill="auto"/>
          </w:tcPr>
          <w:p w14:paraId="0A9FD9D4"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741620.00</w:t>
            </w:r>
          </w:p>
        </w:tc>
      </w:tr>
      <w:tr w:rsidR="00B20FAE" w:rsidRPr="00674790" w14:paraId="786A7B17" w14:textId="77777777" w:rsidTr="006F13D3">
        <w:trPr>
          <w:trHeight w:val="180"/>
        </w:trPr>
        <w:tc>
          <w:tcPr>
            <w:tcW w:w="2559" w:type="pct"/>
            <w:gridSpan w:val="2"/>
            <w:shd w:val="clear" w:color="auto" w:fill="auto"/>
          </w:tcPr>
          <w:p w14:paraId="55EA6B27"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VAT (15%)</w:t>
            </w:r>
          </w:p>
        </w:tc>
        <w:tc>
          <w:tcPr>
            <w:tcW w:w="613" w:type="pct"/>
            <w:shd w:val="clear" w:color="auto" w:fill="auto"/>
          </w:tcPr>
          <w:p w14:paraId="1D1D8DB6"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613" w:type="pct"/>
            <w:shd w:val="clear" w:color="auto" w:fill="auto"/>
          </w:tcPr>
          <w:p w14:paraId="11D25118"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507" w:type="pct"/>
            <w:shd w:val="clear" w:color="auto" w:fill="auto"/>
          </w:tcPr>
          <w:p w14:paraId="4C7DAE41"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p>
        </w:tc>
        <w:tc>
          <w:tcPr>
            <w:tcW w:w="708" w:type="pct"/>
            <w:shd w:val="clear" w:color="auto" w:fill="auto"/>
          </w:tcPr>
          <w:p w14:paraId="0C92D7B9"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111243.00</w:t>
            </w:r>
          </w:p>
        </w:tc>
      </w:tr>
      <w:tr w:rsidR="00B20FAE" w:rsidRPr="00674790" w14:paraId="4970B7B2" w14:textId="77777777" w:rsidTr="006F13D3">
        <w:tc>
          <w:tcPr>
            <w:tcW w:w="4292" w:type="pct"/>
            <w:gridSpan w:val="5"/>
            <w:shd w:val="clear" w:color="auto" w:fill="auto"/>
          </w:tcPr>
          <w:p w14:paraId="28012BF9"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Grand Total</w:t>
            </w:r>
          </w:p>
        </w:tc>
        <w:tc>
          <w:tcPr>
            <w:tcW w:w="708" w:type="pct"/>
            <w:shd w:val="clear" w:color="auto" w:fill="auto"/>
          </w:tcPr>
          <w:p w14:paraId="5000CACB" w14:textId="77777777" w:rsidR="00B20FAE" w:rsidRPr="00674790" w:rsidRDefault="00B20FAE" w:rsidP="00674790">
            <w:pPr>
              <w:pStyle w:val="ListParagraph"/>
              <w:spacing w:after="0" w:line="480" w:lineRule="auto"/>
              <w:ind w:left="0"/>
              <w:jc w:val="both"/>
              <w:rPr>
                <w:rFonts w:ascii="Times New Roman" w:hAnsi="Times New Roman" w:cs="Times New Roman"/>
                <w:sz w:val="24"/>
                <w:szCs w:val="24"/>
              </w:rPr>
            </w:pPr>
            <w:r w:rsidRPr="00674790">
              <w:rPr>
                <w:rFonts w:ascii="Times New Roman" w:hAnsi="Times New Roman" w:cs="Times New Roman"/>
                <w:sz w:val="24"/>
                <w:szCs w:val="24"/>
              </w:rPr>
              <w:t>8,52,863.00</w:t>
            </w:r>
          </w:p>
        </w:tc>
      </w:tr>
    </w:tbl>
    <w:p w14:paraId="0443FB5D" w14:textId="77777777" w:rsidR="00B20FAE" w:rsidRPr="00674790" w:rsidRDefault="00B20FAE" w:rsidP="00674790">
      <w:pPr>
        <w:pStyle w:val="ListParagraph"/>
        <w:spacing w:line="480" w:lineRule="auto"/>
        <w:ind w:left="0"/>
        <w:jc w:val="both"/>
        <w:rPr>
          <w:rFonts w:ascii="Times New Roman" w:hAnsi="Times New Roman" w:cs="Times New Roman"/>
          <w:sz w:val="24"/>
          <w:szCs w:val="24"/>
        </w:rPr>
      </w:pPr>
      <w:r w:rsidRPr="00674790">
        <w:rPr>
          <w:rFonts w:ascii="Times New Roman" w:hAnsi="Times New Roman" w:cs="Times New Roman"/>
          <w:b/>
          <w:sz w:val="24"/>
          <w:szCs w:val="24"/>
        </w:rPr>
        <w:t>(USD 10,000=BDT8, 59,957.90 at Dated: 24-02-2022)</w:t>
      </w:r>
    </w:p>
    <w:p w14:paraId="3F0ECE24" w14:textId="77777777" w:rsidR="005F0AD6" w:rsidRPr="00674790" w:rsidRDefault="005F0AD6" w:rsidP="00674790">
      <w:pPr>
        <w:spacing w:after="0" w:line="480" w:lineRule="auto"/>
        <w:jc w:val="both"/>
        <w:rPr>
          <w:rFonts w:ascii="Times New Roman" w:hAnsi="Times New Roman" w:cs="Times New Roman"/>
          <w:sz w:val="24"/>
          <w:szCs w:val="24"/>
        </w:rPr>
      </w:pPr>
    </w:p>
    <w:p w14:paraId="36070D20" w14:textId="77777777" w:rsidR="007E6732" w:rsidRPr="00674790" w:rsidRDefault="007E6732" w:rsidP="00674790">
      <w:pPr>
        <w:spacing w:after="0" w:line="480" w:lineRule="auto"/>
        <w:jc w:val="both"/>
        <w:rPr>
          <w:rFonts w:ascii="Times New Roman" w:hAnsi="Times New Roman" w:cs="Times New Roman"/>
          <w:sz w:val="24"/>
          <w:szCs w:val="24"/>
        </w:rPr>
      </w:pPr>
    </w:p>
    <w:p w14:paraId="48153753" w14:textId="77777777" w:rsidR="0069286A" w:rsidRPr="00674790" w:rsidRDefault="005F0AD6" w:rsidP="00674790">
      <w:pPr>
        <w:spacing w:line="480" w:lineRule="auto"/>
        <w:jc w:val="both"/>
        <w:rPr>
          <w:rFonts w:ascii="Times New Roman" w:hAnsi="Times New Roman" w:cs="Times New Roman"/>
          <w:b/>
          <w:sz w:val="24"/>
          <w:szCs w:val="24"/>
        </w:rPr>
      </w:pPr>
      <w:r w:rsidRPr="00674790">
        <w:rPr>
          <w:rFonts w:ascii="Times New Roman" w:hAnsi="Times New Roman" w:cs="Times New Roman"/>
          <w:b/>
          <w:sz w:val="24"/>
          <w:szCs w:val="24"/>
        </w:rPr>
        <w:t>References</w:t>
      </w:r>
    </w:p>
    <w:bookmarkStart w:id="9" w:name="_Hlk118834443"/>
    <w:p w14:paraId="6A4B33F3" w14:textId="4A230E0E"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b/>
          <w:sz w:val="24"/>
          <w:szCs w:val="24"/>
        </w:rPr>
        <w:fldChar w:fldCharType="begin" w:fldLock="1"/>
      </w:r>
      <w:r w:rsidRPr="00674790">
        <w:rPr>
          <w:rFonts w:ascii="Times New Roman" w:hAnsi="Times New Roman" w:cs="Times New Roman"/>
          <w:b/>
          <w:sz w:val="24"/>
          <w:szCs w:val="24"/>
        </w:rPr>
        <w:instrText xml:space="preserve">ADDIN Mendeley Bibliography CSL_BIBLIOGRAPHY </w:instrText>
      </w:r>
      <w:r w:rsidRPr="00674790">
        <w:rPr>
          <w:rFonts w:ascii="Times New Roman" w:hAnsi="Times New Roman" w:cs="Times New Roman"/>
          <w:b/>
          <w:sz w:val="24"/>
          <w:szCs w:val="24"/>
        </w:rPr>
        <w:fldChar w:fldCharType="separate"/>
      </w:r>
      <w:r w:rsidRPr="00674790">
        <w:rPr>
          <w:rFonts w:ascii="Times New Roman" w:hAnsi="Times New Roman" w:cs="Times New Roman"/>
          <w:noProof/>
          <w:sz w:val="24"/>
          <w:szCs w:val="24"/>
        </w:rPr>
        <w:t xml:space="preserve">1. </w:t>
      </w:r>
      <w:r w:rsidRPr="00674790">
        <w:rPr>
          <w:rFonts w:ascii="Times New Roman" w:hAnsi="Times New Roman" w:cs="Times New Roman"/>
          <w:noProof/>
          <w:sz w:val="24"/>
          <w:szCs w:val="24"/>
        </w:rPr>
        <w:tab/>
        <w:t xml:space="preserve">Boffetta P, Hecht S, Gray N, Gupta P, Straif K. Smokeless tobacco and cancer. The Lancet Oncology. 2008;9(7):667–75. </w:t>
      </w:r>
    </w:p>
    <w:p w14:paraId="6214E5A4"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2. </w:t>
      </w:r>
      <w:r w:rsidRPr="00674790">
        <w:rPr>
          <w:rFonts w:ascii="Times New Roman" w:hAnsi="Times New Roman" w:cs="Times New Roman"/>
          <w:noProof/>
          <w:sz w:val="24"/>
          <w:szCs w:val="24"/>
        </w:rPr>
        <w:tab/>
        <w:t xml:space="preserve">Alguacil J, Silverman DT. Smokeless and Other Noncigarette Tobacco Use and Pancreatic Cancer: A Case-Control Study Based on Direct Interviews. Cancer Epidemiology Biomarkers and Prevention. 2004 Jan;13(1):55–8. </w:t>
      </w:r>
    </w:p>
    <w:p w14:paraId="56BAA1CA"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3. </w:t>
      </w:r>
      <w:r w:rsidRPr="00674790">
        <w:rPr>
          <w:rFonts w:ascii="Times New Roman" w:hAnsi="Times New Roman" w:cs="Times New Roman"/>
          <w:noProof/>
          <w:sz w:val="24"/>
          <w:szCs w:val="24"/>
        </w:rPr>
        <w:tab/>
        <w:t xml:space="preserve">Boffetta P, Aagnes B, Weiderpass E, Andersen A. Smokeless tobacco use and risk of cancer of the pancreas and other organs. International Journal of Cancer. 2005 May 10;114(6):992–5. </w:t>
      </w:r>
    </w:p>
    <w:p w14:paraId="50DD9AB9"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4. </w:t>
      </w:r>
      <w:r w:rsidRPr="00674790">
        <w:rPr>
          <w:rFonts w:ascii="Times New Roman" w:hAnsi="Times New Roman" w:cs="Times New Roman"/>
          <w:noProof/>
          <w:sz w:val="24"/>
          <w:szCs w:val="24"/>
        </w:rPr>
        <w:tab/>
        <w:t xml:space="preserve">Accortt NA, Waterbor JW, Beall C, Howard G. Cancer incidence among a cohort of smokeless tobacco users (United States). Cancer Causes and Control. 2005 </w:t>
      </w:r>
      <w:r w:rsidRPr="00674790">
        <w:rPr>
          <w:rFonts w:ascii="Times New Roman" w:hAnsi="Times New Roman" w:cs="Times New Roman"/>
          <w:noProof/>
          <w:sz w:val="24"/>
          <w:szCs w:val="24"/>
        </w:rPr>
        <w:lastRenderedPageBreak/>
        <w:t xml:space="preserve">Nov;16(9):1107–15. </w:t>
      </w:r>
    </w:p>
    <w:p w14:paraId="60858AF7"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5. </w:t>
      </w:r>
      <w:r w:rsidRPr="00674790">
        <w:rPr>
          <w:rFonts w:ascii="Times New Roman" w:hAnsi="Times New Roman" w:cs="Times New Roman"/>
          <w:noProof/>
          <w:sz w:val="24"/>
          <w:szCs w:val="24"/>
        </w:rPr>
        <w:tab/>
        <w:t>Kumar A, Bhartiya D, Kaur J, Kumari S, Singh H, Saraf D, et al. Regulation of toxic contents of smokeless tobacco products. The Indian Journal of Medical Research [Internet]. 2018 Jul 1 [cited 2022 Nov 8];148(1):14. Available from: /pmc/articles/PMC6172907/</w:t>
      </w:r>
    </w:p>
    <w:p w14:paraId="7E3104D0"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6. </w:t>
      </w:r>
      <w:r w:rsidRPr="00674790">
        <w:rPr>
          <w:rFonts w:ascii="Times New Roman" w:hAnsi="Times New Roman" w:cs="Times New Roman"/>
          <w:noProof/>
          <w:sz w:val="24"/>
          <w:szCs w:val="24"/>
        </w:rPr>
        <w:tab/>
        <w:t>Stanfill SB, Connolly GN, Zhang L, Jia LT, Henningfield JE, Richter P, et al. Global surveillance of oral tobacco products: total nicotine, unionised nicotine and tobacco-specific N-nitrosamines. Tobacco control [Internet]. 2011 May [cited 2022 Nov 8];20(3):1–10. Available from: https://pubmed.ncbi.nlm.nih.gov/21109685/</w:t>
      </w:r>
    </w:p>
    <w:p w14:paraId="39928CA9"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7. </w:t>
      </w:r>
      <w:r w:rsidRPr="00674790">
        <w:rPr>
          <w:rFonts w:ascii="Times New Roman" w:hAnsi="Times New Roman" w:cs="Times New Roman"/>
          <w:noProof/>
          <w:sz w:val="24"/>
          <w:szCs w:val="24"/>
        </w:rPr>
        <w:tab/>
        <w:t>Sankhla B, Kachhwaha K, Hussain SY, Saxena S, Sireesha SK, Bhargava A. Genotoxic and Carcinogenic Effect of Gutkha: A Fast-growing Smokeless Tobacco. Addiction &amp; health [Internet]. 2018 Jan [cited 2022 Nov 8];10(1):52–63. Available from: https://pubmed.ncbi.nlm.nih.gov/30627385/</w:t>
      </w:r>
    </w:p>
    <w:p w14:paraId="462AF4DA"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8. </w:t>
      </w:r>
      <w:r w:rsidRPr="00674790">
        <w:rPr>
          <w:rFonts w:ascii="Times New Roman" w:hAnsi="Times New Roman" w:cs="Times New Roman"/>
          <w:noProof/>
          <w:sz w:val="24"/>
          <w:szCs w:val="24"/>
        </w:rPr>
        <w:tab/>
        <w:t>Grover S, Sinha DN, Gupta S, Gupta PC, Mehrotra R. The changing face of risk factors for non-communicable disease in Myanmar: findings from the 2009 and 2014 WHO STEP Surveys. Journal of public health (Oxford, England) [Internet]. 2019 Dec 1 [cited 2022 Nov 8];41(4):750–6. Available from: https://pubmed.ncbi.nlm.nih.gov/30321380/</w:t>
      </w:r>
    </w:p>
    <w:p w14:paraId="790037A4"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9. </w:t>
      </w:r>
      <w:r w:rsidRPr="00674790">
        <w:rPr>
          <w:rFonts w:ascii="Times New Roman" w:hAnsi="Times New Roman" w:cs="Times New Roman"/>
          <w:noProof/>
          <w:sz w:val="24"/>
          <w:szCs w:val="24"/>
        </w:rPr>
        <w:tab/>
        <w:t>Johnson KC, Miller AB, Collishaw NE, Palmer JR, Hammond SK, Salmon AG, et al. Active smoking and secondhand smoke increase breast cancer risk: the report of the Canadian Expert Panel on Tobacco Smoke and Breast Cancer Risk (2009). Tobacco Control [Internet]. 2011 Jan 1 [cited 2022 Nov 8];20(1):e2–e2. Available from: https://tobaccocontrol.bmj.com/content/20/1/e2</w:t>
      </w:r>
    </w:p>
    <w:p w14:paraId="186396BA"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10. </w:t>
      </w:r>
      <w:r w:rsidRPr="00674790">
        <w:rPr>
          <w:rFonts w:ascii="Times New Roman" w:hAnsi="Times New Roman" w:cs="Times New Roman"/>
          <w:noProof/>
          <w:sz w:val="24"/>
          <w:szCs w:val="24"/>
        </w:rPr>
        <w:tab/>
        <w:t xml:space="preserve">Huque R, Zaman MM, Huq SM, Sinha DN. Smokeless tobacco and public health in Bangladesh. Indian journal of public health [Internet]. 2017 Sep 1 [cited 2022 Nov </w:t>
      </w:r>
      <w:r w:rsidRPr="00674790">
        <w:rPr>
          <w:rFonts w:ascii="Times New Roman" w:hAnsi="Times New Roman" w:cs="Times New Roman"/>
          <w:noProof/>
          <w:sz w:val="24"/>
          <w:szCs w:val="24"/>
        </w:rPr>
        <w:lastRenderedPageBreak/>
        <w:t>8];61(Suppl 1):S18–24. Available from: https://pubmed.ncbi.nlm.nih.gov/28928314/</w:t>
      </w:r>
    </w:p>
    <w:p w14:paraId="3F9A12B2"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11. </w:t>
      </w:r>
      <w:r w:rsidRPr="00674790">
        <w:rPr>
          <w:rFonts w:ascii="Times New Roman" w:hAnsi="Times New Roman" w:cs="Times New Roman"/>
          <w:noProof/>
          <w:sz w:val="24"/>
          <w:szCs w:val="24"/>
        </w:rPr>
        <w:tab/>
        <w:t>CDC. Global Adult Tobacco Survey: Bangladesh 2017 Fact Sheet. 2018; Available from: http://bbs.portal.gov.bd/sites/default/files/files/bbs.portal.gov.bd/page/57def76a_aa3c_46e3_9f80_53732eb94a83/GATS_BAN_2017_Fact Sheet.pdf</w:t>
      </w:r>
    </w:p>
    <w:p w14:paraId="14CC0830"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12. </w:t>
      </w:r>
      <w:r w:rsidRPr="00674790">
        <w:rPr>
          <w:rFonts w:ascii="Times New Roman" w:hAnsi="Times New Roman" w:cs="Times New Roman"/>
          <w:noProof/>
          <w:sz w:val="24"/>
          <w:szCs w:val="24"/>
        </w:rPr>
        <w:tab/>
        <w:t>National Cancer Institute and Centers for Disease Control and Prevention. Smokeless Tobacco and Public Health: A Global Perspective. US Department of Health and Human Services, Centers for Disease Control and Prevention and National Institutes of Health, National Cancer Institute NIH Publication [Internet]. 2014;14–7983. Available from: https://stacks.cdc.gov/view/cdc/43373</w:t>
      </w:r>
    </w:p>
    <w:p w14:paraId="7262E4E3"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13. </w:t>
      </w:r>
      <w:r w:rsidRPr="00674790">
        <w:rPr>
          <w:rFonts w:ascii="Times New Roman" w:hAnsi="Times New Roman" w:cs="Times New Roman"/>
          <w:noProof/>
          <w:sz w:val="24"/>
          <w:szCs w:val="24"/>
        </w:rPr>
        <w:tab/>
        <w:t>Siddiqi K, Mishu MP. Smokeless tobacco: Why does it need special attention? Respirology (Carlton, Vic) [Internet]. 2019 Aug 1 [cited 2022 Nov 8];24(8):720–1. Available from: https://pubmed.ncbi.nlm.nih.gov/31195425/</w:t>
      </w:r>
    </w:p>
    <w:p w14:paraId="56F3D54B"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14. </w:t>
      </w:r>
      <w:r w:rsidRPr="00674790">
        <w:rPr>
          <w:rFonts w:ascii="Times New Roman" w:hAnsi="Times New Roman" w:cs="Times New Roman"/>
          <w:noProof/>
          <w:sz w:val="24"/>
          <w:szCs w:val="24"/>
        </w:rPr>
        <w:tab/>
        <w:t>Nasrin S, Chen G, Watson CJW, Lazarus P. Comparison of tobacco-specific nitrosamine levels in smokeless tobacco products: High levels in products from Bangladesh. 2020 [cited 2022 Nov 8]; Available from: https://doi.org/10.1371/journal.pone.0233111</w:t>
      </w:r>
    </w:p>
    <w:p w14:paraId="634A8FC3"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15. </w:t>
      </w:r>
      <w:r w:rsidRPr="00674790">
        <w:rPr>
          <w:rFonts w:ascii="Times New Roman" w:hAnsi="Times New Roman" w:cs="Times New Roman"/>
          <w:noProof/>
          <w:sz w:val="24"/>
          <w:szCs w:val="24"/>
        </w:rPr>
        <w:tab/>
        <w:t xml:space="preserve">Noar SM, Hall MG, Francis DB, Ribis KM, Pepper JK, Brewer NT. Pictorial cigarette pack warnings: A meta-analysis of experimental studies. Tobacco Control. 2016;25(3):341–54. </w:t>
      </w:r>
    </w:p>
    <w:p w14:paraId="3E7A0CCC"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16. </w:t>
      </w:r>
      <w:r w:rsidRPr="00674790">
        <w:rPr>
          <w:rFonts w:ascii="Times New Roman" w:hAnsi="Times New Roman" w:cs="Times New Roman"/>
          <w:noProof/>
          <w:sz w:val="24"/>
          <w:szCs w:val="24"/>
        </w:rPr>
        <w:tab/>
        <w:t xml:space="preserve">Wang AL, Romer D, Elman I, Strasser AA, Turetsky BI, Gur RC, et al. Emotional graphic cigarette warning labels reduce the electrophysiological brain response to smoking cues. Addiction Biology. 2015;20(2):368–76. </w:t>
      </w:r>
    </w:p>
    <w:p w14:paraId="6B49C998"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17. </w:t>
      </w:r>
      <w:r w:rsidRPr="00674790">
        <w:rPr>
          <w:rFonts w:ascii="Times New Roman" w:hAnsi="Times New Roman" w:cs="Times New Roman"/>
          <w:noProof/>
          <w:sz w:val="24"/>
          <w:szCs w:val="24"/>
        </w:rPr>
        <w:tab/>
        <w:t xml:space="preserve">Wakefield M, Letcher T. My pack is cuter than your pack. Tobacco Control. </w:t>
      </w:r>
      <w:r w:rsidRPr="00674790">
        <w:rPr>
          <w:rFonts w:ascii="Times New Roman" w:hAnsi="Times New Roman" w:cs="Times New Roman"/>
          <w:noProof/>
          <w:sz w:val="24"/>
          <w:szCs w:val="24"/>
        </w:rPr>
        <w:lastRenderedPageBreak/>
        <w:t xml:space="preserve">2002;11(2):154–6. </w:t>
      </w:r>
    </w:p>
    <w:p w14:paraId="08C7C41C"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18. </w:t>
      </w:r>
      <w:r w:rsidRPr="00674790">
        <w:rPr>
          <w:rFonts w:ascii="Times New Roman" w:hAnsi="Times New Roman" w:cs="Times New Roman"/>
          <w:noProof/>
          <w:sz w:val="24"/>
          <w:szCs w:val="24"/>
        </w:rPr>
        <w:tab/>
        <w:t>C Gupta P, S Ray C. Smokeless tobacco and health in India and South Asia. Respirology [Internet]. 2003; Available from: https://www.hri.global/files/2011/07/13/Gupta_-_Smokeless_Tobacco_Health_in_India.pdf</w:t>
      </w:r>
    </w:p>
    <w:p w14:paraId="72BB0B42"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19. </w:t>
      </w:r>
      <w:r w:rsidRPr="00674790">
        <w:rPr>
          <w:rFonts w:ascii="Times New Roman" w:hAnsi="Times New Roman" w:cs="Times New Roman"/>
          <w:noProof/>
          <w:sz w:val="24"/>
          <w:szCs w:val="24"/>
        </w:rPr>
        <w:tab/>
        <w:t xml:space="preserve">Stockman JA. Mortality in Relation to Smoking: 50 Years’ Observations on Male British Doctors. Yearbook of Pediatrics. 2006;2006:498–500. </w:t>
      </w:r>
    </w:p>
    <w:p w14:paraId="0CABDFD0" w14:textId="77777777" w:rsidR="0069286A" w:rsidRPr="00674790" w:rsidRDefault="0069286A" w:rsidP="00674790">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674790">
        <w:rPr>
          <w:rFonts w:ascii="Times New Roman" w:hAnsi="Times New Roman" w:cs="Times New Roman"/>
          <w:noProof/>
          <w:sz w:val="24"/>
          <w:szCs w:val="24"/>
        </w:rPr>
        <w:t xml:space="preserve">20. </w:t>
      </w:r>
      <w:r w:rsidRPr="00674790">
        <w:rPr>
          <w:rFonts w:ascii="Times New Roman" w:hAnsi="Times New Roman" w:cs="Times New Roman"/>
          <w:noProof/>
          <w:sz w:val="24"/>
          <w:szCs w:val="24"/>
        </w:rPr>
        <w:tab/>
        <w:t xml:space="preserve">Hammond D. Health warning messages on tobacco products: A review. Tobacco Control. 2011;20(5):327–37. </w:t>
      </w:r>
    </w:p>
    <w:p w14:paraId="54D942A7" w14:textId="0E115629" w:rsidR="00942E68" w:rsidRPr="00674790" w:rsidRDefault="0069286A" w:rsidP="00674790">
      <w:pPr>
        <w:spacing w:line="480" w:lineRule="auto"/>
        <w:jc w:val="both"/>
        <w:rPr>
          <w:rFonts w:ascii="Times New Roman" w:hAnsi="Times New Roman" w:cs="Times New Roman"/>
          <w:b/>
          <w:sz w:val="24"/>
          <w:szCs w:val="24"/>
        </w:rPr>
      </w:pPr>
      <w:r w:rsidRPr="00674790">
        <w:rPr>
          <w:rFonts w:ascii="Times New Roman" w:hAnsi="Times New Roman" w:cs="Times New Roman"/>
          <w:b/>
          <w:sz w:val="24"/>
          <w:szCs w:val="24"/>
        </w:rPr>
        <w:fldChar w:fldCharType="end"/>
      </w:r>
      <w:bookmarkEnd w:id="9"/>
    </w:p>
    <w:sectPr w:rsidR="00942E68" w:rsidRPr="00674790" w:rsidSect="009F26BA">
      <w:footerReference w:type="defaul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E22D5" w14:textId="77777777" w:rsidR="00277C72" w:rsidRDefault="00277C72" w:rsidP="00075474">
      <w:pPr>
        <w:spacing w:after="0" w:line="240" w:lineRule="auto"/>
      </w:pPr>
      <w:r>
        <w:separator/>
      </w:r>
    </w:p>
  </w:endnote>
  <w:endnote w:type="continuationSeparator" w:id="0">
    <w:p w14:paraId="6808C278" w14:textId="77777777" w:rsidR="00277C72" w:rsidRDefault="00277C72" w:rsidP="0007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741459"/>
      <w:docPartObj>
        <w:docPartGallery w:val="Page Numbers (Bottom of Page)"/>
        <w:docPartUnique/>
      </w:docPartObj>
    </w:sdtPr>
    <w:sdtContent>
      <w:p w14:paraId="100E2B32" w14:textId="77777777" w:rsidR="009F26BA" w:rsidRDefault="006F13D3">
        <w:pPr>
          <w:pStyle w:val="Footer"/>
          <w:jc w:val="center"/>
        </w:pPr>
        <w:r>
          <w:fldChar w:fldCharType="begin"/>
        </w:r>
        <w:r>
          <w:instrText xml:space="preserve"> PAGE   \* MERGEFORMAT </w:instrText>
        </w:r>
        <w:r>
          <w:fldChar w:fldCharType="separate"/>
        </w:r>
        <w:r w:rsidR="00C6006B">
          <w:rPr>
            <w:noProof/>
          </w:rPr>
          <w:t>13</w:t>
        </w:r>
        <w:r>
          <w:rPr>
            <w:noProof/>
          </w:rPr>
          <w:fldChar w:fldCharType="end"/>
        </w:r>
      </w:p>
    </w:sdtContent>
  </w:sdt>
  <w:p w14:paraId="0A9BD118" w14:textId="77777777" w:rsidR="009F26BA" w:rsidRDefault="009F2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46145" w14:textId="77777777" w:rsidR="00277C72" w:rsidRDefault="00277C72" w:rsidP="00075474">
      <w:pPr>
        <w:spacing w:after="0" w:line="240" w:lineRule="auto"/>
      </w:pPr>
      <w:r>
        <w:separator/>
      </w:r>
    </w:p>
  </w:footnote>
  <w:footnote w:type="continuationSeparator" w:id="0">
    <w:p w14:paraId="355C850D" w14:textId="77777777" w:rsidR="00277C72" w:rsidRDefault="00277C72" w:rsidP="00075474">
      <w:pPr>
        <w:spacing w:after="0" w:line="240" w:lineRule="auto"/>
      </w:pPr>
      <w:r>
        <w:continuationSeparator/>
      </w:r>
    </w:p>
  </w:footnote>
  <w:footnote w:id="1">
    <w:p w14:paraId="012E5006" w14:textId="77777777" w:rsidR="008156DC" w:rsidRPr="002A66AB" w:rsidRDefault="008156DC" w:rsidP="002A66AB">
      <w:pPr>
        <w:spacing w:line="240" w:lineRule="auto"/>
        <w:jc w:val="both"/>
        <w:rPr>
          <w:rFonts w:ascii="Times New Roman" w:hAnsi="Times New Roman" w:cs="Times New Roman"/>
          <w:bCs/>
          <w:sz w:val="20"/>
          <w:szCs w:val="20"/>
        </w:rPr>
      </w:pPr>
      <w:r w:rsidRPr="00C156AC">
        <w:rPr>
          <w:rStyle w:val="FootnoteReference"/>
        </w:rPr>
        <w:footnoteRef/>
      </w:r>
      <w:r w:rsidRPr="00C156AC">
        <w:rPr>
          <w:sz w:val="20"/>
        </w:rPr>
        <w:t xml:space="preserve"> </w:t>
      </w:r>
      <w:r w:rsidRPr="002A66AB">
        <w:rPr>
          <w:rFonts w:ascii="Times New Roman" w:hAnsi="Times New Roman" w:cs="Times New Roman"/>
          <w:bCs/>
          <w:sz w:val="20"/>
          <w:szCs w:val="20"/>
        </w:rPr>
        <w:t>Agresti, A. (1996), “An Introduction to Categorical Analysis”, Wiley Series in Probability and Statistics, John Wiley and Sons Inc.</w:t>
      </w:r>
    </w:p>
    <w:p w14:paraId="68C0ACCD" w14:textId="77777777" w:rsidR="008156DC" w:rsidRPr="002A66AB" w:rsidRDefault="008156DC" w:rsidP="002A66AB">
      <w:pPr>
        <w:spacing w:line="240" w:lineRule="auto"/>
        <w:jc w:val="both"/>
        <w:rPr>
          <w:rFonts w:ascii="Times New Roman" w:hAnsi="Times New Roman" w:cs="Times New Roman"/>
          <w:sz w:val="20"/>
          <w:szCs w:val="20"/>
        </w:rPr>
      </w:pPr>
      <w:r w:rsidRPr="002A66AB">
        <w:rPr>
          <w:rFonts w:ascii="Times New Roman" w:hAnsi="Times New Roman" w:cs="Times New Roman"/>
          <w:sz w:val="20"/>
          <w:szCs w:val="20"/>
        </w:rPr>
        <w:t xml:space="preserve">   Hosmer D.W. &amp; S. Lemeshow (2000), “Applied Logistic Regression”, John Wiley &amp; Sons, Inc.</w:t>
      </w:r>
    </w:p>
    <w:p w14:paraId="42B21E46" w14:textId="77777777" w:rsidR="008156DC" w:rsidRPr="00547F7F" w:rsidRDefault="008156DC" w:rsidP="00F332E6">
      <w:pPr>
        <w:pStyle w:val="FootnoteText"/>
        <w:rPr>
          <w:sz w:val="18"/>
          <w:szCs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7BA7"/>
    <w:multiLevelType w:val="hybridMultilevel"/>
    <w:tmpl w:val="8D3E0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A24BB"/>
    <w:multiLevelType w:val="hybridMultilevel"/>
    <w:tmpl w:val="D9FE791E"/>
    <w:lvl w:ilvl="0" w:tplc="FBCE94E0">
      <w:start w:val="1"/>
      <w:numFmt w:val="decimal"/>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D2932"/>
    <w:multiLevelType w:val="hybridMultilevel"/>
    <w:tmpl w:val="82100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40958"/>
    <w:multiLevelType w:val="hybridMultilevel"/>
    <w:tmpl w:val="7B4C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07337"/>
    <w:multiLevelType w:val="hybridMultilevel"/>
    <w:tmpl w:val="FF8065D6"/>
    <w:lvl w:ilvl="0" w:tplc="AE324BBC">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B0EE2"/>
    <w:multiLevelType w:val="hybridMultilevel"/>
    <w:tmpl w:val="325A0970"/>
    <w:lvl w:ilvl="0" w:tplc="F0F0AD6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26401A"/>
    <w:multiLevelType w:val="hybridMultilevel"/>
    <w:tmpl w:val="E0BABF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95385"/>
    <w:multiLevelType w:val="hybridMultilevel"/>
    <w:tmpl w:val="D91A48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50B17"/>
    <w:multiLevelType w:val="hybridMultilevel"/>
    <w:tmpl w:val="DE642F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319C5"/>
    <w:multiLevelType w:val="hybridMultilevel"/>
    <w:tmpl w:val="B55C2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06E7F"/>
    <w:multiLevelType w:val="hybridMultilevel"/>
    <w:tmpl w:val="8ACA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8423F"/>
    <w:multiLevelType w:val="hybridMultilevel"/>
    <w:tmpl w:val="2E724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15679C"/>
    <w:multiLevelType w:val="hybridMultilevel"/>
    <w:tmpl w:val="DE642F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D4F0F"/>
    <w:multiLevelType w:val="hybridMultilevel"/>
    <w:tmpl w:val="4E7EC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84A4D"/>
    <w:multiLevelType w:val="hybridMultilevel"/>
    <w:tmpl w:val="DE642F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746731">
    <w:abstractNumId w:val="0"/>
  </w:num>
  <w:num w:numId="2" w16cid:durableId="1475097309">
    <w:abstractNumId w:val="11"/>
  </w:num>
  <w:num w:numId="3" w16cid:durableId="890849081">
    <w:abstractNumId w:val="8"/>
  </w:num>
  <w:num w:numId="4" w16cid:durableId="1118257255">
    <w:abstractNumId w:val="13"/>
  </w:num>
  <w:num w:numId="5" w16cid:durableId="1877040905">
    <w:abstractNumId w:val="3"/>
  </w:num>
  <w:num w:numId="6" w16cid:durableId="1164737452">
    <w:abstractNumId w:val="10"/>
  </w:num>
  <w:num w:numId="7" w16cid:durableId="556283138">
    <w:abstractNumId w:val="9"/>
  </w:num>
  <w:num w:numId="8" w16cid:durableId="1600212245">
    <w:abstractNumId w:val="2"/>
  </w:num>
  <w:num w:numId="9" w16cid:durableId="658390809">
    <w:abstractNumId w:val="1"/>
  </w:num>
  <w:num w:numId="10" w16cid:durableId="329991171">
    <w:abstractNumId w:val="5"/>
  </w:num>
  <w:num w:numId="11" w16cid:durableId="2060981296">
    <w:abstractNumId w:val="12"/>
  </w:num>
  <w:num w:numId="12" w16cid:durableId="1623918746">
    <w:abstractNumId w:val="4"/>
  </w:num>
  <w:num w:numId="13" w16cid:durableId="1226647126">
    <w:abstractNumId w:val="14"/>
  </w:num>
  <w:num w:numId="14" w16cid:durableId="269701409">
    <w:abstractNumId w:val="6"/>
  </w:num>
  <w:num w:numId="15" w16cid:durableId="685986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32"/>
    <w:rsid w:val="00002EAE"/>
    <w:rsid w:val="000069A6"/>
    <w:rsid w:val="00016660"/>
    <w:rsid w:val="00022A95"/>
    <w:rsid w:val="000328B4"/>
    <w:rsid w:val="00037CFC"/>
    <w:rsid w:val="0005003F"/>
    <w:rsid w:val="00051F76"/>
    <w:rsid w:val="00051FD1"/>
    <w:rsid w:val="00064589"/>
    <w:rsid w:val="00075474"/>
    <w:rsid w:val="00093651"/>
    <w:rsid w:val="000A22CD"/>
    <w:rsid w:val="000A2755"/>
    <w:rsid w:val="000B2F4D"/>
    <w:rsid w:val="000B5945"/>
    <w:rsid w:val="000C1CEB"/>
    <w:rsid w:val="000C3502"/>
    <w:rsid w:val="000E5B01"/>
    <w:rsid w:val="000F33E5"/>
    <w:rsid w:val="00101B07"/>
    <w:rsid w:val="001030D4"/>
    <w:rsid w:val="001248AD"/>
    <w:rsid w:val="00125669"/>
    <w:rsid w:val="00135896"/>
    <w:rsid w:val="0014276E"/>
    <w:rsid w:val="00146786"/>
    <w:rsid w:val="001533B0"/>
    <w:rsid w:val="00162950"/>
    <w:rsid w:val="00164789"/>
    <w:rsid w:val="0017625A"/>
    <w:rsid w:val="0018441E"/>
    <w:rsid w:val="00192A96"/>
    <w:rsid w:val="001A1FCB"/>
    <w:rsid w:val="001B2C3E"/>
    <w:rsid w:val="001B489F"/>
    <w:rsid w:val="001B55F4"/>
    <w:rsid w:val="001D2783"/>
    <w:rsid w:val="001D7908"/>
    <w:rsid w:val="001E27C0"/>
    <w:rsid w:val="00213737"/>
    <w:rsid w:val="00221426"/>
    <w:rsid w:val="00224684"/>
    <w:rsid w:val="00231A56"/>
    <w:rsid w:val="00243AF5"/>
    <w:rsid w:val="00245A20"/>
    <w:rsid w:val="00260D6F"/>
    <w:rsid w:val="00263621"/>
    <w:rsid w:val="002766A9"/>
    <w:rsid w:val="00277078"/>
    <w:rsid w:val="00277C72"/>
    <w:rsid w:val="00293C66"/>
    <w:rsid w:val="002A1938"/>
    <w:rsid w:val="002A66AB"/>
    <w:rsid w:val="002B45F0"/>
    <w:rsid w:val="002B7CC5"/>
    <w:rsid w:val="002C256A"/>
    <w:rsid w:val="002D75B6"/>
    <w:rsid w:val="002F4937"/>
    <w:rsid w:val="003123AB"/>
    <w:rsid w:val="00330756"/>
    <w:rsid w:val="00355CBC"/>
    <w:rsid w:val="003651F3"/>
    <w:rsid w:val="00386DA1"/>
    <w:rsid w:val="00396544"/>
    <w:rsid w:val="00397325"/>
    <w:rsid w:val="003C08DC"/>
    <w:rsid w:val="003C3276"/>
    <w:rsid w:val="003C3297"/>
    <w:rsid w:val="003D2DB6"/>
    <w:rsid w:val="003D453D"/>
    <w:rsid w:val="003D5C38"/>
    <w:rsid w:val="003E732C"/>
    <w:rsid w:val="003F0064"/>
    <w:rsid w:val="003F5029"/>
    <w:rsid w:val="00406DA6"/>
    <w:rsid w:val="00417DA4"/>
    <w:rsid w:val="00425BA7"/>
    <w:rsid w:val="004425E9"/>
    <w:rsid w:val="0045076C"/>
    <w:rsid w:val="004557F1"/>
    <w:rsid w:val="00467867"/>
    <w:rsid w:val="00474E26"/>
    <w:rsid w:val="004B7872"/>
    <w:rsid w:val="004C0E47"/>
    <w:rsid w:val="004D6B52"/>
    <w:rsid w:val="004E2135"/>
    <w:rsid w:val="004E5B7D"/>
    <w:rsid w:val="004E65A3"/>
    <w:rsid w:val="005071F1"/>
    <w:rsid w:val="00507221"/>
    <w:rsid w:val="0051217D"/>
    <w:rsid w:val="00512EB7"/>
    <w:rsid w:val="0052645C"/>
    <w:rsid w:val="00532558"/>
    <w:rsid w:val="0054097F"/>
    <w:rsid w:val="00541248"/>
    <w:rsid w:val="005433C0"/>
    <w:rsid w:val="005471F5"/>
    <w:rsid w:val="00552C1D"/>
    <w:rsid w:val="0056514B"/>
    <w:rsid w:val="00566528"/>
    <w:rsid w:val="00570744"/>
    <w:rsid w:val="0057423A"/>
    <w:rsid w:val="005764A3"/>
    <w:rsid w:val="0059013A"/>
    <w:rsid w:val="00590526"/>
    <w:rsid w:val="00593233"/>
    <w:rsid w:val="005962AA"/>
    <w:rsid w:val="005976BA"/>
    <w:rsid w:val="005B22E0"/>
    <w:rsid w:val="005B2A40"/>
    <w:rsid w:val="005B68FF"/>
    <w:rsid w:val="005D253D"/>
    <w:rsid w:val="005E2FEA"/>
    <w:rsid w:val="005E3D76"/>
    <w:rsid w:val="005F0AD6"/>
    <w:rsid w:val="005F2803"/>
    <w:rsid w:val="005F4DA6"/>
    <w:rsid w:val="00607141"/>
    <w:rsid w:val="00610C4F"/>
    <w:rsid w:val="00624AF1"/>
    <w:rsid w:val="00624D77"/>
    <w:rsid w:val="00626A3B"/>
    <w:rsid w:val="006362A4"/>
    <w:rsid w:val="00637033"/>
    <w:rsid w:val="00674790"/>
    <w:rsid w:val="006748F8"/>
    <w:rsid w:val="006761B5"/>
    <w:rsid w:val="0069221E"/>
    <w:rsid w:val="0069286A"/>
    <w:rsid w:val="006953DD"/>
    <w:rsid w:val="006A20F5"/>
    <w:rsid w:val="006A55A5"/>
    <w:rsid w:val="006B061D"/>
    <w:rsid w:val="006B3697"/>
    <w:rsid w:val="006B7966"/>
    <w:rsid w:val="006C324F"/>
    <w:rsid w:val="006C6B16"/>
    <w:rsid w:val="006F13D3"/>
    <w:rsid w:val="0070761A"/>
    <w:rsid w:val="0071348D"/>
    <w:rsid w:val="007208B3"/>
    <w:rsid w:val="007314A7"/>
    <w:rsid w:val="00737AFD"/>
    <w:rsid w:val="00737B00"/>
    <w:rsid w:val="00743B5A"/>
    <w:rsid w:val="00747F60"/>
    <w:rsid w:val="00750DCD"/>
    <w:rsid w:val="00770430"/>
    <w:rsid w:val="00775A61"/>
    <w:rsid w:val="00777E25"/>
    <w:rsid w:val="00780923"/>
    <w:rsid w:val="00784713"/>
    <w:rsid w:val="00796921"/>
    <w:rsid w:val="007B0F98"/>
    <w:rsid w:val="007B26DC"/>
    <w:rsid w:val="007B5808"/>
    <w:rsid w:val="007C442B"/>
    <w:rsid w:val="007C5156"/>
    <w:rsid w:val="007E4103"/>
    <w:rsid w:val="007E6732"/>
    <w:rsid w:val="00805880"/>
    <w:rsid w:val="008156DC"/>
    <w:rsid w:val="008169E0"/>
    <w:rsid w:val="00834522"/>
    <w:rsid w:val="0083511A"/>
    <w:rsid w:val="00853894"/>
    <w:rsid w:val="008919F1"/>
    <w:rsid w:val="008A5E2E"/>
    <w:rsid w:val="008B44F5"/>
    <w:rsid w:val="008D1A63"/>
    <w:rsid w:val="008D7827"/>
    <w:rsid w:val="008F1A4D"/>
    <w:rsid w:val="008F559F"/>
    <w:rsid w:val="009203E2"/>
    <w:rsid w:val="00922689"/>
    <w:rsid w:val="00926F5A"/>
    <w:rsid w:val="00942E68"/>
    <w:rsid w:val="00961AD8"/>
    <w:rsid w:val="00970271"/>
    <w:rsid w:val="00972157"/>
    <w:rsid w:val="00977781"/>
    <w:rsid w:val="009834CB"/>
    <w:rsid w:val="00986BF4"/>
    <w:rsid w:val="009B65DB"/>
    <w:rsid w:val="009C2EAF"/>
    <w:rsid w:val="009D04C6"/>
    <w:rsid w:val="009D5F59"/>
    <w:rsid w:val="009E026D"/>
    <w:rsid w:val="009E15EE"/>
    <w:rsid w:val="009F26BA"/>
    <w:rsid w:val="009F469A"/>
    <w:rsid w:val="00A0465C"/>
    <w:rsid w:val="00A05F46"/>
    <w:rsid w:val="00A127DC"/>
    <w:rsid w:val="00A145F3"/>
    <w:rsid w:val="00A16C47"/>
    <w:rsid w:val="00A3029E"/>
    <w:rsid w:val="00A36988"/>
    <w:rsid w:val="00A443A6"/>
    <w:rsid w:val="00A71A51"/>
    <w:rsid w:val="00A90135"/>
    <w:rsid w:val="00A9143F"/>
    <w:rsid w:val="00AB5419"/>
    <w:rsid w:val="00AC2EA4"/>
    <w:rsid w:val="00AC6470"/>
    <w:rsid w:val="00AC68B9"/>
    <w:rsid w:val="00AD0DFD"/>
    <w:rsid w:val="00AE4665"/>
    <w:rsid w:val="00AE6A20"/>
    <w:rsid w:val="00AF7B46"/>
    <w:rsid w:val="00B00795"/>
    <w:rsid w:val="00B20FAE"/>
    <w:rsid w:val="00B26938"/>
    <w:rsid w:val="00B270C9"/>
    <w:rsid w:val="00B41322"/>
    <w:rsid w:val="00B41D79"/>
    <w:rsid w:val="00B421EA"/>
    <w:rsid w:val="00B5007D"/>
    <w:rsid w:val="00B6757C"/>
    <w:rsid w:val="00B7287C"/>
    <w:rsid w:val="00B807DC"/>
    <w:rsid w:val="00B83CB4"/>
    <w:rsid w:val="00B86FC6"/>
    <w:rsid w:val="00B9394C"/>
    <w:rsid w:val="00BC2234"/>
    <w:rsid w:val="00BD7AA9"/>
    <w:rsid w:val="00BE0708"/>
    <w:rsid w:val="00BE18E7"/>
    <w:rsid w:val="00BE34E6"/>
    <w:rsid w:val="00BE6D9B"/>
    <w:rsid w:val="00BF2833"/>
    <w:rsid w:val="00BF55AB"/>
    <w:rsid w:val="00C023C4"/>
    <w:rsid w:val="00C14BE7"/>
    <w:rsid w:val="00C37D98"/>
    <w:rsid w:val="00C50B4A"/>
    <w:rsid w:val="00C578F0"/>
    <w:rsid w:val="00C6006B"/>
    <w:rsid w:val="00C65021"/>
    <w:rsid w:val="00C660F5"/>
    <w:rsid w:val="00C716AB"/>
    <w:rsid w:val="00C7764F"/>
    <w:rsid w:val="00C849BC"/>
    <w:rsid w:val="00C871A0"/>
    <w:rsid w:val="00C87358"/>
    <w:rsid w:val="00C91D57"/>
    <w:rsid w:val="00C96AE0"/>
    <w:rsid w:val="00CB0A95"/>
    <w:rsid w:val="00CB7924"/>
    <w:rsid w:val="00CE2421"/>
    <w:rsid w:val="00CF488C"/>
    <w:rsid w:val="00CF5A14"/>
    <w:rsid w:val="00D23A32"/>
    <w:rsid w:val="00D3114B"/>
    <w:rsid w:val="00D63B48"/>
    <w:rsid w:val="00D64B9B"/>
    <w:rsid w:val="00D77FA9"/>
    <w:rsid w:val="00D91E01"/>
    <w:rsid w:val="00DA1C5B"/>
    <w:rsid w:val="00DA756F"/>
    <w:rsid w:val="00DC1E85"/>
    <w:rsid w:val="00DC7F5C"/>
    <w:rsid w:val="00DD044B"/>
    <w:rsid w:val="00DD2FE2"/>
    <w:rsid w:val="00DE57F3"/>
    <w:rsid w:val="00DF50AC"/>
    <w:rsid w:val="00E00BFF"/>
    <w:rsid w:val="00E07907"/>
    <w:rsid w:val="00E266CD"/>
    <w:rsid w:val="00E26C5D"/>
    <w:rsid w:val="00E333BF"/>
    <w:rsid w:val="00E3573F"/>
    <w:rsid w:val="00E5616B"/>
    <w:rsid w:val="00E6174B"/>
    <w:rsid w:val="00E65516"/>
    <w:rsid w:val="00E758CA"/>
    <w:rsid w:val="00E7740E"/>
    <w:rsid w:val="00E82A38"/>
    <w:rsid w:val="00E90749"/>
    <w:rsid w:val="00E93F32"/>
    <w:rsid w:val="00E94C6F"/>
    <w:rsid w:val="00E94CB0"/>
    <w:rsid w:val="00E96A67"/>
    <w:rsid w:val="00EA4CAD"/>
    <w:rsid w:val="00EA766E"/>
    <w:rsid w:val="00EB19AC"/>
    <w:rsid w:val="00EC5ADA"/>
    <w:rsid w:val="00EC7DFC"/>
    <w:rsid w:val="00ED0604"/>
    <w:rsid w:val="00ED7755"/>
    <w:rsid w:val="00EE78A2"/>
    <w:rsid w:val="00EF63C1"/>
    <w:rsid w:val="00F029C7"/>
    <w:rsid w:val="00F150E4"/>
    <w:rsid w:val="00F332E6"/>
    <w:rsid w:val="00F444B0"/>
    <w:rsid w:val="00F445ED"/>
    <w:rsid w:val="00F44F5E"/>
    <w:rsid w:val="00F46355"/>
    <w:rsid w:val="00F511DA"/>
    <w:rsid w:val="00F53DD4"/>
    <w:rsid w:val="00F9437A"/>
    <w:rsid w:val="00FA132C"/>
    <w:rsid w:val="00FA3679"/>
    <w:rsid w:val="00FF17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A079F"/>
  <w15:docId w15:val="{6085C442-8B4E-496A-A9D8-B014399C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A20"/>
  </w:style>
  <w:style w:type="paragraph" w:styleId="Heading1">
    <w:name w:val="heading 1"/>
    <w:basedOn w:val="Normal"/>
    <w:next w:val="Normal"/>
    <w:link w:val="Heading1Char"/>
    <w:qFormat/>
    <w:rsid w:val="008A5E2E"/>
    <w:pPr>
      <w:keepNext/>
      <w:suppressAutoHyphens/>
      <w:spacing w:before="240" w:after="60" w:line="240" w:lineRule="auto"/>
      <w:outlineLvl w:val="0"/>
    </w:pPr>
    <w:rPr>
      <w:rFonts w:ascii="Arial" w:eastAsia="Times New Roman" w:hAnsi="Arial" w:cs="Arial"/>
      <w:b/>
      <w:bCs/>
      <w:kern w:val="32"/>
      <w:sz w:val="32"/>
      <w:szCs w:val="32"/>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6C47"/>
    <w:rPr>
      <w:sz w:val="16"/>
      <w:szCs w:val="16"/>
    </w:rPr>
  </w:style>
  <w:style w:type="paragraph" w:styleId="CommentText">
    <w:name w:val="annotation text"/>
    <w:basedOn w:val="Normal"/>
    <w:link w:val="CommentTextChar"/>
    <w:uiPriority w:val="99"/>
    <w:semiHidden/>
    <w:unhideWhenUsed/>
    <w:rsid w:val="00A16C47"/>
    <w:pPr>
      <w:spacing w:line="240" w:lineRule="auto"/>
    </w:pPr>
    <w:rPr>
      <w:sz w:val="20"/>
      <w:szCs w:val="20"/>
    </w:rPr>
  </w:style>
  <w:style w:type="character" w:customStyle="1" w:styleId="CommentTextChar">
    <w:name w:val="Comment Text Char"/>
    <w:basedOn w:val="DefaultParagraphFont"/>
    <w:link w:val="CommentText"/>
    <w:uiPriority w:val="99"/>
    <w:semiHidden/>
    <w:rsid w:val="00A16C47"/>
    <w:rPr>
      <w:sz w:val="20"/>
      <w:szCs w:val="20"/>
    </w:rPr>
  </w:style>
  <w:style w:type="paragraph" w:styleId="CommentSubject">
    <w:name w:val="annotation subject"/>
    <w:basedOn w:val="CommentText"/>
    <w:next w:val="CommentText"/>
    <w:link w:val="CommentSubjectChar"/>
    <w:uiPriority w:val="99"/>
    <w:semiHidden/>
    <w:unhideWhenUsed/>
    <w:rsid w:val="00A16C47"/>
    <w:rPr>
      <w:b/>
      <w:bCs/>
    </w:rPr>
  </w:style>
  <w:style w:type="character" w:customStyle="1" w:styleId="CommentSubjectChar">
    <w:name w:val="Comment Subject Char"/>
    <w:basedOn w:val="CommentTextChar"/>
    <w:link w:val="CommentSubject"/>
    <w:uiPriority w:val="99"/>
    <w:semiHidden/>
    <w:rsid w:val="00A16C47"/>
    <w:rPr>
      <w:b/>
      <w:bCs/>
      <w:sz w:val="20"/>
      <w:szCs w:val="20"/>
    </w:rPr>
  </w:style>
  <w:style w:type="paragraph" w:styleId="BalloonText">
    <w:name w:val="Balloon Text"/>
    <w:basedOn w:val="Normal"/>
    <w:link w:val="BalloonTextChar"/>
    <w:uiPriority w:val="99"/>
    <w:semiHidden/>
    <w:unhideWhenUsed/>
    <w:rsid w:val="00A16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C47"/>
    <w:rPr>
      <w:rFonts w:ascii="Segoe UI" w:hAnsi="Segoe UI" w:cs="Segoe UI"/>
      <w:sz w:val="18"/>
      <w:szCs w:val="18"/>
    </w:rPr>
  </w:style>
  <w:style w:type="paragraph" w:styleId="ListParagraph">
    <w:name w:val="List Paragraph"/>
    <w:aliases w:val="List Paragraph (numbered (a)),Normal 2"/>
    <w:basedOn w:val="Normal"/>
    <w:link w:val="ListParagraphChar"/>
    <w:uiPriority w:val="34"/>
    <w:qFormat/>
    <w:rsid w:val="00263621"/>
    <w:pPr>
      <w:ind w:left="720"/>
      <w:contextualSpacing/>
    </w:pPr>
  </w:style>
  <w:style w:type="character" w:styleId="PlaceholderText">
    <w:name w:val="Placeholder Text"/>
    <w:basedOn w:val="DefaultParagraphFont"/>
    <w:uiPriority w:val="99"/>
    <w:semiHidden/>
    <w:rsid w:val="001030D4"/>
    <w:rPr>
      <w:color w:val="808080"/>
    </w:rPr>
  </w:style>
  <w:style w:type="paragraph" w:styleId="Header">
    <w:name w:val="header"/>
    <w:basedOn w:val="Normal"/>
    <w:link w:val="HeaderChar"/>
    <w:uiPriority w:val="99"/>
    <w:semiHidden/>
    <w:unhideWhenUsed/>
    <w:rsid w:val="000754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5474"/>
  </w:style>
  <w:style w:type="paragraph" w:styleId="Footer">
    <w:name w:val="footer"/>
    <w:basedOn w:val="Normal"/>
    <w:link w:val="FooterChar"/>
    <w:uiPriority w:val="99"/>
    <w:unhideWhenUsed/>
    <w:rsid w:val="00075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4"/>
  </w:style>
  <w:style w:type="paragraph" w:styleId="NormalWeb">
    <w:name w:val="Normal (Web)"/>
    <w:basedOn w:val="Normal"/>
    <w:uiPriority w:val="99"/>
    <w:unhideWhenUsed/>
    <w:rsid w:val="007704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2E68"/>
    <w:rPr>
      <w:color w:val="0563C1" w:themeColor="hyperlink"/>
      <w:u w:val="single"/>
    </w:rPr>
  </w:style>
  <w:style w:type="character" w:customStyle="1" w:styleId="Heading1Char">
    <w:name w:val="Heading 1 Char"/>
    <w:basedOn w:val="DefaultParagraphFont"/>
    <w:link w:val="Heading1"/>
    <w:rsid w:val="008A5E2E"/>
    <w:rPr>
      <w:rFonts w:ascii="Arial" w:eastAsia="Times New Roman" w:hAnsi="Arial" w:cs="Arial"/>
      <w:b/>
      <w:bCs/>
      <w:kern w:val="32"/>
      <w:sz w:val="32"/>
      <w:szCs w:val="32"/>
      <w:lang w:val="en-GB" w:eastAsia="ar-SA"/>
    </w:rPr>
  </w:style>
  <w:style w:type="paragraph" w:styleId="List">
    <w:name w:val="List"/>
    <w:basedOn w:val="Normal"/>
    <w:rsid w:val="008A5E2E"/>
    <w:pPr>
      <w:suppressAutoHyphens/>
      <w:spacing w:after="120" w:line="240" w:lineRule="auto"/>
    </w:pPr>
    <w:rPr>
      <w:rFonts w:ascii="Times New Roman" w:eastAsia="Times New Roman" w:hAnsi="Times New Roman" w:cs="Tahoma"/>
      <w:sz w:val="24"/>
      <w:szCs w:val="24"/>
      <w:lang w:val="en-GB" w:eastAsia="ar-SA"/>
    </w:rPr>
  </w:style>
  <w:style w:type="paragraph" w:styleId="BodyText">
    <w:name w:val="Body Text"/>
    <w:basedOn w:val="Normal"/>
    <w:link w:val="BodyTextChar"/>
    <w:uiPriority w:val="99"/>
    <w:semiHidden/>
    <w:unhideWhenUsed/>
    <w:rsid w:val="008A5E2E"/>
    <w:pPr>
      <w:spacing w:after="120"/>
    </w:pPr>
  </w:style>
  <w:style w:type="character" w:customStyle="1" w:styleId="BodyTextChar">
    <w:name w:val="Body Text Char"/>
    <w:basedOn w:val="DefaultParagraphFont"/>
    <w:link w:val="BodyText"/>
    <w:uiPriority w:val="99"/>
    <w:semiHidden/>
    <w:rsid w:val="008A5E2E"/>
  </w:style>
  <w:style w:type="paragraph" w:styleId="FootnoteText">
    <w:name w:val="footnote text"/>
    <w:basedOn w:val="Normal"/>
    <w:link w:val="FootnoteTextChar"/>
    <w:semiHidden/>
    <w:rsid w:val="00F332E6"/>
    <w:pPr>
      <w:suppressAutoHyphens/>
      <w:spacing w:after="0" w:line="240" w:lineRule="auto"/>
    </w:pPr>
    <w:rPr>
      <w:rFonts w:ascii="Times New Roman" w:eastAsia="Times New Roman" w:hAnsi="Times New Roman" w:cs="Times New Roman"/>
      <w:sz w:val="20"/>
      <w:szCs w:val="20"/>
      <w:lang w:val="en-GB" w:eastAsia="ar-SA"/>
    </w:rPr>
  </w:style>
  <w:style w:type="character" w:customStyle="1" w:styleId="FootnoteTextChar">
    <w:name w:val="Footnote Text Char"/>
    <w:basedOn w:val="DefaultParagraphFont"/>
    <w:link w:val="FootnoteText"/>
    <w:semiHidden/>
    <w:rsid w:val="00F332E6"/>
    <w:rPr>
      <w:rFonts w:ascii="Times New Roman" w:eastAsia="Times New Roman" w:hAnsi="Times New Roman" w:cs="Times New Roman"/>
      <w:sz w:val="20"/>
      <w:szCs w:val="20"/>
      <w:lang w:val="en-GB" w:eastAsia="ar-SA"/>
    </w:rPr>
  </w:style>
  <w:style w:type="character" w:styleId="FootnoteReference">
    <w:name w:val="footnote reference"/>
    <w:basedOn w:val="DefaultParagraphFont"/>
    <w:semiHidden/>
    <w:rsid w:val="00F332E6"/>
    <w:rPr>
      <w:vertAlign w:val="superscript"/>
    </w:rPr>
  </w:style>
  <w:style w:type="character" w:styleId="Strong">
    <w:name w:val="Strong"/>
    <w:basedOn w:val="DefaultParagraphFont"/>
    <w:qFormat/>
    <w:rsid w:val="00F332E6"/>
    <w:rPr>
      <w:b/>
      <w:bCs/>
    </w:rPr>
  </w:style>
  <w:style w:type="paragraph" w:customStyle="1" w:styleId="Default">
    <w:name w:val="Default"/>
    <w:rsid w:val="00B20FA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ListParagraphChar">
    <w:name w:val="List Paragraph Char"/>
    <w:aliases w:val="List Paragraph (numbered (a)) Char,Normal 2 Char"/>
    <w:link w:val="ListParagraph"/>
    <w:uiPriority w:val="34"/>
    <w:rsid w:val="00B20FAE"/>
  </w:style>
  <w:style w:type="character" w:styleId="UnresolvedMention">
    <w:name w:val="Unresolved Mention"/>
    <w:basedOn w:val="DefaultParagraphFont"/>
    <w:uiPriority w:val="99"/>
    <w:semiHidden/>
    <w:unhideWhenUsed/>
    <w:rsid w:val="00737B00"/>
    <w:rPr>
      <w:color w:val="605E5C"/>
      <w:shd w:val="clear" w:color="auto" w:fill="E1DFDD"/>
    </w:rPr>
  </w:style>
  <w:style w:type="character" w:styleId="FollowedHyperlink">
    <w:name w:val="FollowedHyperlink"/>
    <w:basedOn w:val="DefaultParagraphFont"/>
    <w:uiPriority w:val="99"/>
    <w:semiHidden/>
    <w:unhideWhenUsed/>
    <w:rsid w:val="00750D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8353">
      <w:bodyDiv w:val="1"/>
      <w:marLeft w:val="0"/>
      <w:marRight w:val="0"/>
      <w:marTop w:val="0"/>
      <w:marBottom w:val="0"/>
      <w:divBdr>
        <w:top w:val="none" w:sz="0" w:space="0" w:color="auto"/>
        <w:left w:val="none" w:sz="0" w:space="0" w:color="auto"/>
        <w:bottom w:val="none" w:sz="0" w:space="0" w:color="auto"/>
        <w:right w:val="none" w:sz="0" w:space="0" w:color="auto"/>
      </w:divBdr>
    </w:div>
    <w:div w:id="906038253">
      <w:bodyDiv w:val="1"/>
      <w:marLeft w:val="0"/>
      <w:marRight w:val="0"/>
      <w:marTop w:val="0"/>
      <w:marBottom w:val="0"/>
      <w:divBdr>
        <w:top w:val="none" w:sz="0" w:space="0" w:color="auto"/>
        <w:left w:val="none" w:sz="0" w:space="0" w:color="auto"/>
        <w:bottom w:val="none" w:sz="0" w:space="0" w:color="auto"/>
        <w:right w:val="none" w:sz="0" w:space="0" w:color="auto"/>
      </w:divBdr>
      <w:divsChild>
        <w:div w:id="922186258">
          <w:marLeft w:val="0"/>
          <w:marRight w:val="0"/>
          <w:marTop w:val="0"/>
          <w:marBottom w:val="0"/>
          <w:divBdr>
            <w:top w:val="none" w:sz="0" w:space="0" w:color="auto"/>
            <w:left w:val="none" w:sz="0" w:space="0" w:color="auto"/>
            <w:bottom w:val="none" w:sz="0" w:space="0" w:color="auto"/>
            <w:right w:val="none" w:sz="0" w:space="0" w:color="auto"/>
          </w:divBdr>
        </w:div>
        <w:div w:id="985089878">
          <w:marLeft w:val="0"/>
          <w:marRight w:val="0"/>
          <w:marTop w:val="0"/>
          <w:marBottom w:val="0"/>
          <w:divBdr>
            <w:top w:val="none" w:sz="0" w:space="0" w:color="auto"/>
            <w:left w:val="none" w:sz="0" w:space="0" w:color="auto"/>
            <w:bottom w:val="none" w:sz="0" w:space="0" w:color="auto"/>
            <w:right w:val="none" w:sz="0" w:space="0" w:color="auto"/>
          </w:divBdr>
        </w:div>
        <w:div w:id="1313827065">
          <w:marLeft w:val="0"/>
          <w:marRight w:val="0"/>
          <w:marTop w:val="0"/>
          <w:marBottom w:val="0"/>
          <w:divBdr>
            <w:top w:val="none" w:sz="0" w:space="0" w:color="auto"/>
            <w:left w:val="none" w:sz="0" w:space="0" w:color="auto"/>
            <w:bottom w:val="none" w:sz="0" w:space="0" w:color="auto"/>
            <w:right w:val="none" w:sz="0" w:space="0" w:color="auto"/>
          </w:divBdr>
        </w:div>
      </w:divsChild>
    </w:div>
    <w:div w:id="1038316791">
      <w:bodyDiv w:val="1"/>
      <w:marLeft w:val="0"/>
      <w:marRight w:val="0"/>
      <w:marTop w:val="0"/>
      <w:marBottom w:val="0"/>
      <w:divBdr>
        <w:top w:val="none" w:sz="0" w:space="0" w:color="auto"/>
        <w:left w:val="none" w:sz="0" w:space="0" w:color="auto"/>
        <w:bottom w:val="none" w:sz="0" w:space="0" w:color="auto"/>
        <w:right w:val="none" w:sz="0" w:space="0" w:color="auto"/>
      </w:divBdr>
    </w:div>
    <w:div w:id="2092655094">
      <w:bodyDiv w:val="1"/>
      <w:marLeft w:val="0"/>
      <w:marRight w:val="0"/>
      <w:marTop w:val="0"/>
      <w:marBottom w:val="0"/>
      <w:divBdr>
        <w:top w:val="none" w:sz="0" w:space="0" w:color="auto"/>
        <w:left w:val="none" w:sz="0" w:space="0" w:color="auto"/>
        <w:bottom w:val="none" w:sz="0" w:space="0" w:color="auto"/>
        <w:right w:val="none" w:sz="0" w:space="0" w:color="auto"/>
      </w:divBdr>
      <w:divsChild>
        <w:div w:id="266233473">
          <w:marLeft w:val="0"/>
          <w:marRight w:val="0"/>
          <w:marTop w:val="0"/>
          <w:marBottom w:val="0"/>
          <w:divBdr>
            <w:top w:val="none" w:sz="0" w:space="0" w:color="auto"/>
            <w:left w:val="none" w:sz="0" w:space="0" w:color="auto"/>
            <w:bottom w:val="none" w:sz="0" w:space="0" w:color="auto"/>
            <w:right w:val="none" w:sz="0" w:space="0" w:color="auto"/>
          </w:divBdr>
        </w:div>
        <w:div w:id="326593282">
          <w:marLeft w:val="0"/>
          <w:marRight w:val="0"/>
          <w:marTop w:val="0"/>
          <w:marBottom w:val="0"/>
          <w:divBdr>
            <w:top w:val="none" w:sz="0" w:space="0" w:color="auto"/>
            <w:left w:val="none" w:sz="0" w:space="0" w:color="auto"/>
            <w:bottom w:val="none" w:sz="0" w:space="0" w:color="auto"/>
            <w:right w:val="none" w:sz="0" w:space="0" w:color="auto"/>
          </w:divBdr>
        </w:div>
        <w:div w:id="358698524">
          <w:marLeft w:val="0"/>
          <w:marRight w:val="0"/>
          <w:marTop w:val="0"/>
          <w:marBottom w:val="0"/>
          <w:divBdr>
            <w:top w:val="none" w:sz="0" w:space="0" w:color="auto"/>
            <w:left w:val="none" w:sz="0" w:space="0" w:color="auto"/>
            <w:bottom w:val="none" w:sz="0" w:space="0" w:color="auto"/>
            <w:right w:val="none" w:sz="0" w:space="0" w:color="auto"/>
          </w:divBdr>
        </w:div>
        <w:div w:id="559445025">
          <w:marLeft w:val="0"/>
          <w:marRight w:val="0"/>
          <w:marTop w:val="0"/>
          <w:marBottom w:val="0"/>
          <w:divBdr>
            <w:top w:val="none" w:sz="0" w:space="0" w:color="auto"/>
            <w:left w:val="none" w:sz="0" w:space="0" w:color="auto"/>
            <w:bottom w:val="none" w:sz="0" w:space="0" w:color="auto"/>
            <w:right w:val="none" w:sz="0" w:space="0" w:color="auto"/>
          </w:divBdr>
        </w:div>
        <w:div w:id="955985806">
          <w:marLeft w:val="0"/>
          <w:marRight w:val="0"/>
          <w:marTop w:val="0"/>
          <w:marBottom w:val="0"/>
          <w:divBdr>
            <w:top w:val="none" w:sz="0" w:space="0" w:color="auto"/>
            <w:left w:val="none" w:sz="0" w:space="0" w:color="auto"/>
            <w:bottom w:val="none" w:sz="0" w:space="0" w:color="auto"/>
            <w:right w:val="none" w:sz="0" w:space="0" w:color="auto"/>
          </w:divBdr>
        </w:div>
        <w:div w:id="1575092605">
          <w:marLeft w:val="0"/>
          <w:marRight w:val="0"/>
          <w:marTop w:val="0"/>
          <w:marBottom w:val="0"/>
          <w:divBdr>
            <w:top w:val="none" w:sz="0" w:space="0" w:color="auto"/>
            <w:left w:val="none" w:sz="0" w:space="0" w:color="auto"/>
            <w:bottom w:val="none" w:sz="0" w:space="0" w:color="auto"/>
            <w:right w:val="none" w:sz="0" w:space="0" w:color="auto"/>
          </w:divBdr>
        </w:div>
        <w:div w:id="1655840784">
          <w:marLeft w:val="0"/>
          <w:marRight w:val="0"/>
          <w:marTop w:val="0"/>
          <w:marBottom w:val="0"/>
          <w:divBdr>
            <w:top w:val="none" w:sz="0" w:space="0" w:color="auto"/>
            <w:left w:val="none" w:sz="0" w:space="0" w:color="auto"/>
            <w:bottom w:val="none" w:sz="0" w:space="0" w:color="auto"/>
            <w:right w:val="none" w:sz="0" w:space="0" w:color="auto"/>
          </w:divBdr>
        </w:div>
        <w:div w:id="1925676227">
          <w:marLeft w:val="0"/>
          <w:marRight w:val="0"/>
          <w:marTop w:val="0"/>
          <w:marBottom w:val="0"/>
          <w:divBdr>
            <w:top w:val="none" w:sz="0" w:space="0" w:color="auto"/>
            <w:left w:val="none" w:sz="0" w:space="0" w:color="auto"/>
            <w:bottom w:val="none" w:sz="0" w:space="0" w:color="auto"/>
            <w:right w:val="none" w:sz="0" w:space="0" w:color="auto"/>
          </w:divBdr>
        </w:div>
        <w:div w:id="20496444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1471-2458-9-24" TargetMode="Externa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ADACD-0959-4361-B8D8-60C152FA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3855</TotalTime>
  <Pages>1</Pages>
  <Words>10838</Words>
  <Characters>61782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 Nayeem Hasan</cp:lastModifiedBy>
  <cp:revision>22</cp:revision>
  <dcterms:created xsi:type="dcterms:W3CDTF">2022-02-24T18:30:00Z</dcterms:created>
  <dcterms:modified xsi:type="dcterms:W3CDTF">2022-11-08T15:14:00Z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http://www.zotero.org/styles/international-journal-of-infectious-diseases</vt:lpwstr>
  </property>
  <property fmtid="{D5CDD505-2E9C-101B-9397-08002B2CF9AE}" pid="15" name="Mendeley Recent Style Name 6_1">
    <vt:lpwstr>International Journal of Infectious Diseases</vt:lpwstr>
  </property>
  <property fmtid="{D5CDD505-2E9C-101B-9397-08002B2CF9AE}" pid="16" name="Mendeley Recent Style Id 7_1">
    <vt:lpwstr>http://www.zotero.org/styles/springer-basic-brackets-no-et-al</vt:lpwstr>
  </property>
  <property fmtid="{D5CDD505-2E9C-101B-9397-08002B2CF9AE}" pid="17" name="Mendeley Recent Style Name 7_1">
    <vt:lpwstr>Springer - Basic (numeric, brackets, no "et al.")</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http://www.zotero.org/styles/vancouver</vt:lpwstr>
  </property>
</Properties>
</file>