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Vision World Apps</w:t>
      </w:r>
    </w:p>
    <w:p>
      <w:pPr>
        <w:pStyle w:val="Subtitle"/>
      </w:pPr>
      <w:r>
        <w:t>Conformidade operacional das lojas e proteção de dados</w:t>
      </w:r>
    </w:p>
    <w:p>
      <w:r>
        <w:t>Versão 1.1  |  27 de setembro de 2026  |  Português de Portugal</w:t>
      </w:r>
    </w:p>
    <w:p>
      <w:r>
        <w:t>Destinatário e responsável pela aprovação: Direção do projeto Vision World Apps. Documento de especificação para revisão e execução faseada. A aprovação do documento e de cada fase fica registada separadamente. Revisão de calendário: primeiro lote até 10 de novembro de 2026; fases e aprovações continuam por executar.</w:t>
      </w:r>
    </w:p>
    <w:p>
      <w:pPr>
        <w:pStyle w:val="Heading1"/>
      </w:pPr>
      <w:r>
        <w:t>Conteúdo</w:t>
      </w:r>
    </w:p>
    <w:p>
      <w:pPr>
        <w:pStyle w:val="BodyText"/>
      </w:pPr>
      <w:r>
        <w:t>01  Finalidade e decisão de publicação</w:t>
      </w:r>
    </w:p>
    <w:p>
      <w:pPr>
        <w:pStyle w:val="BodyText"/>
      </w:pPr>
      <w:r>
        <w:t>02  Baseline e fronteiras de responsabilidade</w:t>
      </w:r>
    </w:p>
    <w:p>
      <w:pPr>
        <w:pStyle w:val="BodyText"/>
      </w:pPr>
      <w:r>
        <w:t>03  Responsáveis e arquivo de evidências</w:t>
      </w:r>
    </w:p>
    <w:p>
      <w:pPr>
        <w:pStyle w:val="BodyText"/>
      </w:pPr>
      <w:r>
        <w:t>04  Inscrição individual Apple</w:t>
      </w:r>
    </w:p>
    <w:p>
      <w:pPr>
        <w:pStyle w:val="BodyText"/>
      </w:pPr>
      <w:r>
        <w:t>05  Inscrição e verificações Google Play</w:t>
      </w:r>
    </w:p>
    <w:p>
      <w:pPr>
        <w:pStyle w:val="BodyText"/>
      </w:pPr>
      <w:r>
        <w:t>06  Identificadores e assinatura</w:t>
      </w:r>
    </w:p>
    <w:p>
      <w:pPr>
        <w:pStyle w:val="BodyText"/>
      </w:pPr>
      <w:r>
        <w:t>07  Metadados e materiais das lojas</w:t>
      </w:r>
    </w:p>
    <w:p>
      <w:pPr>
        <w:pStyle w:val="BodyText"/>
      </w:pPr>
      <w:r>
        <w:t>08  Contas e acesso dos revisores</w:t>
      </w:r>
    </w:p>
    <w:p>
      <w:pPr>
        <w:pStyle w:val="BodyText"/>
      </w:pPr>
      <w:r>
        <w:t>09  Eliminação de conta e dados</w:t>
      </w:r>
    </w:p>
    <w:p>
      <w:pPr>
        <w:pStyle w:val="BodyText"/>
      </w:pPr>
      <w:r>
        <w:t>10  Privacidade das lojas e permissões</w:t>
      </w:r>
    </w:p>
    <w:p>
      <w:pPr>
        <w:pStyle w:val="BodyText"/>
      </w:pPr>
      <w:r>
        <w:t>11  IA e responsabilidade do utilizador</w:t>
      </w:r>
    </w:p>
    <w:p>
      <w:pPr>
        <w:pStyle w:val="BodyText"/>
      </w:pPr>
      <w:r>
        <w:t>12  Privacidade e analytics por desenho</w:t>
      </w:r>
    </w:p>
    <w:p>
      <w:pPr>
        <w:pStyle w:val="BodyText"/>
      </w:pPr>
      <w:r>
        <w:t>13  Documentos legais a preparar e aprovar</w:t>
      </w:r>
    </w:p>
    <w:p>
      <w:pPr>
        <w:pStyle w:val="BodyText"/>
      </w:pPr>
      <w:r>
        <w:t>14  Compras subscrições e direitos de utilização</w:t>
      </w:r>
    </w:p>
    <w:p>
      <w:pPr>
        <w:pStyle w:val="BodyText"/>
      </w:pPr>
      <w:r>
        <w:t>15  Código aberto e segurança operacional</w:t>
      </w:r>
    </w:p>
    <w:p>
      <w:pPr>
        <w:pStyle w:val="BodyText"/>
      </w:pPr>
      <w:r>
        <w:t>16  Fases operacionais de conformidade</w:t>
      </w:r>
    </w:p>
    <w:p>
      <w:pPr>
        <w:pStyle w:val="BodyText"/>
      </w:pPr>
      <w:r>
        <w:t>17  Método de execução e critérios de encerramento</w:t>
      </w:r>
    </w:p>
    <w:p>
      <w:pPr>
        <w:pStyle w:val="BodyText"/>
      </w:pPr>
      <w:r>
        <w:t>18  Calendário integrado e dependências</w:t>
      </w:r>
    </w:p>
    <w:p>
      <w:pPr>
        <w:pStyle w:val="BodyText"/>
      </w:pPr>
      <w:r>
        <w:t>19  Rotina após aprovação</w:t>
      </w:r>
    </w:p>
    <w:p>
      <w:pPr>
        <w:pStyle w:val="BodyText"/>
      </w:pPr>
      <w:r>
        <w:t>20  Fontes oficiais</w:t>
      </w:r>
    </w:p>
    <w:p>
      <w:r>
        <w:br w:type="page"/>
      </w:r>
    </w:p>
    <w:p>
      <w:pPr>
        <w:pStyle w:val="Heading1"/>
      </w:pPr>
      <w:r>
        <w:t>Finalidade e decisão de publicação</w:t>
      </w:r>
    </w:p>
    <w:p>
      <w:r>
        <w:rPr>
          <w:b w:val="0"/>
        </w:rPr>
        <w:t>Este pack transforma os requisitos de lojas, identidade, privacidade e operação numa lista de trabalho verificável para um developer individual residente na Arábia Saudita. O resultado pretendido é um dossier de submissão por app, com evidência de cada obrigação, e uma decisão de release que distingue preparação técnica, elegibilidade da conta, conformidade legal e aprovação externa.</w:t>
      </w:r>
    </w:p>
    <w:p>
      <w:r>
        <w:rPr>
          <w:b w:val="0"/>
        </w:rPr>
        <w:t>O registo individual numa loja não demonstra autorização para exercer atividade comercial no país de residência. Antes de comercializar, obter parecer sobre o estatuto de residência, autorização de trabalho, atividade independente, registo comercial, tributação e recebimentos internacionais aplicáveis ao titular. A residência na Arábia Saudita não permite inferir nacionalidade nem benefícios de tratados. A marca Vision World Apps não deve ser apresentada como pessoa coletiva se esta não existir.</w:t>
      </w:r>
    </w:p>
    <w:p>
      <w:r>
        <w:rPr>
          <w:b w:val="0"/>
        </w:rPr>
        <w:t>As fontes oficiais foram consultadas em 27 de setembro de 2026. As instruções operacionais abaixo são propostas para este projeto; os valores, formulários e políticas das lojas devem ser reconfirmados na conta antes da submissão. O pack identifica pontos de revisão jurídica e fiscal e não substitui a análise do caso concreto por profissionais habilitados.</w:t>
      </w:r>
    </w:p>
    <w:p>
      <w:pPr>
        <w:pStyle w:val="Heading1"/>
      </w:pPr>
      <w:r>
        <w:t>Baseline e fronteiras de responsabilidade</w:t>
      </w:r>
    </w:p>
    <w:p>
      <w:r>
        <w:rPr>
          <w:b w:val="0"/>
        </w:rPr>
        <w:t>As aplicações partilham Flutter e Dart. O Windows 11 com Claude Code é o ambiente principal. Os PCs e os modelos locais são usados em desenvolvimento e testes; não recebem pedidos de produção, não guardam uma cópia operacional necessária ao serviço e não são uma rota de recuperação de produção. Supabase e Vercel estão excluídos.</w:t>
      </w:r>
    </w:p>
    <w:p>
      <w:r>
        <w:rPr>
          <w:b w:val="0"/>
        </w:rPr>
        <w:t>Os serviços de produção residem na AWS em Frankfurt, eu-central-1. A configuração da região, das cópias de segurança e do processamento deve ser demonstrada por ambiente. Um perfil Bedrock com prefixo europeu não demonstra, por si só, processamento exclusivamente em Frankfurt. Até comprovar a rota compatível e já contratada, a funcionalidade Managed AI mantém o modo sem IA.</w:t>
      </w:r>
    </w:p>
    <w:p>
      <w:r>
        <w:rPr>
          <w:b w:val="0"/>
        </w:rPr>
        <w:t>Vision Managed AI utiliza exclusivamente a IA já contratada na AWS. O Vision Cloud Services é responsável pela admissão dos pedidos das apps, quotas, reservas de custo, consumo e interrupção por orçamento. A autorização de modelos exige inventário real da conta, acesso, preço, região e quota; o PRD não autoriza novas subscrições ou fornecedores. A IA usada internamente pelo Backoffice conserva o seu controlo próprio até uma integração aprovada, evitando duas cobranças para a mesma operação.</w:t>
      </w:r>
    </w:p>
    <w:p>
      <w:r>
        <w:rPr>
          <w:b w:val="0"/>
        </w:rPr>
        <w:t>BYO é uma escolha explícita do utilizador, separada de Managed AI. As credenciais ficam no armazenamento seguro local e não entram no backend, logs, relatórios, exports ou analytics. Antes do envio, o utilizador conhece o fornecedor, os dados transmitidos e quem suporta o custo. A Vision responde pela implementação, proteção local e transparência; o utilizador responde pelas credenciais, limites e termos da sua conta; o fornecedor responde pelo serviço nos seus próprios termos. Uma falha num modo não muda silenciosamente para o outro.</w:t>
      </w:r>
    </w:p>
    <w:p>
      <w:r>
        <w:rPr>
          <w:b w:val="0"/>
        </w:rPr>
        <w:t>O funcionamento local é o ponto de partida. Sem rede, IA, permissões opcionais ou serviços auxiliares, o utilizador continua a trabalhar no que é local. A interface mostra o estado, conserva trabalho e permite repetir operações de forma controlada. Integridade, identidade e confiança não são simuladas: um selo local não recebe o estatuto de timestamp de confiança, e uma autenticação expirada não autoriza nova operação remota.</w:t>
      </w:r>
    </w:p>
    <w:p>
      <w:r>
        <w:rPr>
          <w:b w:val="0"/>
        </w:rPr>
        <w:t>O Field Calc não exige conta. Field Report e PhotoProof usam identidade mínima porque protegem autoria, acesso a relatórios e atribuição da captura. A conta não implica recolha de documentos de identificação civil. A identidade de conta, a pessoa que opera o dispositivo e uma identidade legalmente verificada são conceitos distintos e devem ser apresentados como tal.</w:t>
      </w:r>
    </w:p>
    <w:p>
      <w:r>
        <w:rPr>
          <w:b w:val="0"/>
        </w:rPr>
        <w:t>O Mac mini M4 com 16 GB de memória e 256 GB de armazenamento, previsto para o fim de outubro de 2026, será a estação de build, teste, assinatura e release Apple com Xcode. A compra, chegada e configuração não se presumem concluídas. Até à disponibilidade real, os ensaios Apple ficam com o estado exato Pending Hardware. Os restantes trabalhos prosseguem quando tecnicamente independentes; uma versão Apple não recebe aprovação final sem esses ensaios.</w:t>
      </w:r>
    </w:p>
    <w:p>
      <w:pPr>
        <w:pStyle w:val="Heading1"/>
      </w:pPr>
      <w:r>
        <w:t>Responsáveis e arquivo de evidências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4000"/>
        <w:gridCol w:w="3810"/>
      </w:tblGrid>
      <w:tr>
        <w:trPr>
          <w:cantSplit/>
          <w:tblHeader/>
        </w:trPr>
        <w:tc>
          <w:tcPr>
            <w:tcW w:type="dxa" w:w="1714"/>
            <w:vAlign w:val="center"/>
            <w:shd w:fill="203D50"/>
            <w:tcMar>
              <w:top w:w="95" w:type="dxa"/>
              <w:left w:w="95" w:type="dxa"/>
              <w:bottom w:w="95" w:type="dxa"/>
              <w:right w:w="95" w:type="dxa"/>
            </w:tcMar>
          </w:tcPr>
          <w:p>
            <w:pPr>
              <w:spacing w:after="80" w:before="80" w:line="252" w:lineRule="auto"/>
            </w:pPr>
            <w:r>
              <w:rPr>
                <w:b/>
                <w:color w:val="FFFFFF"/>
                <w:sz w:val="18"/>
              </w:rPr>
              <w:t>Função</w:t>
            </w:r>
          </w:p>
        </w:tc>
        <w:tc>
          <w:tcPr>
            <w:tcW w:type="dxa" w:w="4000"/>
            <w:vAlign w:val="center"/>
            <w:shd w:fill="203D50"/>
            <w:tcMar>
              <w:top w:w="95" w:type="dxa"/>
              <w:left w:w="95" w:type="dxa"/>
              <w:bottom w:w="95" w:type="dxa"/>
              <w:right w:w="95" w:type="dxa"/>
            </w:tcMar>
          </w:tcPr>
          <w:p>
            <w:pPr>
              <w:spacing w:after="80" w:before="80" w:line="252" w:lineRule="auto"/>
            </w:pPr>
            <w:r>
              <w:rPr>
                <w:b/>
                <w:color w:val="FFFFFF"/>
                <w:sz w:val="18"/>
              </w:rPr>
              <w:t>Responsabilidade</w:t>
            </w:r>
          </w:p>
        </w:tc>
        <w:tc>
          <w:tcPr>
            <w:tcW w:type="dxa" w:w="3810"/>
            <w:vAlign w:val="center"/>
            <w:shd w:fill="203D50"/>
            <w:tcMar>
              <w:top w:w="95" w:type="dxa"/>
              <w:left w:w="95" w:type="dxa"/>
              <w:bottom w:w="95" w:type="dxa"/>
              <w:right w:w="95" w:type="dxa"/>
            </w:tcMar>
          </w:tcPr>
          <w:p>
            <w:pPr>
              <w:spacing w:after="80" w:before="80" w:line="252" w:lineRule="auto"/>
            </w:pPr>
            <w:r>
              <w:rPr>
                <w:b/>
                <w:color w:val="FFFFFF"/>
                <w:sz w:val="18"/>
              </w:rPr>
              <w:t>Evidência a arquivar</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Titular individual</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Identidade, contratos, declarações, dados bancários e decisões de distribuição</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Recibo e estado da conta; versão e data de cada acordo</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Responsável técnico</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Assinatura, permissões, comportamento real, releases e segurança</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Dossier de build, testes, SBOM e checklist de permissões</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Responsável pelo produto</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Âmbito, alegações comerciais, contas, apoio e avaliação de risco</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PRD aprovado e notas de revisão por app</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Advogado e consultor fiscal</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Habilitação comercial, PDPL, transferências, consumo, impostos e validade de alegações</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Parecer delimitado com jurisdições, perguntas e decisões</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Revisor de privacidade</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Fluxos de dados e consistência das declarações Apple e Google</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Inventário por campo, SDK e finalidade; capturas dos formulários</w:t>
            </w:r>
          </w:p>
        </w:tc>
      </w:tr>
    </w:tbl>
    <w:p>
      <w:pPr>
        <w:spacing w:after="40"/>
      </w:pPr>
    </w:p>
    <w:p>
      <w:r>
        <w:rPr>
          <w:b w:val="0"/>
        </w:rPr>
        <w:t>O mesmo titular pode assumir várias funções operacionais, mas deve declarar essa acumulação. Guardar em Governance/Compliance apenas referências e versões dos documentos pessoais; passaporte, documento de residência, dados bancários completos, tokens e chaves ficam num cofre cifrado com acesso restrito. Os PRDs e o Git não contêm essas cópias. Usar um registo com item, responsável, prazo, estado, evidência, validade e próxima revisão.</w:t>
      </w:r>
    </w:p>
    <w:p>
      <w:pPr>
        <w:pStyle w:val="Heading1"/>
      </w:pPr>
      <w:r>
        <w:t>Inscrição individual Apple</w:t>
      </w:r>
    </w:p>
    <w:p>
      <w:r>
        <w:rPr>
          <w:b w:val="0"/>
        </w:rPr>
        <w:t>A inscrição individual requer Apple Account com autenticação de dois fatores e nome legal. O nome pessoal é mostrado como vendedor. A marca pode identificar as apps e o website, mas não substitui o titular no registo. A Apple publica uma anuidade de 99 USD, sujeita à moeda e preço apresentados na inscrição. Confirmar os dados solicitados de contacto e morada; não usar uma empresa inexistente para obter um nome comercial. Fonte A01.</w:t>
      </w:r>
    </w:p>
    <w:p>
      <w:pPr>
        <w:pStyle w:val="Heading2"/>
      </w:pPr>
      <w:r>
        <w:t>Procedimento e prova</w:t>
      </w:r>
    </w:p>
    <w:p>
      <w:pPr>
        <w:pStyle w:val="ListBullet"/>
      </w:pPr>
      <w:r>
        <w:rPr>
          <w:b w:val="0"/>
        </w:rPr>
        <w:t>Confirmar nome completo, data de nascimento quando solicitada, país de residência e correspondência com o documento de identificação aceite. Resolver diferenças de transliteração antes de enviar.</w:t>
      </w:r>
    </w:p>
    <w:p>
      <w:pPr>
        <w:pStyle w:val="ListBullet"/>
      </w:pPr>
      <w:r>
        <w:rPr>
          <w:b w:val="0"/>
        </w:rPr>
        <w:t>Configurar autenticação de dois fatores e recuperação segura; registar um segundo meio de recuperação sem partilhar a conta com assistentes ou colaboradores.</w:t>
      </w:r>
    </w:p>
    <w:p>
      <w:pPr>
        <w:pStyle w:val="ListBullet"/>
      </w:pPr>
      <w:r>
        <w:rPr>
          <w:b w:val="0"/>
        </w:rPr>
        <w:t>Inscrever como individual, responder à verificação de identidade no canal oficial e guardar apenas o comprovativo/estado da submissão no registo operacional.</w:t>
      </w:r>
    </w:p>
    <w:p>
      <w:pPr>
        <w:pStyle w:val="ListBullet"/>
      </w:pPr>
      <w:r>
        <w:rPr>
          <w:b w:val="0"/>
        </w:rPr>
        <w:t>Rever e aceitar pessoalmente o Developer Program License Agreement; guardar versão/data e recibo. A criação deste pack não aceita contratos nem efetua pagamentos.</w:t>
      </w:r>
    </w:p>
    <w:p>
      <w:pPr>
        <w:pStyle w:val="ListBullet"/>
      </w:pPr>
      <w:r>
        <w:rPr>
          <w:b w:val="0"/>
        </w:rPr>
        <w:t>Confirmar acesso ao App Store Connect, Team ID, função Account Holder e data de renovação. Registar os identificadores não secretos no inventário de release.</w:t>
      </w:r>
    </w:p>
    <w:p>
      <w:r>
        <w:rPr>
          <w:b w:val="0"/>
        </w:rPr>
        <w:t>Se houver venda de apps, compras ou subscrições, ativar o Paid Apps Agreement e completar os formulários bancários e fiscais exigidos. O nome do titular bancário deve corresponder ao inscrito. Usar banco, moeda, número de conta e IBAN nos campos corretos; não presumir que o IBAN substitui o número de conta. Guardar prova de estado aprovado sem expor os dados completos. Fontes A02 e A03.</w:t>
      </w:r>
    </w:p>
    <w:p>
      <w:r>
        <w:rPr>
          <w:b w:val="0"/>
        </w:rPr>
        <w:t>Todos os developers abrangidos pelo Paid Apps Agreement têm de completar o formulário fiscal dos EUA indicado pelo questionário. Para residentes fora dos EUA, a Apple pode encaminhar para W-8BEN, W-8BEN-E ou outro formulário conforme o caso. Um indivíduo não deve escolher formulário de entidade nem reclamar benefício de tratado sem fundamento. O consultor fiscal confirma residência fiscal, identificação tributária, retenções e obrigações locais antes de submissão. Fonte A02.</w:t>
      </w:r>
    </w:p>
    <w:p>
      <w:r>
        <w:rPr>
          <w:b w:val="0"/>
        </w:rPr>
        <w:t>Para distribuição na União Europeia, decidir o estatuto de trader de acordo com a atividade efetiva. Uma conta individual não é automaticamente non-trader. Se aplicável, validar os contactos e a sua divulgação pública. Registar os territórios escolhidos e rever com advogado a transparência exigida. Fonte A04.</w:t>
      </w:r>
    </w:p>
    <w:p>
      <w:pPr>
        <w:pStyle w:val="Heading1"/>
      </w:pPr>
      <w:r>
        <w:t>Inscrição e verificações Google Play</w:t>
      </w:r>
    </w:p>
    <w:p>
      <w:r>
        <w:rPr>
          <w:b w:val="0"/>
        </w:rPr>
        <w:t>A página oficial de países suporta registo de developer e comerciante na Arábia Saudita e apresenta SAR como moeda da linha do país. A habilitação efetiva depende da validação da conta e do perfil de pagamentos. Completar os dados pessoais, contactos e identidade pedidos pela Play Console; não substituir uma conta pessoal por uma organização fictícia. Fontes G01 e G02.</w:t>
      </w:r>
    </w:p>
    <w:p>
      <w:pPr>
        <w:pStyle w:val="Heading2"/>
      </w:pPr>
      <w:r>
        <w:t>Checklist da conta</w:t>
      </w:r>
    </w:p>
    <w:p>
      <w:pPr>
        <w:pStyle w:val="ListBullet"/>
      </w:pPr>
      <w:r>
        <w:rPr>
          <w:b w:val="0"/>
        </w:rPr>
        <w:t>Registar data de criação e tipo da conta para determinar se se aplicam as regras de testes de novas contas pessoais.</w:t>
      </w:r>
    </w:p>
    <w:p>
      <w:pPr>
        <w:pStyle w:val="ListBullet"/>
      </w:pPr>
      <w:r>
        <w:rPr>
          <w:b w:val="0"/>
        </w:rPr>
        <w:t>Preparar identificação oficial aceite, morada, contactos verificáveis e perfil de pagamentos consistente com o titular. Confirmar no fluxo oficial a taxa de registo antes do pagamento.</w:t>
      </w:r>
    </w:p>
    <w:p>
      <w:pPr>
        <w:pStyle w:val="ListBullet"/>
      </w:pPr>
      <w:r>
        <w:rPr>
          <w:b w:val="0"/>
        </w:rPr>
        <w:t>Ativar proteção da conta Google e guardar códigos de recuperação no cofre. Rever permissões de colaboradores e remover acessos temporários após o trabalho.</w:t>
      </w:r>
    </w:p>
    <w:p>
      <w:pPr>
        <w:pStyle w:val="ListBullet"/>
      </w:pPr>
      <w:r>
        <w:rPr>
          <w:b w:val="0"/>
        </w:rPr>
        <w:t>Verificar email e telefone quando pedidos e distinguir contacto privado da conta de contacto público da app. Confirmar o que será exposto antes de concluir a ficha.</w:t>
      </w:r>
    </w:p>
    <w:p>
      <w:pPr>
        <w:pStyle w:val="ListBullet"/>
      </w:pPr>
      <w:r>
        <w:rPr>
          <w:b w:val="0"/>
        </w:rPr>
        <w:t>Completar a verificação de dispositivo pelo titular na app Play Console: dispositivo Android físico, sem root e com Android 10 ou superior. O emulador de desenvolvimento não substitui esta verificação. Fonte G03.</w:t>
      </w:r>
    </w:p>
    <w:p>
      <w:pPr>
        <w:pStyle w:val="ListBullet"/>
      </w:pPr>
      <w:r>
        <w:rPr>
          <w:b w:val="0"/>
        </w:rPr>
        <w:t>Confirmar registo dos package names e estado da verificação de developer Android para os territórios aplicáveis; manter separada esta obrigação do teste fechado da Play Store. A documentação Android aponta o início de aplicação regional a 30 de setembro de 2026 no Brasil, Indonésia, Singapura e Tailândia, com expansão posterior. Fonte G04.</w:t>
      </w:r>
    </w:p>
    <w:p>
      <w:pPr>
        <w:pStyle w:val="Heading2"/>
      </w:pPr>
      <w:r>
        <w:t>Teste fechado e acesso a produção</w:t>
      </w:r>
    </w:p>
    <w:p>
      <w:r>
        <w:rPr>
          <w:b w:val="0"/>
        </w:rPr>
        <w:t>Para contas pessoais criadas depois de 13 de novembro de 2023, o requisito consultado é um teste fechado com pelo menos 12 testers inscritos continuamente durante os 14 dias anteriores ao pedido. Recrutar um grupo com margem para desistências, distribuir instruções e recolher feedback real. Arquivar datas de opt-in, dispositivos cobertos, cenários executados, defeitos corrigidos e resumo de participação. Testers que saem e voltam não completam retroativamente a janela contínua. Fonte G05.</w:t>
      </w:r>
    </w:p>
    <w:p>
      <w:r>
        <w:t>O teste interno não substitui este teste fechado. Depois de cumprir a janela, responder com factos às perguntas sobre teste, app e prontidão e pedir acesso a produção. O cumprimento numérico não garante aprovação. Planear 15 a 29 de outubro, reconfirmando os instantes na Console, e reservar a revisão externa depois do pedido. Prever pedido de acesso à produção em 29 de outubro após elegibilidade e prontidão. A data de 10 de novembro mantém a meta de prontidão técnica e administrativa para submissão sem inventar uma data de aprovação.</w:t>
      </w:r>
    </w:p>
    <w:p>
      <w:pPr>
        <w:pStyle w:val="Heading1"/>
      </w:pPr>
      <w:r>
        <w:t>Identificadores e assinatura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4000"/>
        <w:gridCol w:w="3810"/>
      </w:tblGrid>
      <w:tr>
        <w:trPr>
          <w:cantSplit/>
          <w:tblHeader/>
        </w:trPr>
        <w:tc>
          <w:tcPr>
            <w:tcW w:type="dxa" w:w="1714"/>
            <w:vAlign w:val="center"/>
            <w:shd w:fill="203D50"/>
            <w:tcMar>
              <w:top w:w="95" w:type="dxa"/>
              <w:left w:w="95" w:type="dxa"/>
              <w:bottom w:w="95" w:type="dxa"/>
              <w:right w:w="95" w:type="dxa"/>
            </w:tcMar>
          </w:tcPr>
          <w:p>
            <w:pPr>
              <w:spacing w:after="80" w:before="80" w:line="252" w:lineRule="auto"/>
            </w:pPr>
            <w:r>
              <w:rPr>
                <w:b/>
                <w:color w:val="FFFFFF"/>
                <w:sz w:val="18"/>
              </w:rPr>
              <w:t>Artefacto</w:t>
            </w:r>
          </w:p>
        </w:tc>
        <w:tc>
          <w:tcPr>
            <w:tcW w:type="dxa" w:w="4000"/>
            <w:vAlign w:val="center"/>
            <w:shd w:fill="203D50"/>
            <w:tcMar>
              <w:top w:w="95" w:type="dxa"/>
              <w:left w:w="95" w:type="dxa"/>
              <w:bottom w:w="95" w:type="dxa"/>
              <w:right w:w="95" w:type="dxa"/>
            </w:tcMar>
          </w:tcPr>
          <w:p>
            <w:pPr>
              <w:spacing w:after="80" w:before="80" w:line="252" w:lineRule="auto"/>
            </w:pPr>
            <w:r>
              <w:rPr>
                <w:b/>
                <w:color w:val="FFFFFF"/>
                <w:sz w:val="18"/>
              </w:rPr>
              <w:t>Preparação no Windows</w:t>
            </w:r>
          </w:p>
        </w:tc>
        <w:tc>
          <w:tcPr>
            <w:tcW w:type="dxa" w:w="3810"/>
            <w:vAlign w:val="center"/>
            <w:shd w:fill="203D50"/>
            <w:tcMar>
              <w:top w:w="95" w:type="dxa"/>
              <w:left w:w="95" w:type="dxa"/>
              <w:bottom w:w="95" w:type="dxa"/>
              <w:right w:w="95" w:type="dxa"/>
            </w:tcMar>
          </w:tcPr>
          <w:p>
            <w:pPr>
              <w:spacing w:after="80" w:before="80" w:line="252" w:lineRule="auto"/>
            </w:pPr>
            <w:r>
              <w:rPr>
                <w:b/>
                <w:color w:val="FFFFFF"/>
                <w:sz w:val="18"/>
              </w:rPr>
              <w:t>Validação final</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Identidade da app</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Propor bundle ID, package name, nome e ambientes sem colisão</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Confirmar propriedade e registo antes da primeira distribuição</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Android</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Keystore de upload protegido, alias e recuperação; build AAB e versionCode crescente</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Play App Signing, certificado da app distribuída e instalação pelo canal real</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iOS e iPadOS</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Projeto Flutter, assets e declarações de permissões; documentação de capabilities</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Xcode no Mac, certificados, profiles, entitlements, archive e upload</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macOS</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Requisitos e comportamento de ficheiros preparados</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Assinatura e, para distribuição fora da loja, notarização aplicável; Pending Hardware</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Windows</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Build release e instalador definidos; política de assinatura a aprovar</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Instalação limpa, atualização, permissões e aviso de confiança</w:t>
            </w:r>
          </w:p>
        </w:tc>
      </w:tr>
    </w:tbl>
    <w:p>
      <w:pPr>
        <w:spacing w:after="40"/>
      </w:pPr>
    </w:p>
    <w:p>
      <w:r>
        <w:rPr>
          <w:b w:val="0"/>
        </w:rPr>
        <w:t>As chaves privadas de upload e assinatura não são colocadas nos documentos, repositórios, prompts ou analytics. Registar localização no cofre, responsável, expiração e procedimento de recuperação. Não confundir chave de upload Android com app signing key. Um build assinado com chave de debug nunca constitui candidato de produção. A Apple pode exigir uma versão mínima de Xcode/SDK à data de upload; registar a exigência efetiva no dossier, consultando A05, sem a deduzir do SDK Android instalado.</w:t>
      </w:r>
    </w:p>
    <w:p>
      <w:r>
        <w:rPr>
          <w:b w:val="0"/>
        </w:rPr>
        <w:t>Para novas apps e atualizações Android móveis, a página consultada estabelece Android 16, API 36 ou superior, a partir de 31 de agosto de 2026. Revalidar no momento de submissão; API alvo e versão mínima suportada são decisões distintas. A eventual extensão até 1 de novembro não deve sustentar o plano de 10 de novembro. Fonte G06.</w:t>
      </w:r>
    </w:p>
    <w:p>
      <w:pPr>
        <w:pStyle w:val="Heading1"/>
      </w:pPr>
      <w:r>
        <w:t>Metadados e materiais das lojas</w:t>
      </w:r>
    </w:p>
    <w:p>
      <w:r>
        <w:rPr>
          <w:b w:val="0"/>
        </w:rPr>
        <w:t>Preparar um dossier por app e plataforma com título, descrição curta/longa, categoria, palavras-chave quando aplicável, localização, URL de privacidade, URL de suporte, copyright, classificação etária, territórios, disponibilidade, screenshots, ícone e notas ao revisor. As imagens devem mostrar a versão efetiva, sem dados reais de clientes e sem capacidades por implementar.</w:t>
      </w:r>
    </w:p>
    <w:p>
      <w:r>
        <w:rPr>
          <w:b w:val="0"/>
        </w:rPr>
        <w:t>Google Play indica limites de 30 caracteres para nome, 80 para descrição curta e 4000 para descrição completa. Verificar dimensões e formatos dos assets no canal e formulário atuais antes de produzir as imagens finais. O package name é permanente e o versionCode aumenta em cada atualização. Não usar a mudança de nome comercial para resolver colisão de identidade. Fonte G07.</w:t>
      </w:r>
    </w:p>
    <w:p>
      <w:pPr>
        <w:pStyle w:val="Heading2"/>
      </w:pPr>
      <w:r>
        <w:t>Alegações por produto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4000"/>
        <w:gridCol w:w="3810"/>
      </w:tblGrid>
      <w:tr>
        <w:trPr>
          <w:cantSplit/>
          <w:tblHeader/>
        </w:trPr>
        <w:tc>
          <w:tcPr>
            <w:tcW w:type="dxa" w:w="1714"/>
            <w:vAlign w:val="center"/>
            <w:shd w:fill="203D50"/>
            <w:tcMar>
              <w:top w:w="95" w:type="dxa"/>
              <w:left w:w="95" w:type="dxa"/>
              <w:bottom w:w="95" w:type="dxa"/>
              <w:right w:w="95" w:type="dxa"/>
            </w:tcMar>
          </w:tcPr>
          <w:p>
            <w:pPr>
              <w:spacing w:after="80" w:before="80" w:line="252" w:lineRule="auto"/>
            </w:pPr>
            <w:r>
              <w:rPr>
                <w:b/>
                <w:color w:val="FFFFFF"/>
                <w:sz w:val="18"/>
              </w:rPr>
              <w:t>Produto</w:t>
            </w:r>
          </w:p>
        </w:tc>
        <w:tc>
          <w:tcPr>
            <w:tcW w:type="dxa" w:w="4000"/>
            <w:vAlign w:val="center"/>
            <w:shd w:fill="203D50"/>
            <w:tcMar>
              <w:top w:w="95" w:type="dxa"/>
              <w:left w:w="95" w:type="dxa"/>
              <w:bottom w:w="95" w:type="dxa"/>
              <w:right w:w="95" w:type="dxa"/>
            </w:tcMar>
          </w:tcPr>
          <w:p>
            <w:pPr>
              <w:spacing w:after="80" w:before="80" w:line="252" w:lineRule="auto"/>
            </w:pPr>
            <w:r>
              <w:rPr>
                <w:b/>
                <w:color w:val="FFFFFF"/>
                <w:sz w:val="18"/>
              </w:rPr>
              <w:t>Descrição a sustentar</w:t>
            </w:r>
          </w:p>
        </w:tc>
        <w:tc>
          <w:tcPr>
            <w:tcW w:type="dxa" w:w="3810"/>
            <w:vAlign w:val="center"/>
            <w:shd w:fill="203D50"/>
            <w:tcMar>
              <w:top w:w="95" w:type="dxa"/>
              <w:left w:w="95" w:type="dxa"/>
              <w:bottom w:w="95" w:type="dxa"/>
              <w:right w:w="95" w:type="dxa"/>
            </w:tcMar>
          </w:tcPr>
          <w:p>
            <w:pPr>
              <w:spacing w:after="80" w:before="80" w:line="252" w:lineRule="auto"/>
            </w:pPr>
            <w:r>
              <w:rPr>
                <w:b/>
                <w:color w:val="FFFFFF"/>
                <w:sz w:val="18"/>
              </w:rPr>
              <w:t>Alegações a excluir</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Field Report</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Inspeção técnica com findings, medições estruturadas, evidência e normas validadas pelo utilizador</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Relatório automaticamente certificado; conformidade normativa garantida por IA</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PhotoProof</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Evidência com deteção de alteração, proveniência e estados de confiança visíveis</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Prova jurídica universal; GPS infalível; timestamp como prova automática da hora de captura</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Field Calc</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Cálculo determinístico com fórmula e parâmetros confirmados; IA opcional para interpretação</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Resultado de engenharia garantido só porque foi sugerido por IA</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Website</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Informação comercial, documentação, suporte e verificação limitada de evidência</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Acesso administrativo público ou publicação de evidência privada por defeito</w:t>
            </w:r>
          </w:p>
        </w:tc>
      </w:tr>
    </w:tbl>
    <w:p>
      <w:pPr>
        <w:spacing w:after="40"/>
      </w:pPr>
    </w:p>
    <w:p>
      <w:r>
        <w:rPr>
          <w:b w:val="0"/>
        </w:rPr>
        <w:t>Preencher o questionário de idade com o comportamento real, incluindo IA, conteúdo introduzido pelos utilizadores e eventuais ligações externas. Não assumir uma classificação só porque a app se dirige a profissionais. Documentar fontes de imagens, fontes tipográficas, ícones, marcas e autorização de uso. Se a Console apresentar declarações de assets gerados por IA, responder com base na origem real de cada asset, sem pressupor que todos os gráficos são isentos.</w:t>
      </w:r>
    </w:p>
    <w:p>
      <w:pPr>
        <w:pStyle w:val="Heading1"/>
      </w:pPr>
      <w:r>
        <w:t>Contas e acesso dos revisores</w:t>
      </w:r>
    </w:p>
    <w:p>
      <w:r>
        <w:rPr>
          <w:b w:val="0"/>
        </w:rPr>
        <w:t>Field Calc abre diretamente no catálogo de cálculos e no modo manual. Não exigir conta para utilizar fórmulas, histórico local ou unidades. Se houver entitlement pago ou Managed AI anónimo, usar os mecanismos mínimos de compra/restauro e quota por instalação, sem transformar estes em registo obrigatório.</w:t>
      </w:r>
    </w:p>
    <w:p>
      <w:r>
        <w:rPr>
          <w:b w:val="0"/>
        </w:rPr>
        <w:t>Field Report protege o acesso a projetos e atribui autores, revisões e aprovações. PhotoProof associa uma conta e uma chave de dispositivo ao capturador. Explicar estas finalidades no onboarding, na política de privacidade e nas notas ao revisor. Não recolher KYC civil por defeito. Dados locais de demonstração podem ser explorados sem atribuir uma identidade fictícia de produção.</w:t>
      </w:r>
    </w:p>
    <w:p>
      <w:r>
        <w:rPr>
          <w:b w:val="0"/>
        </w:rPr>
        <w:t>Fornecer uma conta de revisão isolada por produto, com dados sintéticos, permissões suficientes e instruções para funções offline, IA, compras sandbox e eliminação. A conta de revisão nunca é conta administrativa. As credenciais são transmitidas só pelos campos seguros das lojas. Evitar fluxos que dependam de SMS ao titular ou da presença do developer. Se for necessário um modo de demonstração, este deve ser completo para o âmbito a avaliar e estar claramente identificado. Fonte A06.</w:t>
      </w:r>
    </w:p>
    <w:p>
      <w:r>
        <w:rPr>
          <w:b w:val="0"/>
        </w:rPr>
        <w:t>Criar um guião de dez ações: iniciar sessão; criar projeto/captura; recusar permissões opcionais; trabalhar offline; voltar à rede; usar IA com consentimento; consultar a proveniência da norma/evidência; exportar; gerir dados; eliminar conta. Para Calc, substituir início de sessão por arranque sem conta e confirmação de parâmetros. Associar cada ação à localização do ecrã e ao resultado esperado.</w:t>
      </w:r>
    </w:p>
    <w:p>
      <w:pPr>
        <w:pStyle w:val="Heading1"/>
      </w:pPr>
      <w:r>
        <w:t>Eliminação de conta e dados</w:t>
      </w:r>
    </w:p>
    <w:p>
      <w:r>
        <w:rPr>
          <w:b w:val="0"/>
        </w:rPr>
        <w:t>Apple exige que apps que suportam criação de conta permitam iniciar a eliminação na app. A desativação temporária não é suficiente. Google exige, para as apps abrangidas, uma via na app e um recurso web acessível para pedir eliminação da conta e dados associados. Implementar estes fluxos e declarar os dados retidos e os motivos. Fontes A07 e G08.</w:t>
      </w:r>
    </w:p>
    <w:p>
      <w:pPr>
        <w:pStyle w:val="Heading2"/>
      </w:pPr>
      <w:r>
        <w:t>Procedimento proposto</w:t>
      </w:r>
    </w:p>
    <w:p>
      <w:pPr>
        <w:pStyle w:val="ListBullet"/>
      </w:pPr>
      <w:r>
        <w:rPr>
          <w:b w:val="0"/>
        </w:rPr>
        <w:t>O utilizador abre Conta e dados, vê o âmbito, pode exportar e confirma o pedido com reautenticação proporcional. Evitar recolha de novo documento de identidade para pedidos comuns.</w:t>
      </w:r>
    </w:p>
    <w:p>
      <w:pPr>
        <w:pStyle w:val="ListBullet"/>
      </w:pPr>
      <w:r>
        <w:rPr>
          <w:b w:val="0"/>
        </w:rPr>
        <w:t>O servidor emite request_id, confirma receção, revoga tokens de acesso e agenda as tarefas por sistema. O endpoint web permite iniciar o pedido sem reinstalar a app, protegendo contra pedidos em nome de terceiros.</w:t>
      </w:r>
    </w:p>
    <w:p>
      <w:pPr>
        <w:pStyle w:val="ListBullet"/>
      </w:pPr>
      <w:r>
        <w:rPr>
          <w:b w:val="0"/>
        </w:rPr>
        <w:t>Apagar ou desassociar conta, objetos remotos e identificadores de analytics conforme o inventário. Propagar account_deleted ao Backoffice. Manter comprovativo mínimo de execução sem o conteúdo eliminado.</w:t>
      </w:r>
    </w:p>
    <w:p>
      <w:pPr>
        <w:pStyle w:val="ListBullet"/>
      </w:pPr>
      <w:r>
        <w:rPr>
          <w:b w:val="0"/>
        </w:rPr>
        <w:t>Mostrar separadamente cancelamento de subscrição e eliminação. Dar acesso à gestão Apple/Google quando necessária. Eliminar a conta não deve prometer cancelar automaticamente um contrato controlado pela loja.</w:t>
      </w:r>
    </w:p>
    <w:p>
      <w:pPr>
        <w:pStyle w:val="ListBullet"/>
      </w:pPr>
      <w:r>
        <w:rPr>
          <w:b w:val="0"/>
        </w:rPr>
        <w:t>Explicar a janela de expurgo das cópias de segurança e a impossibilidade de apagar cópias que o utilizador já partilhou com terceiros. Uma retenção legal tem finalidade, prazo e acesso limitado; não serve para reter tudo por conveniência.</w:t>
      </w:r>
    </w:p>
    <w:p>
      <w:r>
        <w:rPr>
          <w:b w:val="0"/>
        </w:rPr>
        <w:t>O conflito entre original imutável e eliminação é resolvido por imutabilidade durante a existência do objeto e eliminação autorizada do objeto completo, segundo política e retenções legais justificadas. Não ligar Object Lock indefinido a todos os dados pessoais. Pacotes PhotoProof exportados podem conservar hashes e assinaturas com proveniência verificável, sem obrigar o serviço público a expor identidade pessoal após a eliminação.</w:t>
      </w:r>
    </w:p>
    <w:p>
      <w:pPr>
        <w:pStyle w:val="Heading1"/>
      </w:pPr>
      <w:r>
        <w:t>Privacidade das lojas e permissões</w:t>
      </w:r>
    </w:p>
    <w:p>
      <w:r>
        <w:rPr>
          <w:b w:val="0"/>
        </w:rPr>
        <w:t>As declarações Apple App Privacy e Google Data safety devem refletir a app, os SDKs, o backend, o suporte e os modos opcionais. Uma biblioteca que recolhe dados conta mesmo que o developer não consulte os dados. Registar por campo se sai do dispositivo, para onde vai, finalidade, associação a identidade, retenção e possibilidade de recusa. Fontes A08 e G09.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4000"/>
        <w:gridCol w:w="3810"/>
      </w:tblGrid>
      <w:tr>
        <w:trPr>
          <w:cantSplit/>
          <w:tblHeader/>
        </w:trPr>
        <w:tc>
          <w:tcPr>
            <w:tcW w:type="dxa" w:w="1714"/>
            <w:vAlign w:val="center"/>
            <w:shd w:fill="203D50"/>
            <w:tcMar>
              <w:top w:w="95" w:type="dxa"/>
              <w:left w:w="95" w:type="dxa"/>
              <w:bottom w:w="95" w:type="dxa"/>
              <w:right w:w="95" w:type="dxa"/>
            </w:tcMar>
          </w:tcPr>
          <w:p>
            <w:pPr>
              <w:spacing w:after="80" w:before="80" w:line="252" w:lineRule="auto"/>
            </w:pPr>
            <w:r>
              <w:rPr>
                <w:b/>
                <w:color w:val="FFFFFF"/>
                <w:sz w:val="18"/>
              </w:rPr>
              <w:t>Categoria</w:t>
            </w:r>
          </w:p>
        </w:tc>
        <w:tc>
          <w:tcPr>
            <w:tcW w:type="dxa" w:w="4000"/>
            <w:vAlign w:val="center"/>
            <w:shd w:fill="203D50"/>
            <w:tcMar>
              <w:top w:w="95" w:type="dxa"/>
              <w:left w:w="95" w:type="dxa"/>
              <w:bottom w:w="95" w:type="dxa"/>
              <w:right w:w="95" w:type="dxa"/>
            </w:tcMar>
          </w:tcPr>
          <w:p>
            <w:pPr>
              <w:spacing w:after="80" w:before="80" w:line="252" w:lineRule="auto"/>
            </w:pPr>
            <w:r>
              <w:rPr>
                <w:b/>
                <w:color w:val="FFFFFF"/>
                <w:sz w:val="18"/>
              </w:rPr>
              <w:t>Necessidade funcional</w:t>
            </w:r>
          </w:p>
        </w:tc>
        <w:tc>
          <w:tcPr>
            <w:tcW w:type="dxa" w:w="3810"/>
            <w:vAlign w:val="center"/>
            <w:shd w:fill="203D50"/>
            <w:tcMar>
              <w:top w:w="95" w:type="dxa"/>
              <w:left w:w="95" w:type="dxa"/>
              <w:bottom w:w="95" w:type="dxa"/>
              <w:right w:w="95" w:type="dxa"/>
            </w:tcMar>
          </w:tcPr>
          <w:p>
            <w:pPr>
              <w:spacing w:after="80" w:before="80" w:line="252" w:lineRule="auto"/>
            </w:pPr>
            <w:r>
              <w:rPr>
                <w:b/>
                <w:color w:val="FFFFFF"/>
                <w:sz w:val="18"/>
              </w:rPr>
              <w:t>Tratamento inicial proposto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Nome ou identificador de autor</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Field Report e PhotoProof</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Identidade mínima; não publicidade</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Fotografias e ficheiros</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Evidência e normas importadas</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Local por defeito; envio só por função explícita</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Localização precisa</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PhotoProof e evidência georreferenciada quando pedida</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Consentimento contextual, accuracy e estado de permissão; nunca analytics</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Diagnóstico</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Falhas e saúde</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Códigos fixos e metadados redigidos; sem corpo de relatório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Compras</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Direitos de utilização</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Referência da transação validada; sem dados de cartão</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Conteúdo enviado à IA</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Ação Managed AI ou BYO escolhida</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Pré-visualização, minimização e informação sobre fornecedor</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Segredos BYO</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Autorização do fornecedor do utilizador</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Apenas cofre do sistema operativo; exclusão de backups não cifrados</w:t>
            </w:r>
          </w:p>
        </w:tc>
      </w:tr>
    </w:tbl>
    <w:p>
      <w:pPr>
        <w:spacing w:after="40"/>
      </w:pPr>
    </w:p>
    <w:p>
      <w:r>
        <w:rPr>
          <w:b w:val="0"/>
        </w:rPr>
        <w:t>Pedir câmara no momento da captura; biblioteca apenas para seleção/importação; localização ao associar contexto e com escolha de precisão; ficheiros através de seleção pelo utilizador. Evitar acesso alargado a armazenamento se um seletor de sistema resolver o caso. A ausência de GPS não invalida o hash da fotografia, mas deve constar da evidência. Áudio, contactos, SMS, acessibilidade do sistema e localização em segundo plano ficam fora sem requisito adicional aprovado.</w:t>
      </w:r>
    </w:p>
    <w:p>
      <w:r>
        <w:rPr>
          <w:b w:val="0"/>
        </w:rPr>
        <w:t>Rever privacy manifests, required reason APIs e assinaturas dos SDKs Apple aplicáveis. Inventariar dependências Flutter e os seus componentes nativos, porque um pacote Dart pode incluir um SDK com obrigações próprias. Confirmar no build final as usage descriptions e a coerência com o texto visível. Fonte A09.</w:t>
      </w:r>
    </w:p>
    <w:p>
      <w:pPr>
        <w:pStyle w:val="Heading1"/>
      </w:pPr>
      <w:r>
        <w:t>IA e responsabilidade do utilizador</w:t>
      </w:r>
    </w:p>
    <w:p>
      <w:r>
        <w:rPr>
          <w:b w:val="0"/>
        </w:rPr>
        <w:t>O onboarding de IA identifica modo, fornecedor, finalidade, dados enviados e possibilidade de recusar. O botão de execução nunca ativa BYO por omissão nem envia documentos completos apenas para melhorar uma sugestão. Em Field Report, a IA sugere estrutura ou redação e nunca valida uma referência normativa que não foi verificada. Em Calc, produz uma proposta de parâmetros; o cálculo só ocorre após confirmação no motor determinístico.</w:t>
      </w:r>
    </w:p>
    <w:p>
      <w:r>
        <w:rPr>
          <w:b w:val="0"/>
        </w:rPr>
        <w:t>Nas funções abrangidas pela política de conteúdo gerado por IA da Google, disponibilizar denúncia/feedback na app e controlos contra conteúdo proibido. O pedido de suporte recebe uma referência e metadados mínimos; o conteúdo da interação só é anexado por escolha informada. Rever com as diretrizes Apple os requisitos de divulgação e consentimento antes de partilhar dados pessoais com terceiros. Fontes G10 e A06.</w:t>
      </w:r>
    </w:p>
    <w:p>
      <w:r>
        <w:rPr>
          <w:b w:val="0"/>
        </w:rPr>
        <w:t>A política BYO descreve o destino externo e a divisão de responsabilidades sem eliminar as obrigações da Vision sobre a segurança do cliente. Chaves de provider nunca entram em links de suporte, mensagens de erro ou sistemas de medição. Se o dispositivo não oferecer armazenamento seguro compatível, desativar a persistência das credenciais e explicar a limitação; não guardar em preferências em texto simples.</w:t>
      </w:r>
    </w:p>
    <w:p>
      <w:pPr>
        <w:pStyle w:val="Heading1"/>
      </w:pPr>
      <w:r>
        <w:t>Privacidade e analytics por desenho</w:t>
      </w:r>
    </w:p>
    <w:p>
      <w:r>
        <w:rPr>
          <w:b w:val="0"/>
        </w:rPr>
        <w:t>Analytics é um requisito oficial. O objetivo é medir adoção funcional, falhas, latência, consumo e saúde do serviço para melhorar o produto e controlar custos. Por defeito ficam excluídos fotografias, conteúdo de relatórios, documentos e normas importadas, secrets, API keys, coordenadas GPS precisas e prompts sensíveis completos. Os identificadores pseudónimos continuam a poder ser dados pessoais e não devem ser chamados anónimos sem demonstração.</w:t>
      </w:r>
    </w:p>
    <w:p>
      <w:r>
        <w:rPr>
          <w:b w:val="0"/>
        </w:rPr>
        <w:t>O esquema base proposto contém event_id aleatório, event_name de uma lista fechada, schema_version, app_id, app_version, platform, occurred_at com granularidade ajustada, received_at, outcome e error_code fixo. Campos opcionais admitidos incluem duration_bucket, feature_id e provider_mode. Campos desconhecidos são rejeitados. Não aceitar mensagens de exceção livres, URL completa, caminho local ou nome de ficheiro. O evento não transporta o identificador público de uma evidência juntamente com a identidade do utilizador.</w:t>
      </w:r>
    </w:p>
    <w:p>
      <w:r>
        <w:rPr>
          <w:b w:val="0"/>
        </w:rPr>
        <w:t>A medição opcional do uso fica separada da telemetria técnica necessária e dos registos de segurança. A política legal define a base aplicável; quando é necessário consentimento, não recolher antes da escolha, oferecer recusa equivalente e permitir revogação. A recusa de analytics opcionais não desativa as funções locais. Não introduzir publicidade, identificadores publicitários ou tracking entre serviços no âmbito inicial.</w:t>
      </w:r>
    </w:p>
    <w:p>
      <w:r>
        <w:rPr>
          <w:b w:val="0"/>
        </w:rPr>
        <w:t>Proposta de retenção a aprovar no gate de privacidade: eventos opcionais brutos até 30 dias; diagnósticos técnicos redigidos até 30 dias; agregados sem ligação a conta até 13 meses; audit de administração até 12 meses; factos de compras e obrigações fiscais pelo prazo legal confirmado; anexos de suporte até 30 dias após fecho. As cópias de segurança têm janela proposta de 35 dias, com expurgo diferido e reaplicação dos pedidos de eliminação após restauro. Estes valores são escolhas de produto, não prazos legais universalmente impostos.</w:t>
      </w:r>
    </w:p>
    <w:p>
      <w:r>
        <w:rPr>
          <w:b w:val="0"/>
        </w:rPr>
        <w:t>A eliminação distingue conta, dados remotos, dados locais, cópias partilhadas pelo utilizador e registos legalmente retidos. O pedido revoga sessões e acessos remotos, agenda purga e comunica o resultado e exceções fundamentadas. Exportar antes de apagar deve ser opção, não obstáculo. Uma operação de suporte usa referências opacas; conteúdo técnico de uma inspeção só entra num pedido de suporte por ação específica e consentida do utilizador, com finalidade e acesso restrito.</w:t>
      </w:r>
    </w:p>
    <w:p>
      <w:pPr>
        <w:pStyle w:val="Heading1"/>
      </w:pPr>
      <w:r>
        <w:t>Documentos legais a preparar e aprovar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4000"/>
        <w:gridCol w:w="3810"/>
      </w:tblGrid>
      <w:tr>
        <w:trPr>
          <w:cantSplit/>
          <w:tblHeader/>
        </w:trPr>
        <w:tc>
          <w:tcPr>
            <w:tcW w:type="dxa" w:w="1714"/>
            <w:vAlign w:val="center"/>
            <w:shd w:fill="203D50"/>
            <w:tcMar>
              <w:top w:w="95" w:type="dxa"/>
              <w:left w:w="95" w:type="dxa"/>
              <w:bottom w:w="95" w:type="dxa"/>
              <w:right w:w="95" w:type="dxa"/>
            </w:tcMar>
          </w:tcPr>
          <w:p>
            <w:pPr>
              <w:spacing w:after="80" w:before="80" w:line="252" w:lineRule="auto"/>
            </w:pPr>
            <w:r>
              <w:rPr>
                <w:b/>
                <w:color w:val="FFFFFF"/>
                <w:sz w:val="18"/>
              </w:rPr>
              <w:t>Documento</w:t>
            </w:r>
          </w:p>
        </w:tc>
        <w:tc>
          <w:tcPr>
            <w:tcW w:type="dxa" w:w="4000"/>
            <w:vAlign w:val="center"/>
            <w:shd w:fill="203D50"/>
            <w:tcMar>
              <w:top w:w="95" w:type="dxa"/>
              <w:left w:w="95" w:type="dxa"/>
              <w:bottom w:w="95" w:type="dxa"/>
              <w:right w:w="95" w:type="dxa"/>
            </w:tcMar>
          </w:tcPr>
          <w:p>
            <w:pPr>
              <w:spacing w:after="80" w:before="80" w:line="252" w:lineRule="auto"/>
            </w:pPr>
            <w:r>
              <w:rPr>
                <w:b/>
                <w:color w:val="FFFFFF"/>
                <w:sz w:val="18"/>
              </w:rPr>
              <w:t>Conteúdo operacional mínimo</w:t>
            </w:r>
          </w:p>
        </w:tc>
        <w:tc>
          <w:tcPr>
            <w:tcW w:type="dxa" w:w="3810"/>
            <w:vAlign w:val="center"/>
            <w:shd w:fill="203D50"/>
            <w:tcMar>
              <w:top w:w="95" w:type="dxa"/>
              <w:left w:w="95" w:type="dxa"/>
              <w:bottom w:w="95" w:type="dxa"/>
              <w:right w:w="95" w:type="dxa"/>
            </w:tcMar>
          </w:tcPr>
          <w:p>
            <w:pPr>
              <w:spacing w:after="80" w:before="80" w:line="252" w:lineRule="auto"/>
            </w:pPr>
            <w:r>
              <w:rPr>
                <w:b/>
                <w:color w:val="FFFFFF"/>
                <w:sz w:val="18"/>
              </w:rPr>
              <w:t>Aprovação necessária</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Identificação do prestador</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Nome legal, contactos, morada/publicidade exigida, marca e territórios</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Titular e advogado</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Termos de utilização ou EULA</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Licença, uso admissível, funções, pagamentos, cessação, responsabilidade e lei aplicável</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Advogado dos mercados de lançamento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Política de privacidade</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Responsáveis, finalidades, bases, dados, fornecedores, transferências, direitos, retenção e contactos</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Revisão jurídica e reconciliação técnica</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Política de cookies</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Tecnologias do website, escolha e revogação quando aplicável</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Revisão de privacidade</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Anexo Managed AI e BYO</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Fluxo, fornecedores, consentimento, custo, limitações e responsabilidade dividida</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Produto, segurança e jurídico</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Política de evidência PhotoProof</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Captura/importação, hash, TSA, attestation, exportação e limites de prova</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Especialista de evidência e advogado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Política de normas</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Licenças, proveniência, edição, validação humana e atualização</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Produto e detentor dos direitos quando necessário</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Apoio e reembolsos</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Canais, prazos realistas, gestão pelas lojas, reclamações e incidentes</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Operação e jurídico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Registo de tratamentos e avaliação de impacto</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Sistemas, categorias, bases, destinatários, riscos e medidas</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Responsável de privacidade</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Lista de subcontratantes e DPA</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AWS, suporte, TSA e BYO conforme papéis reais; localizações</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Jurídico e segurança</w:t>
            </w:r>
          </w:p>
        </w:tc>
      </w:tr>
    </w:tbl>
    <w:p>
      <w:pPr>
        <w:spacing w:after="40"/>
      </w:pPr>
    </w:p>
    <w:p>
      <w:r>
        <w:rPr>
          <w:b w:val="0"/>
        </w:rPr>
        <w:t>Não publicar textos com nomes, endereços, contactos ou prazos por preencher. O pack define os documentos e respetivos critérios; a versão pública depende do inventário real e de revisão jurídica. Manter versão e data de entrada em vigor e histórico acessível. Alterações materiais são comunicadas pelo canal apropriado e exigem novo consentimento quando aplicável.</w:t>
      </w:r>
    </w:p>
    <w:p>
      <w:pPr>
        <w:pStyle w:val="Heading2"/>
      </w:pPr>
      <w:r>
        <w:t>Arábia Saudita e mercados internacionais</w:t>
      </w:r>
    </w:p>
    <w:p>
      <w:r>
        <w:rPr>
          <w:b w:val="0"/>
        </w:rPr>
        <w:t>A PDPL pode abranger o tratamento comercial de dados pessoais e os dados de pessoas na Arábia Saudita. Alojar na AWS Frankfurt é uma transferência para fora do Reino que exige análise do mecanismo e condições aplicáveis. Preparar mapa de fluxos, destinatários, salvaguardas, transferências subsequentes e avaliação de risco. Não tratar uma região europeia como isenção automática. Fontes L01 e L02.</w:t>
      </w:r>
    </w:p>
    <w:p>
      <w:r>
        <w:rPr>
          <w:b w:val="0"/>
        </w:rPr>
        <w:t>A orientação oficial saudita sobre comércio eletrónico refere registo comercial ou licença de trabalho independente para as atividades abrangidas. A elegibilidade do titular, sobretudo quando a nacionalidade e o estatuto de residência não estão confirmados, exige aconselhamento local. Fonte L03. A ZATCA publica limiares de registo em IVA que incluem 375 000 SAR para registo obrigatório e 187 500 SAR para voluntário nas condições aplicáveis; o consultor determina o volume tributável, exportação de serviços, merchant of record e faturação eletrónica. Fonte L04.</w:t>
      </w:r>
    </w:p>
    <w:p>
      <w:r>
        <w:rPr>
          <w:b w:val="0"/>
        </w:rPr>
        <w:t>Se forem visados utilizadores na UE, avaliar aplicação territorial do RGPD, papéis de responsável/subcontratante, representante do artigo 27 quando aplicável e direitos dos consumidores. Servidor europeu, por si só, não resolve esta análise. Fonte L05. Verificar também transferências ligadas a suporte, CDN, attestation, TSA e BYO. A lista final de países de venda é uma decisão do gate jurídico.</w:t>
      </w:r>
    </w:p>
    <w:p>
      <w:pPr>
        <w:pStyle w:val="Heading1"/>
      </w:pPr>
      <w:r>
        <w:t>Compras subscrições e direitos de utilização</w:t>
      </w:r>
    </w:p>
    <w:p>
      <w:r>
        <w:rPr>
          <w:b w:val="0"/>
        </w:rPr>
        <w:t>Descrever por produto o que é gratuito, pago, por subscrição ou consumido em quota. Proposta inicial: funções locais essenciais identificadas; Managed AI sujeito a limites explícitos e custos controlados; PhotoProof pode ter custos TSA sem prometer quantidade ilimitada. Preços e planos ficam por aprovar após medição de custo.</w:t>
      </w:r>
    </w:p>
    <w:p>
      <w:r>
        <w:rPr>
          <w:b w:val="0"/>
        </w:rPr>
        <w:t>As apps móveis usam os mecanismos de faturação exigidos pelas respetivas lojas para bens e serviços digitais, salvo exceção aplicável e validada para o canal e território. O planeamento Paddle existente do Backoffice não se transfere automaticamente para iOS/Android. Desenhar entitlement comum com fontes Apple, Google e eventual web permitida, mantendo transaction_id, estado e histórico por canal. A compra repetida e os webhooks duplicados não duplicam direitos.</w:t>
      </w:r>
    </w:p>
    <w:p>
      <w:r>
        <w:rPr>
          <w:b w:val="0"/>
        </w:rPr>
        <w:t>Rever sandbox, compra, restauro, renovação, grace period, cancelamento, reembolso e chargeback. Não apagar dados locais por expiração da subscrição. Nunca enviar cartão bancário para Vision Cloud Services. Os recibos/notifications são validados no servidor e o Backoffice atua pela API autorizada, sem alterar à mão a verdade da loja.</w:t>
      </w:r>
    </w:p>
    <w:p>
      <w:pPr>
        <w:pStyle w:val="Heading1"/>
      </w:pPr>
      <w:r>
        <w:t>Código aberto e segurança operacional</w:t>
      </w:r>
    </w:p>
    <w:p>
      <w:r>
        <w:rPr>
          <w:b w:val="0"/>
        </w:rPr>
        <w:t>Manter um inventário de componentes diretos e transitivos, versão, origem, licença, obrigações de atribuição e política de atualização. Produzir SBOM para cada release e ficheiro de notices acessível. Verificar licenças de bases normativas, imagens, fontes e bibliotecas criptográficas. Uma licença do software não concede direito a redistribuir uma norma comercial.</w:t>
      </w:r>
    </w:p>
    <w:p>
      <w:r>
        <w:rPr>
          <w:b w:val="0"/>
        </w:rPr>
        <w:t>As auditorias verificam segredos, dependências vulneráveis relevantes, transporte TLS, armazenamento seguro, autorização, atualização de schema e dados em logs. Os ambientes de produção usam contas de serviço com privilégio mínimo e rotação. O suporte não pede API keys nem ficheiros completos de evidência sem necessidade e consentimento. Publicar security.txt e canal de reporte monitorizado; o endereço só entra no website depois de testado.</w:t>
      </w:r>
    </w:p>
    <w:p>
      <w:pPr>
        <w:pStyle w:val="Heading1"/>
      </w:pPr>
      <w:r>
        <w:t>Fases operacionais de conformidade</w:t>
      </w:r>
    </w:p>
    <w:p>
      <w:pPr>
        <w:pStyle w:val="Heading2"/>
      </w:pPr>
      <w:r>
        <w:t>C0 Titularidade e jurisdições</w:t>
      </w:r>
    </w:p>
    <w:p>
      <w:r>
        <w:t>Calendário proposto: 27 a 30 de setembro de 2026. Datas condicionadas à aprovação do gate anterior.</w:t>
      </w:r>
    </w:p>
    <w:p>
      <w:r>
        <w:rPr>
          <w:b/>
        </w:rPr>
        <w:t xml:space="preserve">Entradas. </w:t>
      </w:r>
      <w:r>
        <w:rPr>
          <w:b w:val="0"/>
        </w:rPr>
        <w:t>Identificação e residência do titular, países de venda propostos, modelo comercial e inventário de serviços.</w:t>
      </w:r>
    </w:p>
    <w:p>
      <w:r>
        <w:rPr>
          <w:b/>
        </w:rPr>
        <w:t xml:space="preserve">Implementação. </w:t>
      </w:r>
      <w:r>
        <w:rPr>
          <w:b w:val="0"/>
        </w:rPr>
        <w:t>Verificar elegibilidade individual, selecionar contas corretas, preparar perguntas jurídicas/fiscais e registo de acordos.</w:t>
      </w:r>
    </w:p>
    <w:p>
      <w:r>
        <w:rPr>
          <w:b/>
        </w:rPr>
        <w:t xml:space="preserve">Entregáveis. </w:t>
      </w:r>
      <w:r>
        <w:rPr>
          <w:b w:val="0"/>
        </w:rPr>
        <w:t>Matriz de titularidade e mercados; dossier de inscrição; questões abertas com responsável e prazo.</w:t>
      </w:r>
    </w:p>
    <w:p>
      <w:r>
        <w:rPr>
          <w:b/>
        </w:rPr>
        <w:t xml:space="preserve">Testes predefinidos. </w:t>
      </w:r>
      <w:r>
        <w:rPr>
          <w:b w:val="0"/>
        </w:rPr>
        <w:t>C0T1 confrontar nomes nos registos; C0T2 verificar recuperação de conta; C0T3 confirmar país e tipo de conta em ambas as lojas.</w:t>
      </w:r>
    </w:p>
    <w:p>
      <w:r>
        <w:rPr>
          <w:b/>
        </w:rPr>
        <w:t xml:space="preserve">Auditoria de código e arquitetura, segurança, privacidade e analytics. </w:t>
      </w:r>
      <w:r>
        <w:rPr>
          <w:b w:val="0"/>
        </w:rPr>
        <w:t>Rever o diff, os contratos alterados, a autorização por recurso, a recuperação de falhas e a ausência de dados proibidos nos eventos. Guardar a conclusão e as provas por requisito.</w:t>
      </w:r>
    </w:p>
    <w:p>
      <w:r>
        <w:rPr>
          <w:b/>
        </w:rPr>
        <w:t xml:space="preserve">Auditoria de código morto e dependências. </w:t>
      </w:r>
      <w:r>
        <w:rPr>
          <w:b w:val="0"/>
        </w:rPr>
        <w:t>Verificar código sem consumidores, lógica duplicada, permissões não usadas e dependências sem finalidade. Remover apenas no âmbito da fase, com prova de impacto; registar o restante como dívida identificada.</w:t>
      </w:r>
    </w:p>
    <w:p>
      <w:r>
        <w:rPr>
          <w:b/>
        </w:rPr>
        <w:t xml:space="preserve">Defeitos e correções. </w:t>
      </w:r>
      <w:r>
        <w:rPr>
          <w:b w:val="0"/>
        </w:rPr>
        <w:t>Classificar cada ocorrência como Blocker, Critical, High, Medium ou Low. Corrigir os bloqueantes e repetir o caso que falhou e a regressão afetada. Não ampliar a bateria sem risco novo identificado. Aplicar os critérios de severidade e encerramento definidos neste documento.</w:t>
      </w:r>
    </w:p>
    <w:p>
      <w:r>
        <w:rPr>
          <w:b/>
        </w:rPr>
        <w:t xml:space="preserve">Definition of Done. </w:t>
      </w:r>
      <w:r>
        <w:rPr>
          <w:b w:val="0"/>
        </w:rPr>
        <w:t>Nenhuma identidade ou entidade inventada; responsabilidades e bloqueios jurídicos identificados. Registar versão, resultados, limitações e responsável; um teste não executado mantém-se pendente.</w:t>
      </w:r>
    </w:p>
    <w:p>
      <w:r>
        <w:rPr>
          <w:b/>
        </w:rPr>
        <w:t xml:space="preserve">Gate de aprovação explícita. </w:t>
      </w:r>
      <w:r>
        <w:rPr>
          <w:b w:val="0"/>
        </w:rPr>
        <w:t>O responsável do produto aprova ou recusa C0 por escrito, com data e evidências. Só depois começa a fase seguinte. Comercialização fica condicionada ao parecer necessário; desenvolvimento independente pode prosseguir no seu gate próprio.</w:t>
      </w:r>
    </w:p>
    <w:p>
      <w:pPr>
        <w:pStyle w:val="Heading2"/>
      </w:pPr>
      <w:r>
        <w:t>C1 Dados contas e políticas</w:t>
      </w:r>
    </w:p>
    <w:p>
      <w:r>
        <w:t>Calendário proposto: 1 a 7 de outubro de 2026. Datas condicionadas à aprovação do gate anterior.</w:t>
      </w:r>
    </w:p>
    <w:p>
      <w:r>
        <w:rPr>
          <w:b/>
        </w:rPr>
        <w:t xml:space="preserve">Entradas. </w:t>
      </w:r>
      <w:r>
        <w:rPr>
          <w:b w:val="0"/>
        </w:rPr>
        <w:t>C0 aprovado, esquemas Cloud/Core e lista de SDKs.</w:t>
      </w:r>
    </w:p>
    <w:p>
      <w:r>
        <w:rPr>
          <w:b/>
        </w:rPr>
        <w:t xml:space="preserve">Implementação. </w:t>
      </w:r>
      <w:r>
        <w:rPr>
          <w:b w:val="0"/>
        </w:rPr>
        <w:t>Construir inventário de dados, retenção, consentimentos, eliminação e textos legais por função.</w:t>
      </w:r>
    </w:p>
    <w:p>
      <w:r>
        <w:rPr>
          <w:b/>
        </w:rPr>
        <w:t xml:space="preserve">Entregáveis. </w:t>
      </w:r>
      <w:r>
        <w:rPr>
          <w:b w:val="0"/>
        </w:rPr>
        <w:t>Matriz Apple/Google preliminar, modelo de tratamento, fluxos de conta e plano de revisão jurídica.</w:t>
      </w:r>
    </w:p>
    <w:p>
      <w:r>
        <w:rPr>
          <w:b/>
        </w:rPr>
        <w:t xml:space="preserve">Testes predefinidos. </w:t>
      </w:r>
      <w:r>
        <w:rPr>
          <w:b w:val="0"/>
        </w:rPr>
        <w:t>C1T1 percorrer cada dado até ao destino; C1T2 rastrear eliminação por sistema; C1T3 recusar analytics sem perder função.</w:t>
      </w:r>
    </w:p>
    <w:p>
      <w:r>
        <w:rPr>
          <w:b/>
        </w:rPr>
        <w:t xml:space="preserve">Auditoria de código e arquitetura, segurança, privacidade e analytics. </w:t>
      </w:r>
      <w:r>
        <w:rPr>
          <w:b w:val="0"/>
        </w:rPr>
        <w:t>Rever o diff, os contratos alterados, a autorização por recurso, a recuperação de falhas e a ausência de dados proibidos nos eventos. Guardar a conclusão e as provas por requisito.</w:t>
      </w:r>
    </w:p>
    <w:p>
      <w:r>
        <w:rPr>
          <w:b/>
        </w:rPr>
        <w:t xml:space="preserve">Auditoria de código morto e dependências. </w:t>
      </w:r>
      <w:r>
        <w:rPr>
          <w:b w:val="0"/>
        </w:rPr>
        <w:t>Verificar código sem consumidores, lógica duplicada, permissões não usadas e dependências sem finalidade. Remover apenas no âmbito da fase, com prova de impacto; registar o restante como dívida identificada.</w:t>
      </w:r>
    </w:p>
    <w:p>
      <w:r>
        <w:rPr>
          <w:b/>
        </w:rPr>
        <w:t xml:space="preserve">Defeitos e correções. </w:t>
      </w:r>
      <w:r>
        <w:rPr>
          <w:b w:val="0"/>
        </w:rPr>
        <w:t>Classificar cada ocorrência como Blocker, Critical, High, Medium ou Low. Corrigir os bloqueantes e repetir o caso que falhou e a regressão afetada. Não ampliar a bateria sem risco novo identificado. Aplicar os critérios de severidade e encerramento definidos neste documento.</w:t>
      </w:r>
    </w:p>
    <w:p>
      <w:r>
        <w:rPr>
          <w:b/>
        </w:rPr>
        <w:t xml:space="preserve">Definition of Done. </w:t>
      </w:r>
      <w:r>
        <w:rPr>
          <w:b w:val="0"/>
        </w:rPr>
        <w:t>Cada recolha tem finalidade e proprietário; não há texto público com campos desconhecidos apresentados como factos. Registar versão, resultados, limitações e responsável; um teste não executado mantém-se pendente.</w:t>
      </w:r>
    </w:p>
    <w:p>
      <w:r>
        <w:rPr>
          <w:b/>
        </w:rPr>
        <w:t xml:space="preserve">Gate de aprovação explícita. </w:t>
      </w:r>
      <w:r>
        <w:rPr>
          <w:b w:val="0"/>
        </w:rPr>
        <w:t>O responsável do produto aprova ou recusa C1 por escrito, com data e evidências. Só depois começa a fase seguinte. Uma data de calendário não substitui esta aprovação.</w:t>
      </w:r>
    </w:p>
    <w:p>
      <w:pPr>
        <w:pStyle w:val="Heading2"/>
      </w:pPr>
      <w:r>
        <w:t>C2 Candidatos e preparação Google</w:t>
      </w:r>
    </w:p>
    <w:p>
      <w:r>
        <w:t>Calendário proposto: 8 a 14 de outubro de 2026. Datas condicionadas à aprovação do gate anterior.</w:t>
      </w:r>
    </w:p>
    <w:p>
      <w:r>
        <w:rPr>
          <w:b/>
        </w:rPr>
        <w:t xml:space="preserve">Entradas. </w:t>
      </w:r>
      <w:r>
        <w:rPr>
          <w:b w:val="0"/>
        </w:rPr>
        <w:t>C1 aprovado, candidato Android e identidades de revisão.</w:t>
      </w:r>
    </w:p>
    <w:p>
      <w:r>
        <w:rPr>
          <w:b/>
        </w:rPr>
        <w:t xml:space="preserve">Implementação. </w:t>
      </w:r>
      <w:r>
        <w:rPr>
          <w:b w:val="0"/>
        </w:rPr>
        <w:t>Preparar signing, AAB, metadata, Data safety, app access e testes fechados.</w:t>
      </w:r>
    </w:p>
    <w:p>
      <w:r>
        <w:rPr>
          <w:b/>
        </w:rPr>
        <w:t xml:space="preserve">Entregáveis. </w:t>
      </w:r>
      <w:r>
        <w:rPr>
          <w:b w:val="0"/>
        </w:rPr>
        <w:t>Dossier por app, credenciais de revisão no canal seguro, instruções de testers e evidência de device verification.</w:t>
      </w:r>
    </w:p>
    <w:p>
      <w:r>
        <w:rPr>
          <w:b/>
        </w:rPr>
        <w:t xml:space="preserve">Testes predefinidos. </w:t>
      </w:r>
      <w:r>
        <w:rPr>
          <w:b w:val="0"/>
        </w:rPr>
        <w:t>C2T1 instalação limpa pela track; C2T2 conta de revisão independente; C2T3 permissões recusadas; C2T4 declaração vs tráfego observado.</w:t>
      </w:r>
    </w:p>
    <w:p>
      <w:r>
        <w:rPr>
          <w:b/>
        </w:rPr>
        <w:t xml:space="preserve">Auditoria de código e arquitetura, segurança, privacidade e analytics. </w:t>
      </w:r>
      <w:r>
        <w:rPr>
          <w:b w:val="0"/>
        </w:rPr>
        <w:t>Rever o diff, os contratos alterados, a autorização por recurso, a recuperação de falhas e a ausência de dados proibidos nos eventos. Guardar a conclusão e as provas por requisito.</w:t>
      </w:r>
    </w:p>
    <w:p>
      <w:r>
        <w:rPr>
          <w:b/>
        </w:rPr>
        <w:t xml:space="preserve">Auditoria de código morto e dependências. </w:t>
      </w:r>
      <w:r>
        <w:rPr>
          <w:b w:val="0"/>
        </w:rPr>
        <w:t>Verificar código sem consumidores, lógica duplicada, permissões não usadas e dependências sem finalidade. Remover apenas no âmbito da fase, com prova de impacto; registar o restante como dívida identificada.</w:t>
      </w:r>
    </w:p>
    <w:p>
      <w:r>
        <w:rPr>
          <w:b/>
        </w:rPr>
        <w:t xml:space="preserve">Defeitos e correções. </w:t>
      </w:r>
      <w:r>
        <w:rPr>
          <w:b w:val="0"/>
        </w:rPr>
        <w:t>Classificar cada ocorrência como Blocker, Critical, High, Medium ou Low. Corrigir os bloqueantes e repetir o caso que falhou e a regressão afetada. Não ampliar a bateria sem risco novo identificado. Aplicar os critérios de severidade e encerramento definidos neste documento.</w:t>
      </w:r>
    </w:p>
    <w:p>
      <w:r>
        <w:rPr>
          <w:b/>
        </w:rPr>
        <w:t xml:space="preserve">Definition of Done. </w:t>
      </w:r>
      <w:r>
        <w:rPr>
          <w:b w:val="0"/>
        </w:rPr>
        <w:t>Candidato apto ao teste fechado com inscrição e identidade verificadas; nenhuma publicação automática. Registar versão, resultados, limitações e responsável; um teste não executado mantém-se pendente.</w:t>
      </w:r>
    </w:p>
    <w:p>
      <w:r>
        <w:rPr>
          <w:b/>
        </w:rPr>
        <w:t xml:space="preserve">Gate de aprovação explícita. </w:t>
      </w:r>
      <w:r>
        <w:rPr>
          <w:b w:val="0"/>
        </w:rPr>
        <w:t>O responsável do produto aprova ou recusa C2 por escrito, com data e evidências. Só depois começa a fase seguinte. Uma data de calendário não substitui esta aprovação.</w:t>
      </w:r>
    </w:p>
    <w:p>
      <w:pPr>
        <w:pStyle w:val="Heading2"/>
      </w:pPr>
      <w:r>
        <w:t>C3 Teste fechado e validação Apple</w:t>
      </w:r>
    </w:p>
    <w:p>
      <w:r>
        <w:t>Calendário proposto: 15 de outubro a 5 de novembro de 2026. Datas condicionadas à aprovação do gate anterior.</w:t>
      </w:r>
    </w:p>
    <w:p>
      <w:r>
        <w:t>Entradas. C2 aprovado e testers reais para o teste Google de 15 a 29 de outubro. O Mac e os dispositivos só são entradas para a validação Apple prevista para 1 a 5 de novembro.</w:t>
      </w:r>
    </w:p>
    <w:p>
      <w:r>
        <w:t>Implementação. Recolher feedback de 15 a 29 de outubro; pedir acesso à produção em 29 de outubro apenas após elegibilidade e prontidão; acompanhar a decisão externa; executar build/sign/test Apple quando o hardware existir; fechar labels e privacy manifests.</w:t>
      </w:r>
    </w:p>
    <w:p>
      <w:r>
        <w:rPr>
          <w:b/>
        </w:rPr>
        <w:t xml:space="preserve">Entregáveis. </w:t>
      </w:r>
      <w:r>
        <w:rPr>
          <w:b w:val="0"/>
        </w:rPr>
        <w:t>Registo de opt-in contínuo; resultados de testes; archives assinados e checklist Apple por plataforma.</w:t>
      </w:r>
    </w:p>
    <w:p>
      <w:r>
        <w:rPr>
          <w:b/>
        </w:rPr>
        <w:t xml:space="preserve">Testes predefinidos. </w:t>
      </w:r>
      <w:r>
        <w:rPr>
          <w:b w:val="0"/>
        </w:rPr>
        <w:t>C3T1 elegibilidade Google; C3T2 assinatura e instalação Apple; C3T3 compras sandbox; C3T4 eliminação in-app/web; C3T5 links e suporte.</w:t>
      </w:r>
    </w:p>
    <w:p>
      <w:r>
        <w:rPr>
          <w:b/>
        </w:rPr>
        <w:t xml:space="preserve">Auditoria de código e arquitetura, segurança, privacidade e analytics. </w:t>
      </w:r>
      <w:r>
        <w:rPr>
          <w:b w:val="0"/>
        </w:rPr>
        <w:t>Rever o diff, os contratos alterados, a autorização por recurso, a recuperação de falhas e a ausência de dados proibidos nos eventos. Guardar a conclusão e as provas por requisito.</w:t>
      </w:r>
    </w:p>
    <w:p>
      <w:r>
        <w:rPr>
          <w:b/>
        </w:rPr>
        <w:t xml:space="preserve">Auditoria de código morto e dependências. </w:t>
      </w:r>
      <w:r>
        <w:rPr>
          <w:b w:val="0"/>
        </w:rPr>
        <w:t>Verificar código sem consumidores, lógica duplicada, permissões não usadas e dependências sem finalidade. Remover apenas no âmbito da fase, com prova de impacto; registar o restante como dívida identificada.</w:t>
      </w:r>
    </w:p>
    <w:p>
      <w:r>
        <w:rPr>
          <w:b/>
        </w:rPr>
        <w:t xml:space="preserve">Defeitos e correções. </w:t>
      </w:r>
      <w:r>
        <w:rPr>
          <w:b w:val="0"/>
        </w:rPr>
        <w:t>Classificar cada ocorrência como Blocker, Critical, High, Medium ou Low. Corrigir os bloqueantes e repetir o caso que falhou e a regressão afetada. Não ampliar a bateria sem risco novo identificado. Aplicar os critérios de severidade e encerramento definidos neste documento.</w:t>
      </w:r>
    </w:p>
    <w:p>
      <w:r>
        <w:rPr>
          <w:b/>
        </w:rPr>
        <w:t xml:space="preserve">Definition of Done. </w:t>
      </w:r>
      <w:r>
        <w:rPr>
          <w:b w:val="0"/>
        </w:rPr>
        <w:t>Requisitos locais verificados; testes Apple ausentes continuam Pending Hardware e impedem apenas o gate Apple dependente. Registar versão, resultados, limitações e responsável; um teste não executado mantém-se pendente.</w:t>
      </w:r>
    </w:p>
    <w:p>
      <w:r>
        <w:rPr>
          <w:b/>
        </w:rPr>
        <w:t xml:space="preserve">Gate de aprovação explícita. </w:t>
      </w:r>
      <w:r>
        <w:rPr>
          <w:b w:val="0"/>
        </w:rPr>
        <w:t>O responsável do produto aprova ou recusa C3 por escrito, com data e evidências. Só depois começa a fase seguinte. Uma data de calendário não substitui esta aprovação.</w:t>
      </w:r>
    </w:p>
    <w:p>
      <w:pPr>
        <w:pStyle w:val="Heading2"/>
      </w:pPr>
      <w:r>
        <w:t>C4 Revisão jurídica e dossier de release</w:t>
      </w:r>
    </w:p>
    <w:p>
      <w:r>
        <w:t>Calendário proposto: 6 a 10 de novembro de 2026. Datas condicionadas à aprovação do gate anterior.</w:t>
      </w:r>
    </w:p>
    <w:p>
      <w:r>
        <w:rPr>
          <w:b/>
        </w:rPr>
        <w:t xml:space="preserve">Entradas. </w:t>
      </w:r>
      <w:r>
        <w:rPr>
          <w:b w:val="0"/>
        </w:rPr>
        <w:t>C3 aprovado no âmbito relevante, pareceres, assets finais e pacote técnico congelado.</w:t>
      </w:r>
    </w:p>
    <w:p>
      <w:r>
        <w:rPr>
          <w:b/>
        </w:rPr>
        <w:t xml:space="preserve">Implementação. </w:t>
      </w:r>
      <w:r>
        <w:rPr>
          <w:b w:val="0"/>
        </w:rPr>
        <w:t>Reconciliar declarações com o binário final, contratos, fornecedores, versões públicas e instruções de revisão.</w:t>
      </w:r>
    </w:p>
    <w:p>
      <w:r>
        <w:rPr>
          <w:b/>
        </w:rPr>
        <w:t xml:space="preserve">Entregáveis. </w:t>
      </w:r>
      <w:r>
        <w:rPr>
          <w:b w:val="0"/>
        </w:rPr>
        <w:t>Dossier pronto para submissão; decisão por loja, território e plataforma; plano de atualização e incidentes.</w:t>
      </w:r>
    </w:p>
    <w:p>
      <w:r>
        <w:rPr>
          <w:b/>
        </w:rPr>
        <w:t xml:space="preserve">Testes predefinidos. </w:t>
      </w:r>
      <w:r>
        <w:rPr>
          <w:b w:val="0"/>
        </w:rPr>
        <w:t>C4T1 links sem login; C4T2 reviewer completo; C4T3 evidência de cada checkbox; C4T4 recuperação de chaves e contactos.</w:t>
      </w:r>
    </w:p>
    <w:p>
      <w:r>
        <w:rPr>
          <w:b/>
        </w:rPr>
        <w:t xml:space="preserve">Auditoria de código e arquitetura, segurança, privacidade e analytics. </w:t>
      </w:r>
      <w:r>
        <w:rPr>
          <w:b w:val="0"/>
        </w:rPr>
        <w:t>Rever o diff, os contratos alterados, a autorização por recurso, a recuperação de falhas e a ausência de dados proibidos nos eventos. Guardar a conclusão e as provas por requisito.</w:t>
      </w:r>
    </w:p>
    <w:p>
      <w:r>
        <w:rPr>
          <w:b/>
        </w:rPr>
        <w:t xml:space="preserve">Auditoria de código morto e dependências. </w:t>
      </w:r>
      <w:r>
        <w:rPr>
          <w:b w:val="0"/>
        </w:rPr>
        <w:t>Verificar código sem consumidores, lógica duplicada, permissões não usadas e dependências sem finalidade. Remover apenas no âmbito da fase, com prova de impacto; registar o restante como dívida identificada.</w:t>
      </w:r>
    </w:p>
    <w:p>
      <w:r>
        <w:rPr>
          <w:b/>
        </w:rPr>
        <w:t xml:space="preserve">Defeitos e correções. </w:t>
      </w:r>
      <w:r>
        <w:rPr>
          <w:b w:val="0"/>
        </w:rPr>
        <w:t>Classificar cada ocorrência como Blocker, Critical, High, Medium ou Low. Corrigir os bloqueantes e repetir o caso que falhou e a regressão afetada. Não ampliar a bateria sem risco novo identificado. Aplicar os critérios de severidade e encerramento definidos neste documento.</w:t>
      </w:r>
    </w:p>
    <w:p>
      <w:r>
        <w:rPr>
          <w:b/>
        </w:rPr>
        <w:t xml:space="preserve">Definition of Done. </w:t>
      </w:r>
      <w:r>
        <w:rPr>
          <w:b w:val="0"/>
        </w:rPr>
        <w:t>Sem impedimentos jurídicos ou técnicos ocultos; atrasos de revisão externa registados separadamente. Registar versão, resultados, limitações e responsável; um teste não executado mantém-se pendente.</w:t>
      </w:r>
    </w:p>
    <w:p>
      <w:r>
        <w:rPr>
          <w:b/>
        </w:rPr>
        <w:t xml:space="preserve">Gate de aprovação explícita. </w:t>
      </w:r>
      <w:r>
        <w:rPr>
          <w:b w:val="0"/>
        </w:rPr>
        <w:t>O responsável do produto aprova ou recusa C4 por escrito, com data e evidências. Só depois começa a fase seguinte. Uma data de calendário não substitui esta aprovação.</w:t>
      </w:r>
    </w:p>
    <w:p>
      <w:pPr>
        <w:pStyle w:val="Heading1"/>
      </w:pPr>
      <w:r>
        <w:t>Método de execução e critérios de encerramento</w:t>
      </w:r>
    </w:p>
    <w:p>
      <w:r>
        <w:rPr>
          <w:b w:val="0"/>
        </w:rPr>
        <w:t>Cada fase segue a mesma sequência obrigatória: Inputs → Implementation → Deliverables → testes predefinidos → auditoria de código e arquitetura, segurança, privacidade e analytics → auditoria de código morto, duplicação e dependências não usadas → classificação dos defeitos → correções → Definition of Done → aprovação explícita → fase seguinte. Os cartões de fase deste documento concretizam as entradas, as saídas e os ensaios. As datas são metas de planeamento e não autorizam a passagem de um gate.</w:t>
      </w:r>
    </w:p>
    <w:p>
      <w:r>
        <w:rPr>
          <w:b w:val="0"/>
        </w:rPr>
        <w:t>Antes de escrever código, congelar o conjunto de aceitação da fase. Cada teste contém identificador, requisito, preparação, ação, resultado esperado, plataforma, dados de teste e responsável. Usar dados sintéticos. A prova guarda versão/commit, ambiente, data, resultado e ligação ao defeito, sem conteúdo pessoal. Uma simulação comprova o contrato simulado e não a disponibilidade do fornecedor.</w:t>
      </w:r>
    </w:p>
    <w:p>
      <w:r>
        <w:rPr>
          <w:b w:val="0"/>
        </w:rPr>
        <w:t>Uma auditoria de código e arquitetura revê limites dos módulos, fluxos de dados, migrações, compatibilidade e tratamento de falhas. A auditoria de segurança verifica autorização, isolamento, validação de entrada, segredos, dependências e configuração. A de privacidade percorre recolha, finalidade, retenção, exportação e eliminação. A de analytics verifica o evento efetivamente emitido e os filtros do servidor, incluindo a ausência de payloads sensíveis. A revisão de manutenção identifica caminhos mortos, funções repetidas, dependências e permissões sem consumidor. Nenhuma destas revisões é substituída por uma contagem de testes.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4000"/>
        <w:gridCol w:w="3810"/>
      </w:tblGrid>
      <w:tr>
        <w:trPr>
          <w:cantSplit/>
          <w:tblHeader/>
        </w:trPr>
        <w:tc>
          <w:tcPr>
            <w:tcW w:type="dxa" w:w="1714"/>
            <w:vAlign w:val="center"/>
            <w:shd w:fill="203D50"/>
            <w:tcMar>
              <w:top w:w="95" w:type="dxa"/>
              <w:left w:w="95" w:type="dxa"/>
              <w:bottom w:w="95" w:type="dxa"/>
              <w:right w:w="95" w:type="dxa"/>
            </w:tcMar>
          </w:tcPr>
          <w:p>
            <w:pPr>
              <w:spacing w:after="80" w:before="80" w:line="252" w:lineRule="auto"/>
            </w:pPr>
            <w:r>
              <w:rPr>
                <w:b/>
                <w:color w:val="FFFFFF"/>
                <w:sz w:val="18"/>
              </w:rPr>
              <w:t>Severidade</w:t>
            </w:r>
          </w:p>
        </w:tc>
        <w:tc>
          <w:tcPr>
            <w:tcW w:type="dxa" w:w="4000"/>
            <w:vAlign w:val="center"/>
            <w:shd w:fill="203D50"/>
            <w:tcMar>
              <w:top w:w="95" w:type="dxa"/>
              <w:left w:w="95" w:type="dxa"/>
              <w:bottom w:w="95" w:type="dxa"/>
              <w:right w:w="95" w:type="dxa"/>
            </w:tcMar>
          </w:tcPr>
          <w:p>
            <w:pPr>
              <w:spacing w:after="80" w:before="80" w:line="252" w:lineRule="auto"/>
            </w:pPr>
            <w:r>
              <w:rPr>
                <w:b/>
                <w:color w:val="FFFFFF"/>
                <w:sz w:val="18"/>
              </w:rPr>
              <w:t>Critério operacional</w:t>
            </w:r>
          </w:p>
        </w:tc>
        <w:tc>
          <w:tcPr>
            <w:tcW w:type="dxa" w:w="3810"/>
            <w:vAlign w:val="center"/>
            <w:shd w:fill="203D50"/>
            <w:tcMar>
              <w:top w:w="95" w:type="dxa"/>
              <w:left w:w="95" w:type="dxa"/>
              <w:bottom w:w="95" w:type="dxa"/>
              <w:right w:w="95" w:type="dxa"/>
            </w:tcMar>
          </w:tcPr>
          <w:p>
            <w:pPr>
              <w:spacing w:after="80" w:before="80" w:line="252" w:lineRule="auto"/>
            </w:pPr>
            <w:r>
              <w:rPr>
                <w:b/>
                <w:color w:val="FFFFFF"/>
                <w:sz w:val="18"/>
              </w:rPr>
              <w:t>Regra do gate</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Blocker</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Impede avaliar a fase, requisito essencial ausente ou ausência de prova indispensável</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Não aprovar a fase afetada</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Critical</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Exposição de segredos ou de dados entre utilizadores, corrupção irreversível, comprometimento de assinatura ou confiança falsa</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Corrigir e confirmar a regressão antes da aprovação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High</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Função essencial insegura ou inutilizável, quota contornável, perda recuperável de dados ou privacidade incorreta</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Fechar antes do gate de release e antes de qualquer fase que dependa da função</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Medium</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Falha com alternativa segura e impacto limitado, sem violação de segurança ou privacidade</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Corrigir ou aceitar por escrito com responsável, prazo e controlo compensatório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Low</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Problema de apresentação ou manutenção sem efeito relevante no resultado</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Corrigir ou registar no backlog com decisão explícita</w:t>
            </w:r>
          </w:p>
        </w:tc>
      </w:tr>
    </w:tbl>
    <w:p>
      <w:pPr>
        <w:spacing w:after="40"/>
      </w:pPr>
    </w:p>
    <w:p>
      <w:r>
        <w:rPr>
          <w:b w:val="0"/>
        </w:rPr>
        <w:t>Os defeitos são registos únicos com estado aberto, em correção, a verificar ou encerrado. Um defeito reaberto conserva o identificador. A aceitação de risco não transforma um teste falhado em aprovado. Segurança, isolamento, perda de evidência, exatidão numérica e declarações legais falsas não são rebaixados para cumprir a data.</w:t>
      </w:r>
    </w:p>
    <w:p>
      <w:r>
        <w:rPr>
          <w:b w:val="0"/>
        </w:rPr>
        <w:t>Para evitar uma espiral de testes, executar a bateria acordada uma vez por candidato. Após correções, repetir os casos que falharam e a regressão das áreas afetadas. Só acrescentar um teste se existir requisito omitido, defeito novo ou alteração de comportamento que o justifique. Se o mesmo gate continuar a falhar após duas rondas focadas de correção, parar a expansão do âmbito, identificar a causa e apresentar uma decisão de correção ou replaneamento. Este limite não permite publicar defeitos impeditivos.</w:t>
      </w:r>
    </w:p>
    <w:p>
      <w:r>
        <w:rPr>
          <w:b w:val="0"/>
        </w:rPr>
        <w:t>O dossier de gate inclui a lista de entregáveis e hashes, resultados pass/fail/pending/not applicable, parecer das auditorias, defeitos e decisões de risco, rollback quando aplicável, responsável e data. Pending Hardware tem uma justificação e uma janela de reexecução; nunca se converte automaticamente em pass. Aprovação escrita deve indicar documento, fase, versão e âmbito aprovado. A Direção aprova o âmbito e o risco; uma segunda pessoa qualificada é recomendada para segurança, engenharia e direito quando a matéria o exigir.</w:t>
      </w:r>
    </w:p>
    <w:p>
      <w:pPr>
        <w:pStyle w:val="Heading1"/>
      </w:pPr>
      <w:r>
        <w:t>Calendário integrado e dependências</w:t>
      </w:r>
    </w:p>
    <w:p>
      <w:r>
        <w:t>A meta inicial aprovada é 10 de novembro de 2026: dia 45 numa contagem inclusiva iniciada em 27 de setembro. O primeiro lote inclui Vision Field Report, o Core necessário, Vision Cloud Services, VisionWorldApps.com e as integrações necessárias com o Backoffice existente. A aplicação comercial do lote é o Field Report. Exige pacotes finais, testes e auditorias concluídos, operação preparada e dossier de submissão. Prever o envio elegível entre 6 e 10 de novembro; distinguir pacote pronto, submissão efetuada e aprovação da loja. O calendário detalhado por produto e burocracia está no documento 08 Calendário do primeiro lote de 45 dias, em Release Management. Datas em Asia/Riyadh; sistemas em UTC; Backoffice conserva os horários operacionais de Lisboa.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4000"/>
        <w:gridCol w:w="3810"/>
      </w:tblGrid>
      <w:tr>
        <w:trPr>
          <w:cantSplit/>
          <w:tblHeader/>
        </w:trPr>
        <w:tc>
          <w:tcPr>
            <w:tcW w:type="dxa" w:w="1714"/>
            <w:vAlign w:val="center"/>
            <w:shd w:fill="203D50"/>
            <w:tcMar>
              <w:top w:w="95" w:type="dxa"/>
              <w:left w:w="95" w:type="dxa"/>
              <w:bottom w:w="95" w:type="dxa"/>
              <w:right w:w="95" w:type="dxa"/>
            </w:tcMar>
          </w:tcPr>
          <w:p>
            <w:pPr>
              <w:spacing w:after="80" w:before="80" w:line="252" w:lineRule="auto"/>
            </w:pPr>
            <w:r>
              <w:rPr>
                <w:b/>
                <w:color w:val="FFFFFF"/>
                <w:sz w:val="18"/>
              </w:rPr>
              <w:t>Janela em 2026</w:t>
            </w:r>
          </w:p>
        </w:tc>
        <w:tc>
          <w:tcPr>
            <w:tcW w:type="dxa" w:w="4000"/>
            <w:vAlign w:val="center"/>
            <w:shd w:fill="203D50"/>
            <w:tcMar>
              <w:top w:w="95" w:type="dxa"/>
              <w:left w:w="95" w:type="dxa"/>
              <w:bottom w:w="95" w:type="dxa"/>
              <w:right w:w="95" w:type="dxa"/>
            </w:tcMar>
          </w:tcPr>
          <w:p>
            <w:pPr>
              <w:spacing w:after="80" w:before="80" w:line="252" w:lineRule="auto"/>
            </w:pPr>
            <w:r>
              <w:rPr>
                <w:b/>
                <w:color w:val="FFFFFF"/>
                <w:sz w:val="18"/>
              </w:rPr>
              <w:t>Resultado esperado</w:t>
            </w:r>
          </w:p>
        </w:tc>
        <w:tc>
          <w:tcPr>
            <w:tcW w:type="dxa" w:w="3810"/>
            <w:vAlign w:val="center"/>
            <w:shd w:fill="203D50"/>
            <w:tcMar>
              <w:top w:w="95" w:type="dxa"/>
              <w:left w:w="95" w:type="dxa"/>
              <w:bottom w:w="95" w:type="dxa"/>
              <w:right w:w="95" w:type="dxa"/>
            </w:tcMar>
          </w:tcPr>
          <w:p>
            <w:pPr>
              <w:spacing w:after="80" w:before="80" w:line="252" w:lineRule="auto"/>
            </w:pPr>
            <w:r>
              <w:rPr>
                <w:b/>
                <w:color w:val="FFFFFF"/>
                <w:sz w:val="18"/>
              </w:rPr>
              <w:t>Dependência e decisão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27 a 30 de setembro</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Aprovar requisitos, catálogo de inspeções, fontes de normas, dados e contratos; iniciar preparação das contas</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Resolver lacunas do baseline e inventário AWS antes dos gates dependentes</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b w:val="0"/>
                <w:sz w:val="18"/>
              </w:rPr>
              <w:t>1 a 7 de outubro</w:t>
            </w:r>
          </w:p>
        </w:tc>
        <w:tc>
          <w:tcPr>
            <w:tcW w:type="dxa" w:w="4000"/>
            <w:vAlign w:val="center"/>
            <w:shd w:fill="F1F5F7"/>
            <w:tcMar>
              <w:top w:w="95" w:type="dxa"/>
              <w:left w:w="95" w:type="dxa"/>
              <w:bottom w:w="95" w:type="dxa"/>
              <w:right w:w="95" w:type="dxa"/>
            </w:tcMar>
          </w:tcPr>
          <w:p>
            <w:pPr>
              <w:spacing w:after="80" w:before="80" w:line="252" w:lineRule="auto"/>
            </w:pPr>
            <w:r>
              <w:rPr>
                <w:b w:val="0"/>
                <w:sz w:val="18"/>
              </w:rPr>
              <w:t>Core local, identidade mínima e contratos Cloud em ambiente de teste</w:t>
            </w:r>
          </w:p>
        </w:tc>
        <w:tc>
          <w:tcPr>
            <w:tcW w:type="dxa" w:w="3810"/>
            <w:vAlign w:val="center"/>
            <w:shd w:fill="F1F5F7"/>
            <w:tcMar>
              <w:top w:w="95" w:type="dxa"/>
              <w:left w:w="95" w:type="dxa"/>
              <w:bottom w:w="95" w:type="dxa"/>
              <w:right w:w="95" w:type="dxa"/>
            </w:tcMar>
          </w:tcPr>
          <w:p>
            <w:pPr>
              <w:spacing w:after="80" w:before="80" w:line="252" w:lineRule="auto"/>
            </w:pPr>
            <w:r>
              <w:rPr>
                <w:b w:val="0"/>
                <w:sz w:val="18"/>
              </w:rPr>
              <w:t>Aprovação de arquitetura e armazenamento seguro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8 a 14 de outubro</w:t>
            </w:r>
          </w:p>
        </w:tc>
        <w:tc>
          <w:tcPr>
            <w:tcW w:type="dxa" w:w="4000"/>
            <w:vAlign w:val="center"/>
            <w:shd w:fill="FFFFFF"/>
            <w:tcMar>
              <w:top w:w="95" w:type="dxa"/>
              <w:left w:w="95" w:type="dxa"/>
              <w:bottom w:w="95" w:type="dxa"/>
              <w:right w:w="95" w:type="dxa"/>
            </w:tcMar>
          </w:tcPr>
          <w:p>
            <w:pPr>
              <w:spacing w:after="80" w:before="80" w:line="252" w:lineRule="auto"/>
            </w:pPr>
            <w:r>
              <w:rPr>
                <w:sz w:val="18"/>
              </w:rPr>
              <w:t>Report com findings, medições e evidência; beta Android utilizável; quotas e entitlements Cloud</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Dados estruturados e autorização por recurso</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sz w:val="18"/>
              </w:rPr>
              <w:t>15 a 21 de outubro</w:t>
            </w:r>
          </w:p>
        </w:tc>
        <w:tc>
          <w:tcPr>
            <w:tcW w:type="dxa" w:w="4000"/>
            <w:vAlign w:val="center"/>
            <w:shd w:fill="F1F5F7"/>
            <w:tcMar>
              <w:top w:w="95" w:type="dxa"/>
              <w:left w:w="95" w:type="dxa"/>
              <w:bottom w:w="95" w:type="dxa"/>
              <w:right w:w="95" w:type="dxa"/>
            </w:tcMar>
          </w:tcPr>
          <w:p>
            <w:pPr>
              <w:spacing w:after="80" w:before="80" w:line="252" w:lineRule="auto"/>
            </w:pPr>
            <w:r>
              <w:rPr>
                <w:sz w:val="18"/>
              </w:rPr>
              <w:t>Beta fechada em 15 de outubro; concluir Standards, quotas, configuração, suporte, analytics e website em staging</w:t>
            </w:r>
          </w:p>
        </w:tc>
        <w:tc>
          <w:tcPr>
            <w:tcW w:type="dxa" w:w="3810"/>
            <w:vAlign w:val="center"/>
            <w:shd w:fill="F1F5F7"/>
            <w:tcMar>
              <w:top w:w="95" w:type="dxa"/>
              <w:left w:w="95" w:type="dxa"/>
              <w:bottom w:w="95" w:type="dxa"/>
              <w:right w:w="95" w:type="dxa"/>
            </w:tcMar>
          </w:tcPr>
          <w:p>
            <w:pPr>
              <w:spacing w:after="80" w:before="80" w:line="252" w:lineRule="auto"/>
            </w:pPr>
            <w:r>
              <w:rPr>
                <w:sz w:val="18"/>
              </w:rPr>
              <w:t>Gate de beta até 14 de outubro; versões finais entram no teste com feedback registado</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sz w:val="18"/>
              </w:rPr>
              <w:t>22 a 29 de outubro</w:t>
            </w:r>
          </w:p>
        </w:tc>
        <w:tc>
          <w:tcPr>
            <w:tcW w:type="dxa" w:w="4000"/>
            <w:vAlign w:val="center"/>
            <w:shd w:fill="FFFFFF"/>
            <w:tcMar>
              <w:top w:w="95" w:type="dxa"/>
              <w:left w:w="95" w:type="dxa"/>
              <w:bottom w:w="95" w:type="dxa"/>
              <w:right w:w="95" w:type="dxa"/>
            </w:tcMar>
          </w:tcPr>
          <w:p>
            <w:pPr>
              <w:spacing w:after="80" w:before="80" w:line="252" w:lineRule="auto"/>
            </w:pPr>
            <w:r>
              <w:rPr>
                <w:sz w:val="18"/>
              </w:rPr>
              <w:t>Integração, hardening e candidato completo Windows/Android; conteúdo legal e operação finalizados</w:t>
            </w:r>
          </w:p>
        </w:tc>
        <w:tc>
          <w:tcPr>
            <w:tcW w:type="dxa" w:w="3810"/>
            <w:vAlign w:val="center"/>
            <w:shd w:fill="FFFFFF"/>
            <w:tcMar>
              <w:top w:w="95" w:type="dxa"/>
              <w:left w:w="95" w:type="dxa"/>
              <w:bottom w:w="95" w:type="dxa"/>
              <w:right w:w="95" w:type="dxa"/>
            </w:tcMar>
          </w:tcPr>
          <w:p>
            <w:pPr>
              <w:spacing w:after="80" w:before="80" w:line="252" w:lineRule="auto"/>
            </w:pPr>
            <w:r>
              <w:rPr>
                <w:sz w:val="18"/>
              </w:rPr>
              <w:t>Em 29 de outubro, confirmar 14 dias e prontidão antes do pedido de acesso à produção</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sz w:val="18"/>
              </w:rPr>
              <w:t>30 a 31 de outubro</w:t>
            </w:r>
          </w:p>
        </w:tc>
        <w:tc>
          <w:tcPr>
            <w:tcW w:type="dxa" w:w="4000"/>
            <w:vAlign w:val="center"/>
            <w:shd w:fill="F1F5F7"/>
            <w:tcMar>
              <w:top w:w="95" w:type="dxa"/>
              <w:left w:w="95" w:type="dxa"/>
              <w:bottom w:w="95" w:type="dxa"/>
              <w:right w:w="95" w:type="dxa"/>
            </w:tcMar>
          </w:tcPr>
          <w:p>
            <w:pPr>
              <w:spacing w:after="80" w:before="80" w:line="252" w:lineRule="auto"/>
            </w:pPr>
            <w:r>
              <w:rPr>
                <w:sz w:val="18"/>
              </w:rPr>
              <w:t>Reserva para defeitos e dossier; receção/configuração do Mac se disponível; marco próprio do Backoffice</w:t>
            </w:r>
          </w:p>
        </w:tc>
        <w:tc>
          <w:tcPr>
            <w:tcW w:type="dxa" w:w="3810"/>
            <w:vAlign w:val="center"/>
            <w:shd w:fill="F1F5F7"/>
            <w:tcMar>
              <w:top w:w="95" w:type="dxa"/>
              <w:left w:w="95" w:type="dxa"/>
              <w:bottom w:w="95" w:type="dxa"/>
              <w:right w:w="95" w:type="dxa"/>
            </w:tcMar>
          </w:tcPr>
          <w:p>
            <w:pPr>
              <w:spacing w:after="80" w:before="80" w:line="252" w:lineRule="auto"/>
            </w:pPr>
            <w:r>
              <w:rPr>
                <w:sz w:val="18"/>
              </w:rPr>
              <w:t>Mac previsto para o fim do mês, sem data de entrega confirmada; Apple Pending Hardware até testes reais</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b w:val="0"/>
                <w:sz w:val="18"/>
              </w:rPr>
              <w:t>1 a 5 de novembro</w:t>
            </w:r>
          </w:p>
        </w:tc>
        <w:tc>
          <w:tcPr>
            <w:tcW w:type="dxa" w:w="4000"/>
            <w:vAlign w:val="center"/>
            <w:shd w:fill="FFFFFF"/>
            <w:tcMar>
              <w:top w:w="95" w:type="dxa"/>
              <w:left w:w="95" w:type="dxa"/>
              <w:bottom w:w="95" w:type="dxa"/>
              <w:right w:w="95" w:type="dxa"/>
            </w:tcMar>
          </w:tcPr>
          <w:p>
            <w:pPr>
              <w:spacing w:after="80" w:before="80" w:line="252" w:lineRule="auto"/>
            </w:pPr>
            <w:r>
              <w:rPr>
                <w:b w:val="0"/>
                <w:sz w:val="18"/>
              </w:rPr>
              <w:t>Build, testes físicos, assinatura e validação Apple; correções com âmbito controlado</w:t>
            </w:r>
          </w:p>
        </w:tc>
        <w:tc>
          <w:tcPr>
            <w:tcW w:type="dxa" w:w="3810"/>
            <w:vAlign w:val="center"/>
            <w:shd w:fill="FFFFFF"/>
            <w:tcMar>
              <w:top w:w="95" w:type="dxa"/>
              <w:left w:w="95" w:type="dxa"/>
              <w:bottom w:w="95" w:type="dxa"/>
              <w:right w:w="95" w:type="dxa"/>
            </w:tcMar>
          </w:tcPr>
          <w:p>
            <w:pPr>
              <w:spacing w:after="80" w:before="80" w:line="252" w:lineRule="auto"/>
            </w:pPr>
            <w:r>
              <w:rPr>
                <w:b w:val="0"/>
                <w:sz w:val="18"/>
              </w:rPr>
              <w:t>Mac, Xcode, dispositivos e Apple Developer disponíveis</w:t>
            </w:r>
          </w:p>
        </w:tc>
      </w:tr>
      <w:tr>
        <w:trPr>
          <w:cantSplit/>
        </w:trPr>
        <w:tc>
          <w:tcPr>
            <w:tcW w:type="dxa" w:w="1714"/>
            <w:vAlign w:val="center"/>
            <w:shd w:fill="F1F5F7"/>
            <w:tcMar>
              <w:top w:w="95" w:type="dxa"/>
              <w:left w:w="95" w:type="dxa"/>
              <w:bottom w:w="95" w:type="dxa"/>
              <w:right w:w="95" w:type="dxa"/>
            </w:tcMar>
          </w:tcPr>
          <w:p>
            <w:pPr>
              <w:spacing w:after="80" w:before="80" w:line="252" w:lineRule="auto"/>
            </w:pPr>
            <w:r>
              <w:rPr>
                <w:sz w:val="18"/>
              </w:rPr>
              <w:t>6 a 9 de novembro</w:t>
            </w:r>
          </w:p>
        </w:tc>
        <w:tc>
          <w:tcPr>
            <w:tcW w:type="dxa" w:w="4000"/>
            <w:vAlign w:val="center"/>
            <w:shd w:fill="F1F5F7"/>
            <w:tcMar>
              <w:top w:w="95" w:type="dxa"/>
              <w:left w:w="95" w:type="dxa"/>
              <w:bottom w:w="95" w:type="dxa"/>
              <w:right w:w="95" w:type="dxa"/>
            </w:tcMar>
          </w:tcPr>
          <w:p>
            <w:pPr>
              <w:spacing w:after="80" w:before="80" w:line="252" w:lineRule="auto"/>
            </w:pPr>
            <w:r>
              <w:rPr>
                <w:sz w:val="18"/>
              </w:rPr>
              <w:t>Auditoria final, restauro, rollback, eliminação e submissões elegíveis após aprovação por plataforma</w:t>
            </w:r>
          </w:p>
        </w:tc>
        <w:tc>
          <w:tcPr>
            <w:tcW w:type="dxa" w:w="3810"/>
            <w:vAlign w:val="center"/>
            <w:shd w:fill="F1F5F7"/>
            <w:tcMar>
              <w:top w:w="95" w:type="dxa"/>
              <w:left w:w="95" w:type="dxa"/>
              <w:bottom w:w="95" w:type="dxa"/>
              <w:right w:w="95" w:type="dxa"/>
            </w:tcMar>
          </w:tcPr>
          <w:p>
            <w:pPr>
              <w:spacing w:after="80" w:before="80" w:line="252" w:lineRule="auto"/>
            </w:pPr>
            <w:r>
              <w:rPr>
                <w:sz w:val="18"/>
              </w:rPr>
              <w:t>Dossier completo e contas habilitadas; registar recibos de submissão e pendências externas</w:t>
            </w:r>
          </w:p>
        </w:tc>
      </w:tr>
      <w:tr>
        <w:trPr>
          <w:cantSplit/>
        </w:trPr>
        <w:tc>
          <w:tcPr>
            <w:tcW w:type="dxa" w:w="1714"/>
            <w:vAlign w:val="center"/>
            <w:shd w:fill="FFFFFF"/>
            <w:tcMar>
              <w:top w:w="95" w:type="dxa"/>
              <w:left w:w="95" w:type="dxa"/>
              <w:bottom w:w="95" w:type="dxa"/>
              <w:right w:w="95" w:type="dxa"/>
            </w:tcMar>
          </w:tcPr>
          <w:p>
            <w:pPr>
              <w:spacing w:after="80" w:before="80" w:line="252" w:lineRule="auto"/>
            </w:pPr>
            <w:r>
              <w:rPr>
                <w:sz w:val="18"/>
              </w:rPr>
              <w:t>10 de novembro</w:t>
            </w:r>
          </w:p>
        </w:tc>
        <w:tc>
          <w:tcPr>
            <w:tcW w:type="dxa" w:w="4000"/>
            <w:vAlign w:val="center"/>
            <w:shd w:fill="FFFFFF"/>
            <w:tcMar>
              <w:top w:w="95" w:type="dxa"/>
              <w:left w:w="95" w:type="dxa"/>
              <w:bottom w:w="95" w:type="dxa"/>
              <w:right w:w="95" w:type="dxa"/>
            </w:tcMar>
          </w:tcPr>
          <w:p>
            <w:pPr>
              <w:spacing w:after="80" w:before="80" w:line="252" w:lineRule="auto"/>
            </w:pPr>
            <w:r>
              <w:rPr>
                <w:sz w:val="18"/>
              </w:rPr>
              <w:t>Dia 45 e gate de prontidão do lote para deployment e submissão</w:t>
            </w:r>
          </w:p>
        </w:tc>
        <w:tc>
          <w:tcPr>
            <w:tcW w:type="dxa" w:w="3810"/>
            <w:vAlign w:val="center"/>
            <w:shd w:fill="FFFFFF"/>
            <w:tcMar>
              <w:top w:w="95" w:type="dxa"/>
              <w:left w:w="95" w:type="dxa"/>
              <w:bottom w:w="95" w:type="dxa"/>
              <w:right w:w="95" w:type="dxa"/>
            </w:tcMar>
          </w:tcPr>
          <w:p>
            <w:pPr>
              <w:spacing w:after="80" w:before="80" w:line="252" w:lineRule="auto"/>
            </w:pPr>
            <w:r>
              <w:rPr>
                <w:sz w:val="18"/>
              </w:rPr>
              <w:t>Produto aprova por plataforma; aprovação externa e publicação têm estados separados</w:t>
            </w:r>
          </w:p>
        </w:tc>
      </w:tr>
    </w:tbl>
    <w:p>
      <w:pPr>
        <w:spacing w:after="40"/>
      </w:pPr>
    </w:p>
    <w:p>
      <w:r>
        <w:t>Para uma conta Google pessoal abrangida pela regra, planear o teste fechado de 15 a 29 de outubro. A beta utilizável exige aprovação interna até 14 de outubro. O alvo é ter pelo menos 12 testers elegíveis com opt-in contínuo desde 15 de outubro às 10h00 de Riyadh; completar 14 períodos de 24 horas em 29 de outubro às 10h00. Confirmar a hora real e a elegibilidade na Play Console. A beta recebe as funções finais e correções durante o teste; só pedir acesso à produção quando o candidato completo estiver pronto e o feedback tratado. Pedido alvo em 29 de outubro após G4; reservar até 5 de novembro para a análise, que pode demorar mais. Manter testes e acompanhamento durante a revisão. O cumprimento temporal não garante aprovação. Se faltar acesso à produção, registar pacote pronto com acesso pendente; não declarar submissão de produção.</w:t>
      </w:r>
    </w:p>
    <w:p>
      <w:r>
        <w:t>As datas comerciais anteriormente propostas para PhotoProof e Field Calc ficam retiradas por não terem aprovação. Estes produtos conservam os seus PRDs e a sequência de fases, com implementação comercial a calendarizar num lote próprio. Até 10 de novembro apenas se consolidam os contratos e componentes reutilizáveis previstos, sem apresentar essas apps como prontas para o mercado. O verificador PhotoProof só entra em produção após aprovação de Trust e PhotoProof. Esta decisão preserva a composição e a data do primeiro lote aprovadas pelo responsável.</w:t>
      </w:r>
    </w:p>
    <w:p>
      <w:r>
        <w:rPr>
          <w:b w:val="0"/>
        </w:rPr>
        <w:t>A carga do Backoffice já tem uma meta anterior de 31 de outubro e não tem uma semana inteira de folga. Este calendário é uma meta condicionada à capacidade disponível, e não uma estimativa validada de esforço para uma única pessoa executar todos os produtos em simultâneo. Até 30 de setembro, registar horas disponíveis, trabalho restante e responsáveis; até 7 de outubro, confrontar a velocidade real com o caminho crítico. Se não houver capacidade, manter a prioridade do conjunto de 10 de novembro e apresentar alterações de prazo ou âmbito à Direção. Não retirar tipos de inspeção, controles de segurança ou funções essenciais sem aprovação.</w:t>
      </w:r>
    </w:p>
    <w:p>
      <w:pPr>
        <w:pStyle w:val="Heading1"/>
      </w:pPr>
      <w:r>
        <w:t>Rotina após aprovação</w:t>
      </w:r>
    </w:p>
    <w:p>
      <w:r>
        <w:rPr>
          <w:b w:val="0"/>
        </w:rPr>
        <w:t>Em cada atualização rever permissões, SDKs, uso de dados, IA, compras, classificação etária e textos comerciais. Se nada mudou, guardar essa conclusão com o diff da versão; não repetir indiscriminadamente todos os ensaios de uma release maior. Rever vencimento de contas, certificados, chaves e acordos com antecedência suficiente para agir. Acompanhar avisos das lojas e registar nova exigência com data de efeito e versão afetada.</w:t>
      </w:r>
    </w:p>
    <w:p>
      <w:r>
        <w:rPr>
          <w:b w:val="0"/>
        </w:rPr>
        <w:t>Tratar rejeições com um registo de motivo, política citada, reprodução e correção. Não reenviar o mesmo binário para testar se outro revisor aceita. Incidentes de dados seguem avaliação técnica e jurídica das obrigações de notificação e dos prazos aplicáveis; não fixar um prazo universal entre todas as jurisdições. Guardar as provas num acesso restrito e publicar apenas informação que ajude o utilizador.</w:t>
      </w:r>
    </w:p>
    <w:p>
      <w:pPr>
        <w:pStyle w:val="Heading1"/>
      </w:pPr>
      <w:r>
        <w:t>Fontes oficiais</w:t>
      </w:r>
    </w:p>
    <w:p>
      <w:r>
        <w:rPr>
          <w:b w:val="0"/>
        </w:rPr>
        <w:t>As referências sustentam as regras externas; as listas de trabalho, cronogramas e controlos propostos são decisões de desenho deste pack. Consulta em 27 de setembro de 2026.</w:t>
      </w:r>
    </w:p>
    <w:p>
      <w:r>
        <w:rPr>
          <w:b w:val="0"/>
        </w:rPr>
        <w:t>A01 Apple Developer Program e inscrição individual — https://developer.apple.com/programs/enroll/</w:t>
      </w:r>
    </w:p>
    <w:p>
      <w:r>
        <w:rPr>
          <w:b w:val="0"/>
        </w:rPr>
        <w:t>A02 Informação fiscal Apple — https://developer.apple.com/help/app-store-connect/manage-tax-information/provide-tax-information</w:t>
      </w:r>
    </w:p>
    <w:p>
      <w:r>
        <w:rPr>
          <w:b w:val="0"/>
        </w:rPr>
        <w:t>A03 Informação bancária Apple — https://developer.apple.com/help/app-store-connect/manage-banking-information/enter-banking-information</w:t>
      </w:r>
    </w:p>
    <w:p>
      <w:r>
        <w:rPr>
          <w:b w:val="0"/>
        </w:rPr>
        <w:t>A04 Trader na União Europeia — https://developer.apple.com/help/app-store-connect/manage-compliance-information/manage-european-union-digital-services-act-trader-requirements</w:t>
      </w:r>
    </w:p>
    <w:p>
      <w:r>
        <w:rPr>
          <w:b w:val="0"/>
        </w:rPr>
        <w:t>A05 Requisitos de submissão Apple — https://developer.apple.com/news/upcoming-requirements/</w:t>
      </w:r>
    </w:p>
    <w:p>
      <w:r>
        <w:rPr>
          <w:b w:val="0"/>
        </w:rPr>
        <w:t>A06 App Review Guidelines — https://developer.apple.com/app-store/review/guidelines/</w:t>
      </w:r>
    </w:p>
    <w:p>
      <w:r>
        <w:rPr>
          <w:b w:val="0"/>
        </w:rPr>
        <w:t>A07 Eliminação de conta Apple — https://developer.apple.com/support/offering-account-deletion-in-your-app/</w:t>
      </w:r>
    </w:p>
    <w:p>
      <w:r>
        <w:rPr>
          <w:b w:val="0"/>
        </w:rPr>
        <w:t>A08 App Privacy Details — https://developer.apple.com/app-store/app-privacy-details/</w:t>
      </w:r>
    </w:p>
    <w:p>
      <w:r>
        <w:rPr>
          <w:b w:val="0"/>
        </w:rPr>
        <w:t>A09 SDKs e privacy manifests — https://developer.apple.com/support/third-party-SDK-requirements/</w:t>
      </w:r>
    </w:p>
    <w:p>
      <w:r>
        <w:rPr>
          <w:b w:val="0"/>
        </w:rPr>
        <w:t>G01 Países de developer e comerciante — https://support.google.com/googleplay/android-developer/answer/9306917</w:t>
      </w:r>
    </w:p>
    <w:p>
      <w:r>
        <w:rPr>
          <w:b w:val="0"/>
        </w:rPr>
        <w:t>G02 Informação necessária para a conta — https://support.google.com/googleplay/android-developer/answer/13628312</w:t>
      </w:r>
    </w:p>
    <w:p>
      <w:r>
        <w:rPr>
          <w:b w:val="0"/>
        </w:rPr>
        <w:t>G03 Device verification — https://support.google.com/googleplay/android-developer/answer/14316361</w:t>
      </w:r>
    </w:p>
    <w:p>
      <w:r>
        <w:rPr>
          <w:b w:val="0"/>
        </w:rPr>
        <w:t>G04 Android developer verification — https://developer.android.com/developer-verification/guides</w:t>
      </w:r>
    </w:p>
    <w:p>
      <w:r>
        <w:rPr>
          <w:b w:val="0"/>
        </w:rPr>
        <w:t>G05 Testes de contas pessoais — https://support.google.com/googleplay/android-developer/answer/14151465</w:t>
      </w:r>
    </w:p>
    <w:p>
      <w:r>
        <w:rPr>
          <w:b w:val="0"/>
        </w:rPr>
        <w:t>G06 Target API level — https://support.google.com/googleplay/android-developer/answer/11926878</w:t>
      </w:r>
    </w:p>
    <w:p>
      <w:r>
        <w:rPr>
          <w:b w:val="0"/>
        </w:rPr>
        <w:t>G07 Configuração da app e metadata — https://support.google.com/googleplay/android-developer/answer/9859152</w:t>
      </w:r>
    </w:p>
    <w:p>
      <w:r>
        <w:rPr>
          <w:b w:val="0"/>
        </w:rPr>
        <w:t>G08 Eliminação de conta Google — https://support.google.com/googleplay/android-developer/answer/13327111</w:t>
      </w:r>
    </w:p>
    <w:p>
      <w:r>
        <w:rPr>
          <w:b w:val="0"/>
        </w:rPr>
        <w:t>G09 Data safety — https://support.google.com/googleplay/android-developer/answer/10787469</w:t>
      </w:r>
    </w:p>
    <w:p>
      <w:r>
        <w:rPr>
          <w:b w:val="0"/>
        </w:rPr>
        <w:t>G10 Conteúdo gerado por IA — https://support.google.com/googleplay/android-developer/answer/14094294</w:t>
      </w:r>
    </w:p>
    <w:p>
      <w:r>
        <w:rPr>
          <w:b w:val="0"/>
        </w:rPr>
        <w:t>L01 SDAIA PDPL — https://dgp.sdaia.gov.sa/wps/portal/pdp/knowledgecenter/details/PDPL</w:t>
      </w:r>
    </w:p>
    <w:p>
      <w:r>
        <w:rPr>
          <w:b w:val="0"/>
        </w:rPr>
        <w:t>L02 Regulamento de transferências — https://sdaia.gov.sa/Documents/RegulationonPersonalDataEN.pdf</w:t>
      </w:r>
    </w:p>
    <w:p>
      <w:r>
        <w:rPr>
          <w:b w:val="0"/>
        </w:rPr>
        <w:t>L03 Ministério do Comércio e comércio eletrónico — https://mc.gov.sa/en/mediacenter/News/Pages/14-04-22-01.aspx</w:t>
      </w:r>
    </w:p>
    <w:p>
      <w:r>
        <w:rPr>
          <w:b w:val="0"/>
        </w:rPr>
        <w:t>L04 ZATCA registo individual em IVA — https://zatca.gov.sa/en/eServices/Pages/eServices-002.aspx</w:t>
      </w:r>
    </w:p>
    <w:p>
      <w:r>
        <w:rPr>
          <w:b w:val="0"/>
        </w:rPr>
        <w:t>L05 EDPB âmbito territorial do RGPD — https://www.edpb.europa.eu/sites/default/files/files/file1/edpb_guidelines_3_2018_territorial_scope_after_public_consultation_en_1.pdf</w:t>
      </w:r>
    </w:p>
    <w:sectPr w:rsidR="00FC693F" w:rsidRPr="0006063C" w:rsidSect="00034616">
      <w:footerReference w:type="default" r:id="rId9"/>
      <w:pgSz w:w="12240" w:h="15840"/>
      <w:pgMar w:top="1049" w:right="1191" w:bottom="1049"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Vision World Apps  |  00  |  v1.1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2"/>
      <w:lang w:val="pt-PT"/>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8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World Apps Conformidade operacional das lojas e proteção de dados</dc:title>
  <dc:subject>Conformidade operacional das lojas e proteção de dados</dc:subject>
  <dc:creator>Vision World Apps</dc:creator>
  <cp:keywords/>
  <dc:description>generated by python-docx</dc:description>
  <cp:lastModifiedBy/>
  <cp:revision>1</cp:revision>
  <dcterms:created xsi:type="dcterms:W3CDTF">2013-12-23T23:15:00Z</dcterms:created>
  <dcterms:modified xsi:type="dcterms:W3CDTF">2013-12-23T23:15:00Z</dcterms:modified>
  <cp:category/>
  <dc:language>pt-PT</dc:language>
  <cp:version>1.1</cp:version>
</cp:coreProperties>
</file>