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Vision Cloud Services</w:t>
      </w:r>
    </w:p>
    <w:p>
      <w:pPr>
        <w:pStyle w:val="Subtitle"/>
      </w:pPr>
      <w:r>
        <w:t>Requisitos do backend comum das aplicações</w:t>
      </w:r>
    </w:p>
    <w:p>
      <w:r>
        <w:t>Versão 1.1  |  27 de setembro de 2026  |  Português de Portugal</w:t>
      </w:r>
    </w:p>
    <w:p>
      <w:r>
        <w:t>Destinatário e responsável pela aprovação: Direção do projeto Vision World Apps. Documento de especificação para revisão e execução faseada. A aprovação do documento e de cada fase fica registada separadamente. Revisão de calendário: primeiro lote até 10 de novembro de 2026; fases e aprovações continuam por executar.</w:t>
      </w:r>
    </w:p>
    <w:p>
      <w:pPr>
        <w:pStyle w:val="Heading1"/>
      </w:pPr>
      <w:r>
        <w:t>Conteúdo</w:t>
      </w:r>
    </w:p>
    <w:p>
      <w:pPr>
        <w:pStyle w:val="BodyText"/>
      </w:pPr>
      <w:r>
        <w:t>01  Objetivo e âmbito do serviço</w:t>
      </w:r>
    </w:p>
    <w:p>
      <w:pPr>
        <w:pStyle w:val="BodyText"/>
      </w:pPr>
      <w:r>
        <w:t>02  Baseline e fronteiras de responsabilidade</w:t>
      </w:r>
    </w:p>
    <w:p>
      <w:pPr>
        <w:pStyle w:val="BodyText"/>
      </w:pPr>
      <w:r>
        <w:t>03  Utilizadores e casos de utilização</w:t>
      </w:r>
    </w:p>
    <w:p>
      <w:pPr>
        <w:pStyle w:val="BodyText"/>
      </w:pPr>
      <w:r>
        <w:t>04  Registo de aplicações configuração e versões</w:t>
      </w:r>
    </w:p>
    <w:p>
      <w:pPr>
        <w:pStyle w:val="BodyText"/>
      </w:pPr>
      <w:r>
        <w:t>05  Identidade e autorização</w:t>
      </w:r>
    </w:p>
    <w:p>
      <w:pPr>
        <w:pStyle w:val="BodyText"/>
      </w:pPr>
      <w:r>
        <w:t>06  Compras subscrições e entitlements</w:t>
      </w:r>
    </w:p>
    <w:p>
      <w:pPr>
        <w:pStyle w:val="BodyText"/>
      </w:pPr>
      <w:r>
        <w:t>07  Vision AI Gateway e controlo de custos</w:t>
      </w:r>
    </w:p>
    <w:p>
      <w:pPr>
        <w:pStyle w:val="BodyText"/>
      </w:pPr>
      <w:r>
        <w:t>08  Standards e proveniência normativa</w:t>
      </w:r>
    </w:p>
    <w:p>
      <w:pPr>
        <w:pStyle w:val="BodyText"/>
      </w:pPr>
      <w:r>
        <w:t>09  Trust TSA e verificação</w:t>
      </w:r>
    </w:p>
    <w:p>
      <w:pPr>
        <w:pStyle w:val="BodyText"/>
      </w:pPr>
      <w:r>
        <w:t>10  Suporte integração e saúde</w:t>
      </w:r>
    </w:p>
    <w:p>
      <w:pPr>
        <w:pStyle w:val="BodyText"/>
      </w:pPr>
      <w:r>
        <w:t>11  Privacidade e analytics por desenho</w:t>
      </w:r>
    </w:p>
    <w:p>
      <w:pPr>
        <w:pStyle w:val="BodyText"/>
      </w:pPr>
      <w:r>
        <w:t>12  Modelo de dados e contratos de API</w:t>
      </w:r>
    </w:p>
    <w:p>
      <w:pPr>
        <w:pStyle w:val="BodyText"/>
      </w:pPr>
      <w:r>
        <w:t>13  Requisitos não funcionais e aceitação</w:t>
      </w:r>
    </w:p>
    <w:p>
      <w:pPr>
        <w:pStyle w:val="BodyText"/>
      </w:pPr>
      <w:r>
        <w:t>14  Fases do Vision Cloud Services</w:t>
      </w:r>
    </w:p>
    <w:p>
      <w:pPr>
        <w:pStyle w:val="BodyText"/>
      </w:pPr>
      <w:r>
        <w:t>15  Método de execução e critérios de encerramento</w:t>
      </w:r>
    </w:p>
    <w:p>
      <w:pPr>
        <w:pStyle w:val="BodyText"/>
      </w:pPr>
      <w:r>
        <w:t>16  Calendário integrado e dependências</w:t>
      </w:r>
    </w:p>
    <w:p>
      <w:pPr>
        <w:pStyle w:val="BodyText"/>
      </w:pPr>
      <w:r>
        <w:t>17  Aceitação de release e operação</w:t>
      </w:r>
    </w:p>
    <w:p>
      <w:pPr>
        <w:pStyle w:val="BodyText"/>
      </w:pPr>
      <w:r>
        <w:t>18  Decisões pendentes e ligações</w:t>
      </w:r>
    </w:p>
    <w:p>
      <w:r>
        <w:br w:type="page"/>
      </w:r>
    </w:p>
    <w:p>
      <w:pPr>
        <w:pStyle w:val="Heading1"/>
      </w:pPr>
      <w:r>
        <w:t>Objetivo e âmbito do serviço</w:t>
      </w:r>
    </w:p>
    <w:p>
      <w:r>
        <w:rPr>
          <w:b w:val="0"/>
        </w:rPr>
        <w:t>Vision Cloud Services é o backend comum de Vision Field Report, Vision Field PhotoProof e Vision Field Calc. Centraliza identidade quando necessária, direitos de utilização, Managed AI, quotas, Standards, Trust, configuração, suporte e telemetria. Os clientes utilizam exclusivamente APIs autorizadas; não recebem credenciais de base de dados nem fazem consultas diretas. O website público e o Backoffice usam contratos separados e privilégios proporcionais.</w:t>
      </w:r>
    </w:p>
    <w:p>
      <w:r>
        <w:rPr>
          <w:b w:val="0"/>
        </w:rPr>
        <w:t>Até 10 de novembro de 2026, entregar os serviços necessários ao Field Report, Core e website: registo de apps/versões, identidade mínima, autorização, entitlement necessário ao modelo comercial aprovado, gateway AWS, quotas, catálogo de normas, configuração, suporte mínimo, analytics e operação. O módulo Trust prepara contratos e fixtures nessa janela; o serviço PhotoProof completo segue o seu PRD posterior. Não representar endpoints simulados como serviços de produção.</w:t>
      </w:r>
    </w:p>
    <w:p>
      <w:r>
        <w:rPr>
          <w:b w:val="0"/>
        </w:rPr>
        <w:t>As decisões de infraestrutura e tecnologias concretas descritas na arquitetura são propostas para aprovação. A região, o papel do serviço, a ausência de acesso direto a DB, a separação Managed AI/BYO e o modo local são requisitos fixos do baseline.</w:t>
      </w:r>
    </w:p>
    <w:p>
      <w:pPr>
        <w:pStyle w:val="Heading1"/>
      </w:pPr>
      <w:r>
        <w:t>Baseline e fronteiras de responsabilidade</w:t>
      </w:r>
    </w:p>
    <w:p>
      <w:r>
        <w:rPr>
          <w:b w:val="0"/>
        </w:rPr>
        <w:t>As aplicações partilham Flutter e Dart. O Windows 11 com Claude Code é o ambiente principal. Os PCs e os modelos locais são usados em desenvolvimento e testes; não recebem pedidos de produção, não guardam uma cópia operacional necessária ao serviço e não são uma rota de recuperação de produção. Supabase e Vercel estão excluídos.</w:t>
      </w:r>
    </w:p>
    <w:p>
      <w:r>
        <w:rPr>
          <w:b w:val="0"/>
        </w:rPr>
        <w:t>Os serviços de produção residem na AWS em Frankfurt, eu-central-1. A configuração da região, das cópias de segurança e do processamento deve ser demonstrada por ambiente. Um perfil Bedrock com prefixo europeu não demonstra, por si só, processamento exclusivamente em Frankfurt. Até comprovar a rota compatível e já contratada, a funcionalidade Managed AI mantém o modo sem IA.</w:t>
      </w:r>
    </w:p>
    <w:p>
      <w:r>
        <w:rPr>
          <w:b w:val="0"/>
        </w:rPr>
        <w:t>Vision Managed AI utiliza exclusivamente a IA já contratada na AWS. O Vision Cloud Services é responsável pela admissão dos pedidos das apps, quotas, reservas de custo, consumo e interrupção por orçamento. A autorização de modelos exige inventário real da conta, acesso, preço, região e quota; o PRD não autoriza novas subscrições ou fornecedores. A IA usada internamente pelo Backoffice conserva o seu controlo próprio até uma integração aprovada, evitando duas cobranças para a mesma operação.</w:t>
      </w:r>
    </w:p>
    <w:p>
      <w:r>
        <w:rPr>
          <w:b w:val="0"/>
        </w:rPr>
        <w:t>BYO é uma escolha explícita do utilizador, separada de Managed AI. As credenciais ficam no armazenamento seguro local e não entram no backend, logs, relatórios, exports ou analytics. Antes do envio, o utilizador conhece o fornecedor, os dados transmitidos e quem suporta o custo. A Vision responde pela implementação, proteção local e transparência; o utilizador responde pelas credenciais, limites e termos da sua conta; o fornecedor responde pelo serviço nos seus próprios termos. Uma falha num modo não muda silenciosamente para o outro.</w:t>
      </w:r>
    </w:p>
    <w:p>
      <w:r>
        <w:rPr>
          <w:b w:val="0"/>
        </w:rPr>
        <w:t>O funcionamento local é o ponto de partida. Sem rede, IA, permissões opcionais ou serviços auxiliares, o utilizador continua a trabalhar no que é local. A interface mostra o estado, conserva trabalho e permite repetir operações de forma controlada. Integridade, identidade e confiança não são simuladas: um selo local não recebe o estatuto de timestamp de confiança, e uma autenticação expirada não autoriza nova operação remota.</w:t>
      </w:r>
    </w:p>
    <w:p>
      <w:r>
        <w:rPr>
          <w:b w:val="0"/>
        </w:rPr>
        <w:t>O Field Calc não exige conta. Field Report e PhotoProof usam identidade mínima porque protegem autoria, acesso a relatórios e atribuição da captura. A conta não implica recolha de documentos de identificação civil. A identidade de conta, a pessoa que opera o dispositivo e uma identidade legalmente verificada são conceitos distintos e devem ser apresentados como tal.</w:t>
      </w:r>
    </w:p>
    <w:p>
      <w:r>
        <w:rPr>
          <w:b w:val="0"/>
        </w:rPr>
        <w:t>O Mac mini M4 com 16 GB de memória e 256 GB de armazenamento, previsto para o fim de outubro de 2026, será a estação de build, teste, assinatura e release Apple com Xcode. A compra, chegada e configuração não se presumem concluídas. Até à disponibilidade real, os ensaios Apple ficam com o estado exato Pending Hardware. Os restantes trabalhos prosseguem quando tecnicamente independentes; uma versão Apple não recebe aprovação final sem esses ensaios.</w:t>
      </w:r>
    </w:p>
    <w:p>
      <w:pPr>
        <w:pStyle w:val="Heading1"/>
      </w:pPr>
      <w:r>
        <w:t>Utilizadores e casos de utilização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14"/>
        <w:gridCol w:w="4000"/>
        <w:gridCol w:w="3810"/>
      </w:tblGrid>
      <w:tr>
        <w:trPr>
          <w:cantSplit/>
          <w:tblHeader/>
        </w:trPr>
        <w:tc>
          <w:tcPr>
            <w:tcW w:type="dxa" w:w="1714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Ator</w:t>
            </w:r>
          </w:p>
        </w:tc>
        <w:tc>
          <w:tcPr>
            <w:tcW w:type="dxa" w:w="4000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Necessidade</w:t>
            </w:r>
          </w:p>
        </w:tc>
        <w:tc>
          <w:tcPr>
            <w:tcW w:type="dxa" w:w="3810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Restrição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Técnico de inspeção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Autoria, proteção de relatórios, catálogo e assistência opcional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Continua a recolher dados locais quando não existe rede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Capturador PhotoProof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Identidade, timestamp e publicação controlada de prova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Conteúdo não é público por existir um registo de hash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Utilizador Calc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Cálculo sem conta e interpretação opcional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Quota Managed AI não obriga a criar perfil pessoal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Revisor de evidência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Consultar um pacote ou referência autorizada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Sem pesquisa por pessoa, GPS ou lista pública de evidências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Operador Backoffice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Apoio, consumo, versões, incidentes e administração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Sem acesso direto à DB ou conteúdo técnico do cliente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Pipeline de release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Registar versão, configuração e estado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Credencial de serviço de âmbito mínimo e origem auditável</w:t>
            </w:r>
          </w:p>
        </w:tc>
      </w:tr>
    </w:tbl>
    <w:p>
      <w:pPr>
        <w:spacing w:after="40"/>
      </w:pPr>
    </w:p>
    <w:p>
      <w:r>
        <w:rPr>
          <w:b w:val="0"/>
        </w:rPr>
        <w:t>O principal percurso de valor começa com uma ação local. A app lê a configuração assinada em cache, cria trabalho no dispositivo e só chama o Cloud quando precisa de identidade remota, sincronização autorizada, IA, norma remota, compra ou confiança externa. Cada ação externa mostra destino, estado e recuperação. A indisponibilidade de suporte ou analytics não bloqueia guardar uma inspeção.</w:t>
      </w:r>
    </w:p>
    <w:p>
      <w:pPr>
        <w:pStyle w:val="Heading1"/>
      </w:pPr>
      <w:r>
        <w:t>Registo de aplicações configuração e versões</w:t>
      </w:r>
    </w:p>
    <w:p>
      <w:r>
        <w:rPr>
          <w:b w:val="0"/>
        </w:rPr>
      </w:r>
      <w:r>
        <w:rPr>
          <w:b/>
        </w:rPr>
        <w:t>VCS 001 App Registry.</w:t>
      </w:r>
      <w:r>
        <w:rPr>
          <w:b w:val="0"/>
        </w:rPr>
        <w:t xml:space="preserve"> Registar app_id imutável, nome, plataformas, ambientes, estado, capacidades, contactos, termos e versão de política. IDs propostos: vision-field-report, vision-field-photoproof e vision-field-calc, sujeitos a validação de colisões. Ambientes de teste têm audiência distinta e não usam chaves de produção.</w:t>
      </w:r>
    </w:p>
    <w:p>
      <w:r>
        <w:rPr>
          <w:b w:val="0"/>
        </w:rPr>
      </w:r>
      <w:r>
        <w:rPr>
          <w:b/>
        </w:rPr>
        <w:t>VCS 002 Versões.</w:t>
      </w:r>
      <w:r>
        <w:rPr>
          <w:b w:val="0"/>
        </w:rPr>
        <w:t xml:space="preserve"> Por app/plataforma/canal, guardar versão em produção, última versão, mínimo remoto suportado, data, release notes, problemas conhecidos e compatibilidade de API/schema. O mínimo pode bloquear uma operação remota insegura; não deve impedir exportar dados locais só para forçar uma atualização comercial.</w:t>
      </w:r>
    </w:p>
    <w:p>
      <w:r>
        <w:rPr>
          <w:b w:val="0"/>
        </w:rPr>
      </w:r>
      <w:r>
        <w:rPr>
          <w:b/>
        </w:rPr>
        <w:t>VCS 003 Configuração.</w:t>
      </w:r>
      <w:r>
        <w:rPr>
          <w:b w:val="0"/>
        </w:rPr>
        <w:t xml:space="preserve"> Publicar configuração versionada e assinada, com issued_at, expires_at, ETag, capabilities e endpoints permitidos. O cliente conserva a última válida; uma resposta truncada ou assinatura inválida não substitui a cache. Parâmetros de risco têm valores locais seguros e regras de expiração documentadas. Flags desligam funcionalidades, mas não contornam quotas ou gates.</w:t>
      </w:r>
    </w:p>
    <w:p>
      <w:r>
        <w:rPr>
          <w:b w:val="0"/>
        </w:rPr>
      </w:r>
      <w:r>
        <w:rPr>
          <w:b/>
        </w:rPr>
        <w:t>VCS 004 Administração.</w:t>
      </w:r>
      <w:r>
        <w:rPr>
          <w:b w:val="0"/>
        </w:rPr>
        <w:t xml:space="preserve"> Toda a alteração de versão, quota ou catálogo passa por API administrativa, autorização de papel, validação, preview de impacto e audit. O servidor rejeita writes de versões obsoletas com controlo otimista. Publicar config é uma ação distinta de editar rascunho.</w:t>
      </w:r>
    </w:p>
    <w:p>
      <w:pPr>
        <w:pStyle w:val="Heading1"/>
      </w:pPr>
      <w:r>
        <w:t>Identidade e autorização</w:t>
      </w:r>
    </w:p>
    <w:p>
      <w:r>
        <w:rPr>
          <w:b w:val="0"/>
        </w:rPr>
      </w:r>
      <w:r>
        <w:rPr>
          <w:b/>
        </w:rPr>
        <w:t>VCS 010 Contas mínimas.</w:t>
      </w:r>
      <w:r>
        <w:rPr>
          <w:b w:val="0"/>
        </w:rPr>
        <w:t xml:space="preserve"> A identidade de Field Report e PhotoProof liga um subject opaco a um método de autenticação e a perfis de autoria. Dados iniciais propostos: identificador, email verificado quando usado para recuperação, nome de apresentação fornecido pelo utilizador e estados da conta. Não guardar documento civil por defeito.</w:t>
      </w:r>
    </w:p>
    <w:p>
      <w:r>
        <w:rPr>
          <w:b w:val="0"/>
        </w:rPr>
      </w:r>
      <w:r>
        <w:rPr>
          <w:b/>
        </w:rPr>
        <w:t>VCS 011 Tokens.</w:t>
      </w:r>
      <w:r>
        <w:rPr>
          <w:b w:val="0"/>
        </w:rPr>
        <w:t xml:space="preserve"> Usar um fornecedor de identidade gerido na AWS, proposto Amazon Cognito em Frankfurt, com tokens de curta duração, refresh protegido e fluxo de recuperação testado. A seleção final depende de compatibilidade Flutter, região e requisitos do titular. Validar issuer, audience, expiry, assinatura e scopes em cada pedido; não confiar num app_id enviado livremente pelo cliente.</w:t>
      </w:r>
    </w:p>
    <w:p>
      <w:r>
        <w:rPr>
          <w:b w:val="0"/>
        </w:rPr>
      </w:r>
      <w:r>
        <w:rPr>
          <w:b/>
        </w:rPr>
        <w:t>VCS 012 Autorização por recurso.</w:t>
      </w:r>
      <w:r>
        <w:rPr>
          <w:b w:val="0"/>
        </w:rPr>
        <w:t xml:space="preserve"> O servidor resolve owner/workspace a partir da identidade e verifica a pertença antes de ler ou escrever. app_id, account_id e environment fazem parte das chaves de autorização. Testar substituição de cada identificador em rotas de leitura, exportação, eliminação e download. IDs aleatórios não substituem autorização.</w:t>
      </w:r>
    </w:p>
    <w:p>
      <w:r>
        <w:rPr>
          <w:b w:val="0"/>
        </w:rPr>
      </w:r>
      <w:r>
        <w:rPr>
          <w:b/>
        </w:rPr>
        <w:t>VCS 013 Sessões e revogação.</w:t>
      </w:r>
      <w:r>
        <w:rPr>
          <w:b w:val="0"/>
        </w:rPr>
        <w:t xml:space="preserve"> Revogar sessões/dispositivos e apresentar a data da última validação. O cliente offline pode continuar a trabalhar nos dados locais já autorizados segundo a política de proteção local; novos acessos remotos exigem sessão válida. Um dispositivo revogado não consegue sincronizar ao regressar.</w:t>
      </w:r>
    </w:p>
    <w:p>
      <w:r>
        <w:rPr>
          <w:b w:val="0"/>
        </w:rPr>
      </w:r>
      <w:r>
        <w:rPr>
          <w:b/>
        </w:rPr>
        <w:t>VCS 014 Calc sem conta.</w:t>
      </w:r>
      <w:r>
        <w:rPr>
          <w:b w:val="0"/>
        </w:rPr>
        <w:t xml:space="preserve"> Para Managed AI opcional, propor credencial anónima de instalação com quota curta, sinais de integridade quando disponíveis e limites de abuso. Compra e restauro podem apoiar o entitlement sem introduzir registo Vision obrigatório. Se não houver prova suficiente para a quota, desativar IA remota e preservar os cálculos locais.</w:t>
      </w:r>
    </w:p>
    <w:p>
      <w:pPr>
        <w:pStyle w:val="Heading1"/>
      </w:pPr>
      <w:r>
        <w:t>Compras subscrições e entitlements</w:t>
      </w:r>
    </w:p>
    <w:p>
      <w:r>
        <w:rPr>
          <w:b w:val="0"/>
        </w:rPr>
      </w:r>
      <w:r>
        <w:rPr>
          <w:b/>
        </w:rPr>
        <w:t>VCS 020 Fonte de verdade.</w:t>
      </w:r>
      <w:r>
        <w:rPr>
          <w:b w:val="0"/>
        </w:rPr>
        <w:t xml:space="preserve"> Um entitlement é o direito técnico resultante de uma compra, subscrição, oferta ou política autorizada. Apple/Google continuam a ser a fonte do estado das respetivas transações. O Cloud valida notificações, associa transações e calcula o direito. O Backoffice consulta e efetua ações permitidas pela API, sem alterar recibos.</w:t>
      </w:r>
    </w:p>
    <w:p>
      <w:r>
        <w:rPr>
          <w:b w:val="0"/>
        </w:rPr>
      </w:r>
      <w:r>
        <w:rPr>
          <w:b/>
        </w:rPr>
        <w:t>VCS 021 Ciclo de vida.</w:t>
      </w:r>
      <w:r>
        <w:rPr>
          <w:b w:val="0"/>
        </w:rPr>
        <w:t xml:space="preserve"> Representar pending, active, grace, expired, refunded e revoked, com effective_from, effective_until, provider, product_id e transaction_ref. Reconciliar eventos fora de ordem pela versão/data do fornecedor e consultar estado quando necessário. Uma entrega duplicada produz um resultado idempotente.</w:t>
      </w:r>
    </w:p>
    <w:p>
      <w:r>
        <w:rPr>
          <w:b w:val="0"/>
        </w:rPr>
      </w:r>
      <w:r>
        <w:rPr>
          <w:b/>
        </w:rPr>
        <w:t>VCS 022 Cache offline.</w:t>
      </w:r>
      <w:r>
        <w:rPr>
          <w:b w:val="0"/>
        </w:rPr>
        <w:t xml:space="preserve"> Emitir snapshot assinado de direitos com prazo e motivo de limitação. Separar funções locais adquiridas de quotas remotas que exigem verificação. A expiração de IA não bloqueia leitura/exportação dos relatórios do utilizador. A tolerância offline é uma decisão por produto, proposta em sete dias para direitos temporários, a aprovar com o modelo comercial.</w:t>
      </w:r>
    </w:p>
    <w:p>
      <w:r>
        <w:rPr>
          <w:b w:val="0"/>
        </w:rPr>
      </w:r>
      <w:r>
        <w:rPr>
          <w:b/>
        </w:rPr>
        <w:t>VCS 023 Restauro e conflito.</w:t>
      </w:r>
      <w:r>
        <w:rPr>
          <w:b w:val="0"/>
        </w:rPr>
        <w:t xml:space="preserve"> Testar mudança de dispositivo, reinstall, compra em sandbox, conta diferente e dupla associação. Não ligar uma transação a outra identidade sem prova de titularidade. Definir o tratamento de compras anónimas Calc antes de oferecer sincronização opcional futura.</w:t>
      </w:r>
    </w:p>
    <w:p>
      <w:pPr>
        <w:pStyle w:val="Heading1"/>
      </w:pPr>
      <w:r>
        <w:t>Vision AI Gateway e controlo de custos</w:t>
      </w:r>
    </w:p>
    <w:p>
      <w:r>
        <w:rPr>
          <w:b w:val="0"/>
        </w:rPr>
      </w:r>
      <w:r>
        <w:rPr>
          <w:b/>
        </w:rPr>
        <w:t>VCS 030 Rotas autorizadas.</w:t>
      </w:r>
      <w:r>
        <w:rPr>
          <w:b w:val="0"/>
        </w:rPr>
        <w:t xml:space="preserve"> O cliente pede uma capability funcional e não escolhe um modelo arbitrário. O servidor resolve alias, versão e modelo permitido num catálogo com fornecedor AWS, região efetiva, acesso contratado, preço verificado, limites de contexto e política de dados. Ausência de autorização ou preço impede a execução remota e devolve causa recuperável.</w:t>
      </w:r>
    </w:p>
    <w:p>
      <w:r>
        <w:rPr>
          <w:b w:val="0"/>
        </w:rPr>
      </w:r>
      <w:r>
        <w:rPr>
          <w:b/>
        </w:rPr>
        <w:t>VCS 031 Admissão.</w:t>
      </w:r>
      <w:r>
        <w:rPr>
          <w:b w:val="0"/>
        </w:rPr>
        <w:t xml:space="preserve"> Antes da chamada, verificar identidade/credencial anónima, entitlement, consentimento para a ação, tamanho, taxa, quota de app/utilizador e orçamento global. Reservar atomicamente o custo máximo permitido e um identificador idempotente. Pedidos concorrentes não podem consumir o mesmo saldo. Limitar max_tokens e input antes do envio.</w:t>
      </w:r>
    </w:p>
    <w:p>
      <w:r>
        <w:rPr>
          <w:b w:val="0"/>
        </w:rPr>
      </w:r>
      <w:r>
        <w:rPr>
          <w:b/>
        </w:rPr>
        <w:t>VCS 032 Liquidação.</w:t>
      </w:r>
      <w:r>
        <w:rPr>
          <w:b w:val="0"/>
        </w:rPr>
        <w:t xml:space="preserve"> Após resposta, registar tokens/uso efetivo e liquidar a reserva. Um timeout com envio confirmado tem custo desconhecido; a reserva fica retida até reconciliação ou limite conservador. Não libertar automaticamente toda a reserva e repetir uma chamada potencialmente cobrada. Guardar provider_request_id quando disponível, sem prompts.</w:t>
      </w:r>
    </w:p>
    <w:p>
      <w:r>
        <w:rPr>
          <w:b w:val="0"/>
        </w:rPr>
      </w:r>
      <w:r>
        <w:rPr>
          <w:b/>
        </w:rPr>
        <w:t>VCS 033 Hierarquia de limites.</w:t>
      </w:r>
      <w:r>
        <w:rPr>
          <w:b w:val="0"/>
        </w:rPr>
        <w:t xml:space="preserve"> Aplicar simultaneamente teto global, ambiente, app, plano, subject/instalação, dia/mês e pedido. O menor limite prevalece. Percentagens de aviso propostas: 70, 90 e 100. O kill switch pode bloquear novas chamadas imediatamente; dados locais permanecem acessíveis. Um operador não aumenta o próprio orçamento por uma ferramenta de IA.</w:t>
      </w:r>
    </w:p>
    <w:p>
      <w:r>
        <w:rPr>
          <w:b w:val="0"/>
        </w:rPr>
      </w:r>
      <w:r>
        <w:rPr>
          <w:b/>
        </w:rPr>
        <w:t>VCS 034 Resposta e fallback.</w:t>
      </w:r>
      <w:r>
        <w:rPr>
          <w:b w:val="0"/>
        </w:rPr>
        <w:t xml:space="preserve"> Devolver resultado estruturado, provenance de modelo/versão e códigos como quota_exhausted, ai_unavailable ou invalid_parameters. Retentativas limitadas e com backoff só quando idempotentes e dentro do orçamento. Nunca mudar para IA local ou fornecedor não contratado. A app oferece edição manual.</w:t>
      </w:r>
    </w:p>
    <w:p>
      <w:r>
        <w:rPr>
          <w:b w:val="0"/>
        </w:rPr>
      </w:r>
      <w:r>
        <w:rPr>
          <w:b/>
        </w:rPr>
        <w:t>VCS 035 Preços e moeda.</w:t>
      </w:r>
      <w:r>
        <w:rPr>
          <w:b w:val="0"/>
        </w:rPr>
        <w:t xml:space="preserve"> Livro-razão em unidade monetária inteira, por exemplo microUSD, guardando moeda original, preço versionado e taxa de câmbio usada nas vistas. Quota de tokens não substitui orçamento de custo. Não apresentar estimativa como fatura da AWS; reconciliar com a faturação e documentar desvio.</w:t>
      </w:r>
    </w:p>
    <w:p>
      <w:r>
        <w:rPr>
          <w:b w:val="0"/>
        </w:rPr>
      </w:r>
      <w:r>
        <w:rPr>
          <w:b/>
        </w:rPr>
        <w:t>VCS 036 Conteúdo.</w:t>
      </w:r>
      <w:r>
        <w:rPr>
          <w:b w:val="0"/>
        </w:rPr>
        <w:t xml:space="preserve"> Não guardar prompts/respostas por defeito. Desativar body logging em proxies, métricas e erros. O consentimento de processamento não constitui consentimento de analytics. Envio de documento ou fotografia exige ação específica; a opção predefinida é contexto mínimo necessário.</w:t>
      </w:r>
    </w:p>
    <w:p>
      <w:r>
        <w:rPr>
          <w:b w:val="0"/>
        </w:rPr>
        <w:t>BYO não passa pelo gateway com a chave do utilizador. O cliente usa um adaptador próprio e storage seguro, com informação prévia do fornecedor. O Cloud pode distribuir a capacidade e documentação do modo sem recolher credenciais. Medição BYO, se consentida, é agregada e não pretende representar a fatura externa.</w:t>
      </w:r>
    </w:p>
    <w:p>
      <w:pPr>
        <w:pStyle w:val="Heading1"/>
      </w:pPr>
      <w:r>
        <w:t>Standards e proveniência normativa</w:t>
      </w:r>
    </w:p>
    <w:p>
      <w:r>
        <w:rPr>
          <w:b w:val="0"/>
        </w:rPr>
      </w:r>
      <w:r>
        <w:rPr>
          <w:b/>
        </w:rPr>
        <w:t>VCS 040 Catálogo.</w:t>
      </w:r>
      <w:r>
        <w:rPr>
          <w:b w:val="0"/>
        </w:rPr>
        <w:t xml:space="preserve"> Cada registo contém standard_id, editor, título, código oficial, edição, data, jurisdição quando conhecida, source_url oficial, licença, estado, superseded_by e checked_at. Conteúdo comercial não é redistribuído sem direito. O catálogo pode referenciar a origem oficial e permitir importação licenciada pelo utilizador.</w:t>
      </w:r>
    </w:p>
    <w:p>
      <w:r>
        <w:rPr>
          <w:b w:val="0"/>
        </w:rPr>
      </w:r>
      <w:r>
        <w:rPr>
          <w:b/>
        </w:rPr>
        <w:t>VCS 041 Ficheiros e validação.</w:t>
      </w:r>
      <w:r>
        <w:rPr>
          <w:b w:val="0"/>
        </w:rPr>
        <w:t xml:space="preserve"> Distinguir metadata curada, fonte descarregada, hash de bytes e validação do utilizador. SHA-256 confirma igualdade de bytes face à referência conhecida, não autenticidade do editor nem validade técnica. O utilizador confirma documento, edição e âmbito antes da referência num relatório. Guardar validator, validated_at e rationale.</w:t>
      </w:r>
    </w:p>
    <w:p>
      <w:r>
        <w:rPr>
          <w:b w:val="0"/>
        </w:rPr>
      </w:r>
      <w:r>
        <w:rPr>
          <w:b/>
        </w:rPr>
        <w:t>VCS 042 Atualização.</w:t>
      </w:r>
      <w:r>
        <w:rPr>
          <w:b w:val="0"/>
        </w:rPr>
        <w:t xml:space="preserve"> Estados propostos: draft, source_checked, user_validation_required, user_validated, superseded, withdrawn e unverifiable. Estados de curadoria global e de validação individual são campos separados. Uma edição nova gera novo registo e não reescreve o histórico de relatórios. A API entrega deltas e tombstones assinados.</w:t>
      </w:r>
    </w:p>
    <w:p>
      <w:r>
        <w:rPr>
          <w:b w:val="0"/>
        </w:rPr>
      </w:r>
      <w:r>
        <w:rPr>
          <w:b/>
        </w:rPr>
        <w:t>VCS 043 Proteção de importação.</w:t>
      </w:r>
      <w:r>
        <w:rPr>
          <w:b w:val="0"/>
        </w:rPr>
        <w:t xml:space="preserve"> Validar tamanho, tipo real, malware quando aplicável e URLs de descarga. Bloquear SSRF, caminhos internos e execução de macros. O download direto para o dispositivo pode ser preferível quando a licença proíbe storage no serviço. Não inventar norma, cláusula ou referência ausente.</w:t>
      </w:r>
    </w:p>
    <w:p>
      <w:pPr>
        <w:pStyle w:val="Heading1"/>
      </w:pPr>
      <w:r>
        <w:t>Trust TSA e verificação</w:t>
      </w:r>
    </w:p>
    <w:p>
      <w:r>
        <w:rPr>
          <w:b w:val="0"/>
        </w:rPr>
      </w:r>
      <w:r>
        <w:rPr>
          <w:b/>
        </w:rPr>
        <w:t>VCS 050 Serviço de confiança.</w:t>
      </w:r>
      <w:r>
        <w:rPr>
          <w:b w:val="0"/>
        </w:rPr>
        <w:t xml:space="preserve"> Receber hash de manifesto selado e metadados mínimos, validar autorização e idempotência, pedir timestamp RFC3161 à TSA aprovada e devolver token e resultado de validação. O fornecedor TSA, licença, região e custo são decisões explícitas pendentes; AWS não é assumida como TSA RFC3161 só por alojar a API.</w:t>
      </w:r>
    </w:p>
    <w:p>
      <w:r>
        <w:rPr>
          <w:b w:val="0"/>
        </w:rPr>
      </w:r>
      <w:r>
        <w:rPr>
          <w:b/>
        </w:rPr>
        <w:t>VCS 051 Estados.</w:t>
      </w:r>
      <w:r>
        <w:rPr>
          <w:b w:val="0"/>
        </w:rPr>
        <w:t xml:space="preserve"> Separar local_sealed, pending_timestamp, timestamp_verified, timestamp_failed e revoked_public_link. O timestamp atesta existência antes/do instante certificado, não prova automaticamente a hora da captura. Guardar tempo de captura declarado e tempo de confiança em campos distintos.</w:t>
      </w:r>
    </w:p>
    <w:p>
      <w:r>
        <w:rPr>
          <w:b w:val="0"/>
        </w:rPr>
      </w:r>
      <w:r>
        <w:rPr>
          <w:b/>
        </w:rPr>
        <w:t>VCS 052 Verificador.</w:t>
      </w:r>
      <w:r>
        <w:rPr>
          <w:b w:val="0"/>
        </w:rPr>
        <w:t xml:space="preserve"> O endpoint público aceita referência de alta entropia ou ficheiro fornecido voluntariamente. Devolve resultados separados de integridade, assinatura, timestamp, attestation e proveniência. Não revela localização, nome ou fotografias sem publicação expressa. Link revogado não apaga a integridade histórica de um pacote exportado.</w:t>
      </w:r>
    </w:p>
    <w:p>
      <w:r>
        <w:rPr>
          <w:b w:val="0"/>
        </w:rPr>
      </w:r>
      <w:r>
        <w:rPr>
          <w:b/>
        </w:rPr>
        <w:t>VCS 053 Chaves e prova.</w:t>
      </w:r>
      <w:r>
        <w:rPr>
          <w:b w:val="0"/>
        </w:rPr>
        <w:t xml:space="preserve"> Guardar key_id, algoritmo, cadeia, política, validade e estado de revogação. Nunca receber chave privada do dispositivo. A política de trust é versionada e a verificação indica a data da consulta. Pacotes sem chain completa são indeterminate, sem forçar um resultado válido.</w:t>
      </w:r>
    </w:p>
    <w:p>
      <w:pPr>
        <w:pStyle w:val="Heading1"/>
      </w:pPr>
      <w:r>
        <w:t>Suporte integração e saúde</w:t>
      </w:r>
    </w:p>
    <w:p>
      <w:r>
        <w:rPr>
          <w:b w:val="0"/>
        </w:rPr>
      </w:r>
      <w:r>
        <w:rPr>
          <w:b/>
        </w:rPr>
        <w:t>VCS 060 Suporte mínimo.</w:t>
      </w:r>
      <w:r>
        <w:rPr>
          <w:b w:val="0"/>
        </w:rPr>
        <w:t xml:space="preserve"> Emitir referência de ticket e transmitir app_id, versão, plataforma, categoria e descrição voluntária ao Backoffice. Apresentar aviso para não anexar segredos ou conteúdo técnico desnecessário. Antes de o módulo de conversas existente estar pronto, a API conserva pedido durável e encaminha para atendimento humano com estado transparente; não simular uma resposta de agente.</w:t>
      </w:r>
    </w:p>
    <w:p>
      <w:r>
        <w:rPr>
          <w:b w:val="0"/>
        </w:rPr>
      </w:r>
      <w:r>
        <w:rPr>
          <w:b/>
        </w:rPr>
        <w:t>VCS 061 Fronteira Backoffice.</w:t>
      </w:r>
      <w:r>
        <w:rPr>
          <w:b w:val="0"/>
        </w:rPr>
        <w:t xml:space="preserve"> O Cloud é a contraparte de servidor dos contratos assinados. Chaves Ed25519 de serviço ficam na AWS, nunca no binário Flutter. Adaptar o contrato v1 existente para eventos de erro, release, lifecycle, saúde e agregados de IA, mantendo compatibilidade ou criando versão nova. Nenhuma chamada do Backoffice lê diretamente a DB de uma app.</w:t>
      </w:r>
    </w:p>
    <w:p>
      <w:r>
        <w:rPr>
          <w:b w:val="0"/>
        </w:rPr>
      </w:r>
      <w:r>
        <w:rPr>
          <w:b/>
        </w:rPr>
        <w:t>VCS 062 Analytics e saúde.</w:t>
      </w:r>
      <w:r>
        <w:rPr>
          <w:b w:val="0"/>
        </w:rPr>
        <w:t xml:space="preserve"> Separar pipeline opcional de uso, logs técnicos, audit de segurança e livro-razão financeiro. Publicar health mínimo e estado por componente; detalhes de DB, filas, quotas e fornecedor são internos. Correlation_id atravessa Cloud e Backoffice sem transportar conteúdo.</w:t>
      </w:r>
    </w:p>
    <w:p>
      <w:pPr>
        <w:pStyle w:val="Heading1"/>
      </w:pPr>
      <w:r>
        <w:t>Privacidade e analytics por desenho</w:t>
      </w:r>
    </w:p>
    <w:p>
      <w:r>
        <w:rPr>
          <w:b w:val="0"/>
        </w:rPr>
        <w:t>Analytics é um requisito oficial. O objetivo é medir adoção funcional, falhas, latência, consumo e saúde do serviço para melhorar o produto e controlar custos. Por defeito ficam excluídos fotografias, conteúdo de relatórios, documentos e normas importadas, secrets, API keys, coordenadas GPS precisas e prompts sensíveis completos. Os identificadores pseudónimos continuam a poder ser dados pessoais e não devem ser chamados anónimos sem demonstração.</w:t>
      </w:r>
    </w:p>
    <w:p>
      <w:r>
        <w:rPr>
          <w:b w:val="0"/>
        </w:rPr>
        <w:t>O esquema base proposto contém event_id aleatório, event_name de uma lista fechada, schema_version, app_id, app_version, platform, occurred_at com granularidade ajustada, received_at, outcome e error_code fixo. Campos opcionais admitidos incluem duration_bucket, feature_id e provider_mode. Campos desconhecidos são rejeitados. Não aceitar mensagens de exceção livres, URL completa, caminho local ou nome de ficheiro. O evento não transporta o identificador público de uma evidência juntamente com a identidade do utilizador.</w:t>
      </w:r>
    </w:p>
    <w:p>
      <w:r>
        <w:rPr>
          <w:b w:val="0"/>
        </w:rPr>
        <w:t>A medição opcional do uso fica separada da telemetria técnica necessária e dos registos de segurança. A política legal define a base aplicável; quando é necessário consentimento, não recolher antes da escolha, oferecer recusa equivalente e permitir revogação. A recusa de analytics opcionais não desativa as funções locais. Não introduzir publicidade, identificadores publicitários ou tracking entre serviços no âmbito inicial.</w:t>
      </w:r>
    </w:p>
    <w:p>
      <w:r>
        <w:rPr>
          <w:b w:val="0"/>
        </w:rPr>
        <w:t>Proposta de retenção a aprovar no gate de privacidade: eventos opcionais brutos até 30 dias; diagnósticos técnicos redigidos até 30 dias; agregados sem ligação a conta até 13 meses; audit de administração até 12 meses; factos de compras e obrigações fiscais pelo prazo legal confirmado; anexos de suporte até 30 dias após fecho. As cópias de segurança têm janela proposta de 35 dias, com expurgo diferido e reaplicação dos pedidos de eliminação após restauro. Estes valores são escolhas de produto, não prazos legais universalmente impostos.</w:t>
      </w:r>
    </w:p>
    <w:p>
      <w:r>
        <w:rPr>
          <w:b w:val="0"/>
        </w:rPr>
        <w:t>A eliminação distingue conta, dados remotos, dados locais, cópias partilhadas pelo utilizador e registos legalmente retidos. O pedido revoga sessões e acessos remotos, agenda purga e comunica o resultado e exceções fundamentadas. Exportar antes de apagar deve ser opção, não obstáculo. Uma operação de suporte usa referências opacas; conteúdo técnico de uma inspeção só entra num pedido de suporte por ação específica e consentida do utilizador, com finalidade e acesso restrito.</w:t>
      </w:r>
    </w:p>
    <w:p>
      <w:pPr>
        <w:pStyle w:val="Heading1"/>
      </w:pPr>
      <w:r>
        <w:t>Modelo de dados e contratos de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14"/>
        <w:gridCol w:w="4000"/>
        <w:gridCol w:w="3810"/>
      </w:tblGrid>
      <w:tr>
        <w:trPr>
          <w:cantSplit/>
          <w:tblHeader/>
        </w:trPr>
        <w:tc>
          <w:tcPr>
            <w:tcW w:type="dxa" w:w="1714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Entidade</w:t>
            </w:r>
          </w:p>
        </w:tc>
        <w:tc>
          <w:tcPr>
            <w:tcW w:type="dxa" w:w="4000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Identificador e campos essenciais</w:t>
            </w:r>
          </w:p>
        </w:tc>
        <w:tc>
          <w:tcPr>
            <w:tcW w:type="dxa" w:w="3810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Integridade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App e Release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app_id, platform, channel, version, capabilities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Único por app/plataforma/canal/versão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Subject e Device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subject_id, device_id, status, public_key_ref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Revogação sem reutilizar IDs antigos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Entitlement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grant_id, source, transaction_ref, state, validity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Unicidade da transação e histórico append-only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Quota e AIUsage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window_key, reserved, committed, request_id, price_id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Reserva atómica e reconciliação verificável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Standard e Validation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standard_id, edition, source, hash; subject_id, validation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Edição imutável e validação por utilizador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TrustRecord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evidence_ref, manifest_hash, token_ref, trust_state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Sem fotografia por defeito; hash imutável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SupportRequest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request_id, app_id, subject_ref opcional, state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Outbox e deduplicação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Config e Audit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version, signed_hash; actor, action, target, time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Publicação controlada e audit sem conteúdo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38"/>
        <w:gridCol w:w="3143"/>
        <w:gridCol w:w="3143"/>
      </w:tblGrid>
      <w:tr>
        <w:trPr>
          <w:cantSplit/>
          <w:tblHeader/>
        </w:trPr>
        <w:tc>
          <w:tcPr>
            <w:tcW w:type="dxa" w:w="3238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Operação API proposta</w:t>
            </w:r>
          </w:p>
        </w:tc>
        <w:tc>
          <w:tcPr>
            <w:tcW w:type="dxa" w:w="3143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Entrada e autorização</w:t>
            </w:r>
          </w:p>
        </w:tc>
        <w:tc>
          <w:tcPr>
            <w:tcW w:type="dxa" w:w="3143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Resultado e erro essencial</w:t>
            </w:r>
          </w:p>
        </w:tc>
      </w:tr>
      <w:tr>
        <w:trPr>
          <w:cantSplit/>
        </w:trPr>
        <w:tc>
          <w:tcPr>
            <w:tcW w:type="dxa" w:w="323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GET /v1/apps/{id}/config</w:t>
            </w:r>
          </w:p>
        </w:tc>
        <w:tc>
          <w:tcPr>
            <w:tcW w:type="dxa" w:w="314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app/plataforma/versão; leitura pública limitada</w:t>
            </w:r>
          </w:p>
        </w:tc>
        <w:tc>
          <w:tcPr>
            <w:tcW w:type="dxa" w:w="314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Config assinada, ETag; 304 ou versão compatível</w:t>
            </w:r>
          </w:p>
        </w:tc>
      </w:tr>
      <w:tr>
        <w:trPr>
          <w:cantSplit/>
        </w:trPr>
        <w:tc>
          <w:tcPr>
            <w:tcW w:type="dxa" w:w="3238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GET /v1/me/entitlements</w:t>
            </w:r>
          </w:p>
        </w:tc>
        <w:tc>
          <w:tcPr>
            <w:tcW w:type="dxa" w:w="3143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token válido</w:t>
            </w:r>
          </w:p>
        </w:tc>
        <w:tc>
          <w:tcPr>
            <w:tcW w:type="dxa" w:w="3143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Direitos por app; 401/403 sem fuga de existência</w:t>
            </w:r>
          </w:p>
        </w:tc>
      </w:tr>
      <w:tr>
        <w:trPr>
          <w:cantSplit/>
        </w:trPr>
        <w:tc>
          <w:tcPr>
            <w:tcW w:type="dxa" w:w="323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POST /v1/ai/requests</w:t>
            </w:r>
          </w:p>
        </w:tc>
        <w:tc>
          <w:tcPr>
            <w:tcW w:type="dxa" w:w="314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capability, parâmetros mínimos, idempotency key</w:t>
            </w:r>
          </w:p>
        </w:tc>
        <w:tc>
          <w:tcPr>
            <w:tcW w:type="dxa" w:w="314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Resultado estruturado; 429/503/422 com code fixo</w:t>
            </w:r>
          </w:p>
        </w:tc>
      </w:tr>
      <w:tr>
        <w:trPr>
          <w:cantSplit/>
        </w:trPr>
        <w:tc>
          <w:tcPr>
            <w:tcW w:type="dxa" w:w="3238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GET /v1/standards</w:t>
            </w:r>
          </w:p>
        </w:tc>
        <w:tc>
          <w:tcPr>
            <w:tcW w:type="dxa" w:w="3143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cursor e filtros permitidos</w:t>
            </w:r>
          </w:p>
        </w:tc>
        <w:tc>
          <w:tcPr>
            <w:tcW w:type="dxa" w:w="3143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Catálogo versionado sem documentos licenciados por defeito</w:t>
            </w:r>
          </w:p>
        </w:tc>
      </w:tr>
      <w:tr>
        <w:trPr>
          <w:cantSplit/>
        </w:trPr>
        <w:tc>
          <w:tcPr>
            <w:tcW w:type="dxa" w:w="323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POST /v1/standards/validations</w:t>
            </w:r>
          </w:p>
        </w:tc>
        <w:tc>
          <w:tcPr>
            <w:tcW w:type="dxa" w:w="314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standard_id, hash, edição e confirmação</w:t>
            </w:r>
          </w:p>
        </w:tc>
        <w:tc>
          <w:tcPr>
            <w:tcW w:type="dxa" w:w="314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Registo de validação associado à identidade</w:t>
            </w:r>
          </w:p>
        </w:tc>
      </w:tr>
      <w:tr>
        <w:trPr>
          <w:cantSplit/>
        </w:trPr>
        <w:tc>
          <w:tcPr>
            <w:tcW w:type="dxa" w:w="3238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POST /v1/trust/timestamps</w:t>
            </w:r>
          </w:p>
        </w:tc>
        <w:tc>
          <w:tcPr>
            <w:tcW w:type="dxa" w:w="3143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manifest_hash, evidence_ref e chave idempotente</w:t>
            </w:r>
          </w:p>
        </w:tc>
        <w:tc>
          <w:tcPr>
            <w:tcW w:type="dxa" w:w="3143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Job 202; token validado consultável com autorização</w:t>
            </w:r>
          </w:p>
        </w:tc>
      </w:tr>
      <w:tr>
        <w:trPr>
          <w:cantSplit/>
        </w:trPr>
        <w:tc>
          <w:tcPr>
            <w:tcW w:type="dxa" w:w="323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POST /v1/support/requests</w:t>
            </w:r>
          </w:p>
        </w:tc>
        <w:tc>
          <w:tcPr>
            <w:tcW w:type="dxa" w:w="314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campos mínimos; anexos por opt-in</w:t>
            </w:r>
          </w:p>
        </w:tc>
        <w:tc>
          <w:tcPr>
            <w:tcW w:type="dxa" w:w="314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ticket_ref e estado persistido</w:t>
            </w:r>
          </w:p>
        </w:tc>
      </w:tr>
      <w:tr>
        <w:trPr>
          <w:cantSplit/>
        </w:trPr>
        <w:tc>
          <w:tcPr>
            <w:tcW w:type="dxa" w:w="3238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POST /v1/account/deletion</w:t>
            </w:r>
          </w:p>
        </w:tc>
        <w:tc>
          <w:tcPr>
            <w:tcW w:type="dxa" w:w="3143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reautenticação e confirmação</w:t>
            </w:r>
          </w:p>
        </w:tc>
        <w:tc>
          <w:tcPr>
            <w:tcW w:type="dxa" w:w="3143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request_id; progresso e relatório de execução</w:t>
            </w:r>
          </w:p>
        </w:tc>
      </w:tr>
      <w:tr>
        <w:trPr>
          <w:cantSplit/>
        </w:trPr>
        <w:tc>
          <w:tcPr>
            <w:tcW w:type="dxa" w:w="323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POST /v1/analytics/events</w:t>
            </w:r>
          </w:p>
        </w:tc>
        <w:tc>
          <w:tcPr>
            <w:tcW w:type="dxa" w:w="314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lista fechada e consentimento aplicável</w:t>
            </w:r>
          </w:p>
        </w:tc>
        <w:tc>
          <w:tcPr>
            <w:tcW w:type="dxa" w:w="314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202 após validação; rejeição de campos desconhecidos</w:t>
            </w:r>
          </w:p>
        </w:tc>
      </w:tr>
    </w:tbl>
    <w:p>
      <w:pPr>
        <w:spacing w:after="40"/>
      </w:pPr>
    </w:p>
    <w:p>
      <w:r>
        <w:rPr>
          <w:b w:val="0"/>
        </w:rPr>
        <w:t>Todos os contratos usam timestamps UTC, schema_version, limites de tamanho, códigos fixos e validação estrita. Paginação tem limite máximo e cursor opaco. Chaves idempotentes pertencem ao subject, app, operação e hash do pedido; reutilização com corpo diferente devolve conflito. Não colocar tokens ou IDs sensíveis em query strings.</w:t>
      </w:r>
    </w:p>
    <w:p>
      <w:pPr>
        <w:pStyle w:val="Heading1"/>
      </w:pPr>
      <w:r>
        <w:t>Requisitos não funcionais e aceitação</w:t>
      </w:r>
    </w:p>
    <w:p>
      <w:r>
        <w:rPr>
          <w:b w:val="0"/>
        </w:rPr>
        <w:t>As metas seguintes são propostas de teste e dimensionamento, a aprovar em V0: operações locais nunca esperam pelo Cloud para guardar; API não IA p95 até 750 ms em staging com 25 pedidos/s durante dez minutos; disponibilidade mensal objetivo de 99,5% para o âmbito inicial; reserva de quota sem overspend em cem pedidos concorrentes; RPO remoto até uma hora e RTO até quatro horas demonstrados por ensaio. Os tempos de IA/TSA são medidos separadamente e apresentados com timeout e fila. Estas metas não são um SLA comercial contratado.</w:t>
      </w:r>
    </w:p>
    <w:p>
      <w:r>
        <w:rPr>
          <w:b w:val="0"/>
        </w:rPr>
        <w:t>Os limites iniciais de payload e storage são publicados por endpoint após medição com os documentos reais aprovados. Usar ficheiros sintéticos grandes e condições de rede controladas. Uma fila sem limite é um defeito; definir máximo, retenção, dead-letter queue e procedimento de reprocessamento autorizado. Alertar custo, saturação, falha de autenticação, idade de fila e expiração de certificado/chave.</w:t>
      </w:r>
    </w:p>
    <w:p>
      <w:pPr>
        <w:pStyle w:val="Heading1"/>
      </w:pPr>
      <w:r>
        <w:t>Fases do Vision Cloud Services</w:t>
      </w:r>
    </w:p>
    <w:p>
      <w:pPr>
        <w:pStyle w:val="Heading2"/>
      </w:pPr>
      <w:r>
        <w:t>V0 Contratos e inventário AWS</w:t>
      </w:r>
    </w:p>
    <w:p>
      <w:r>
        <w:t>Calendário proposto: 27 a 30 de setembro de 2026. Datas condicionadas à aprovação do gate anterior.</w:t>
      </w:r>
    </w:p>
    <w:p>
      <w:r>
        <w:rPr>
          <w:b/>
        </w:rPr>
        <w:t xml:space="preserve">Entradas. </w:t>
      </w:r>
      <w:r>
        <w:rPr>
          <w:b w:val="0"/>
        </w:rPr>
        <w:t>Baseline, inspeção do Backoffice, inventário de contas/modelos contratados e requisitos de dados.</w:t>
      </w:r>
    </w:p>
    <w:p>
      <w:r>
        <w:rPr>
          <w:b/>
        </w:rPr>
        <w:t xml:space="preserve">Implementação. </w:t>
      </w:r>
      <w:r>
        <w:rPr>
          <w:b w:val="0"/>
        </w:rPr>
        <w:t>Fixar fronteiras, OpenAPI, autenticação, tenancy, quotas, catálogo e decisões de residência. Avaliar a rota regional do Bedrock existente.</w:t>
      </w:r>
    </w:p>
    <w:p>
      <w:r>
        <w:rPr>
          <w:b/>
        </w:rPr>
        <w:t xml:space="preserve">Entregáveis. </w:t>
      </w:r>
      <w:r>
        <w:rPr>
          <w:b w:val="0"/>
        </w:rPr>
        <w:t>Arquitetura aprovada, contratos v1, ADRs, inventário de serviços e plano de custos sem novas compras implícitas.</w:t>
      </w:r>
    </w:p>
    <w:p>
      <w:r>
        <w:rPr>
          <w:b/>
        </w:rPr>
        <w:t xml:space="preserve">Testes predefinidos. </w:t>
      </w:r>
      <w:r>
        <w:rPr>
          <w:b w:val="0"/>
        </w:rPr>
        <w:t>V0T1 rever cada cliente sem DB direta; V0T2 mapear cada fluxo à região; V0T3 confirmar campos proibidos ausentes; V0T4 simular expiração de config.</w:t>
      </w:r>
    </w:p>
    <w:p>
      <w:r>
        <w:rPr>
          <w:b/>
        </w:rPr>
        <w:t xml:space="preserve">Auditoria de código e arquitetura, segurança, privacidade e analytics. </w:t>
      </w:r>
      <w:r>
        <w:rPr>
          <w:b w:val="0"/>
        </w:rPr>
        <w:t>Rever o diff, os contratos alterados, a autorização por recurso, a recuperação de falhas e a ausência de dados proibidos nos eventos. Guardar a conclusão e as provas por requisito.</w:t>
      </w:r>
    </w:p>
    <w:p>
      <w:r>
        <w:rPr>
          <w:b/>
        </w:rPr>
        <w:t xml:space="preserve">Auditoria de código morto e dependências. </w:t>
      </w:r>
      <w:r>
        <w:rPr>
          <w:b w:val="0"/>
        </w:rPr>
        <w:t>Verificar código sem consumidores, lógica duplicada, permissões não usadas e dependências sem finalidade. Remover apenas no âmbito da fase, com prova de impacto; registar o restante como dívida identificada.</w:t>
      </w:r>
    </w:p>
    <w:p>
      <w:r>
        <w:rPr>
          <w:b/>
        </w:rPr>
        <w:t xml:space="preserve">Defeitos e correções. </w:t>
      </w:r>
      <w:r>
        <w:rPr>
          <w:b w:val="0"/>
        </w:rPr>
        <w:t>Classificar cada ocorrência como Blocker, Critical, High, Medium ou Low. Corrigir os bloqueantes e repetir o caso que falhou e a regressão afetada. Não ampliar a bateria sem risco novo identificado. Aplicar os critérios de severidade e encerramento definidos neste documento.</w:t>
      </w:r>
    </w:p>
    <w:p>
      <w:r>
        <w:rPr>
          <w:b/>
        </w:rPr>
        <w:t xml:space="preserve">Definition of Done. </w:t>
      </w:r>
      <w:r>
        <w:rPr>
          <w:b w:val="0"/>
        </w:rPr>
        <w:t>Sem bloqueios de contrato para Core/Report; Managed AI só habilitável com prova de modelo e região compatíveis. Registar versão, resultados, limitações e responsável; um teste não executado mantém-se pendente.</w:t>
      </w:r>
    </w:p>
    <w:p>
      <w:r>
        <w:rPr>
          <w:b/>
        </w:rPr>
        <w:t xml:space="preserve">Gate de aprovação explícita. </w:t>
      </w:r>
      <w:r>
        <w:rPr>
          <w:b w:val="0"/>
        </w:rPr>
        <w:t>O responsável do produto aprova ou recusa V0 por escrito, com data e evidências. Só depois começa a fase seguinte. Uma data de calendário não substitui esta aprovação.</w:t>
      </w:r>
    </w:p>
    <w:p>
      <w:pPr>
        <w:pStyle w:val="Heading2"/>
      </w:pPr>
      <w:r>
        <w:t>V1 Fundação identidade e registo</w:t>
      </w:r>
    </w:p>
    <w:p>
      <w:r>
        <w:t>Calendário proposto: 1 a 7 de outubro de 2026. Datas condicionadas à aprovação do gate anterior.</w:t>
      </w:r>
    </w:p>
    <w:p>
      <w:r>
        <w:rPr>
          <w:b/>
        </w:rPr>
        <w:t xml:space="preserve">Entradas. </w:t>
      </w:r>
      <w:r>
        <w:rPr>
          <w:b w:val="0"/>
        </w:rPr>
        <w:t>V0 aprovado e ambientes isolados disponíveis.</w:t>
      </w:r>
    </w:p>
    <w:p>
      <w:r>
        <w:rPr>
          <w:b/>
        </w:rPr>
        <w:t xml:space="preserve">Implementação. </w:t>
      </w:r>
      <w:r>
        <w:rPr>
          <w:b w:val="0"/>
        </w:rPr>
        <w:t>Criar infraestrutura declarativa, auth, App Registry, config assinada, audit, health e APIs administrativas mínimas.</w:t>
      </w:r>
    </w:p>
    <w:p>
      <w:r>
        <w:rPr>
          <w:b/>
        </w:rPr>
        <w:t xml:space="preserve">Entregáveis. </w:t>
      </w:r>
      <w:r>
        <w:rPr>
          <w:b w:val="0"/>
        </w:rPr>
        <w:t>Staging repetível, roles de serviço, contrato de conta e configuração consumível pelo Core.</w:t>
      </w:r>
    </w:p>
    <w:p>
      <w:r>
        <w:rPr>
          <w:b/>
        </w:rPr>
        <w:t xml:space="preserve">Testes predefinidos. </w:t>
      </w:r>
      <w:r>
        <w:rPr>
          <w:b w:val="0"/>
        </w:rPr>
        <w:t>V1T1 token inválido; V1T2 troca de subject/app; V1T3 revogação; V1T4 rollback de config; V1T5 criação/eliminação de conta sintética.</w:t>
      </w:r>
    </w:p>
    <w:p>
      <w:r>
        <w:rPr>
          <w:b/>
        </w:rPr>
        <w:t xml:space="preserve">Auditoria de código e arquitetura, segurança, privacidade e analytics. </w:t>
      </w:r>
      <w:r>
        <w:rPr>
          <w:b w:val="0"/>
        </w:rPr>
        <w:t>Rever o diff, os contratos alterados, a autorização por recurso, a recuperação de falhas e a ausência de dados proibidos nos eventos. Guardar a conclusão e as provas por requisito.</w:t>
      </w:r>
    </w:p>
    <w:p>
      <w:r>
        <w:rPr>
          <w:b/>
        </w:rPr>
        <w:t xml:space="preserve">Auditoria de código morto e dependências. </w:t>
      </w:r>
      <w:r>
        <w:rPr>
          <w:b w:val="0"/>
        </w:rPr>
        <w:t>Verificar código sem consumidores, lógica duplicada, permissões não usadas e dependências sem finalidade. Remover apenas no âmbito da fase, com prova de impacto; registar o restante como dívida identificada.</w:t>
      </w:r>
    </w:p>
    <w:p>
      <w:r>
        <w:rPr>
          <w:b/>
        </w:rPr>
        <w:t xml:space="preserve">Defeitos e correções. </w:t>
      </w:r>
      <w:r>
        <w:rPr>
          <w:b w:val="0"/>
        </w:rPr>
        <w:t>Classificar cada ocorrência como Blocker, Critical, High, Medium ou Low. Corrigir os bloqueantes e repetir o caso que falhou e a regressão afetada. Não ampliar a bateria sem risco novo identificado. Aplicar os critérios de severidade e encerramento definidos neste documento.</w:t>
      </w:r>
    </w:p>
    <w:p>
      <w:r>
        <w:rPr>
          <w:b/>
        </w:rPr>
        <w:t xml:space="preserve">Definition of Done. </w:t>
      </w:r>
      <w:r>
        <w:rPr>
          <w:b w:val="0"/>
        </w:rPr>
        <w:t>Isolamento demonstrado e ausência de segredos no cliente; operação documentada. Registar versão, resultados, limitações e responsável; um teste não executado mantém-se pendente.</w:t>
      </w:r>
    </w:p>
    <w:p>
      <w:r>
        <w:rPr>
          <w:b/>
        </w:rPr>
        <w:t xml:space="preserve">Gate de aprovação explícita. </w:t>
      </w:r>
      <w:r>
        <w:rPr>
          <w:b w:val="0"/>
        </w:rPr>
        <w:t>O responsável do produto aprova ou recusa V1 por escrito, com data e evidências. Só depois começa a fase seguinte. Uma data de calendário não substitui esta aprovação.</w:t>
      </w:r>
    </w:p>
    <w:p>
      <w:pPr>
        <w:pStyle w:val="Heading2"/>
      </w:pPr>
      <w:r>
        <w:t>V2 Entitlements e gateway com quotas</w:t>
      </w:r>
    </w:p>
    <w:p>
      <w:r>
        <w:t>Calendário proposto: 8 a 14 de outubro de 2026. Datas condicionadas à aprovação do gate anterior.</w:t>
      </w:r>
    </w:p>
    <w:p>
      <w:r>
        <w:rPr>
          <w:b/>
        </w:rPr>
        <w:t xml:space="preserve">Entradas. </w:t>
      </w:r>
      <w:r>
        <w:rPr>
          <w:b w:val="0"/>
        </w:rPr>
        <w:t>V1 aprovado, plano comercial provisório e catálogo AWS autorizado.</w:t>
      </w:r>
    </w:p>
    <w:p>
      <w:r>
        <w:rPr>
          <w:b/>
        </w:rPr>
        <w:t xml:space="preserve">Implementação. </w:t>
      </w:r>
      <w:r>
        <w:rPr>
          <w:b w:val="0"/>
        </w:rPr>
        <w:t>Validar compras, reserva atómica, limites, liquidação, reconciliação, kill switch e modo sem IA.</w:t>
      </w:r>
    </w:p>
    <w:p>
      <w:r>
        <w:rPr>
          <w:b/>
        </w:rPr>
        <w:t xml:space="preserve">Entregáveis. </w:t>
      </w:r>
      <w:r>
        <w:rPr>
          <w:b w:val="0"/>
        </w:rPr>
        <w:t>Ledger versionado, adaptadores de loja em sandbox e gateway funcional ou capability desligada se fornecedor incompatível.</w:t>
      </w:r>
    </w:p>
    <w:p>
      <w:r>
        <w:rPr>
          <w:b/>
        </w:rPr>
        <w:t xml:space="preserve">Testes predefinidos. </w:t>
      </w:r>
      <w:r>
        <w:rPr>
          <w:b w:val="0"/>
        </w:rPr>
        <w:t>V2T1 cem admissões concorrentes sem exceder teto; V2T2 timeout após envio; V2T3 webhook duplicado/fora de ordem; V2T4 quota zero; V2T5 BYO sem chave no servidor.</w:t>
      </w:r>
    </w:p>
    <w:p>
      <w:r>
        <w:rPr>
          <w:b/>
        </w:rPr>
        <w:t xml:space="preserve">Auditoria de código e arquitetura, segurança, privacidade e analytics. </w:t>
      </w:r>
      <w:r>
        <w:rPr>
          <w:b w:val="0"/>
        </w:rPr>
        <w:t>Rever o diff, os contratos alterados, a autorização por recurso, a recuperação de falhas e a ausência de dados proibidos nos eventos. Guardar a conclusão e as provas por requisito.</w:t>
      </w:r>
    </w:p>
    <w:p>
      <w:r>
        <w:rPr>
          <w:b/>
        </w:rPr>
        <w:t xml:space="preserve">Auditoria de código morto e dependências. </w:t>
      </w:r>
      <w:r>
        <w:rPr>
          <w:b w:val="0"/>
        </w:rPr>
        <w:t>Verificar código sem consumidores, lógica duplicada, permissões não usadas e dependências sem finalidade. Remover apenas no âmbito da fase, com prova de impacto; registar o restante como dívida identificada.</w:t>
      </w:r>
    </w:p>
    <w:p>
      <w:r>
        <w:rPr>
          <w:b/>
        </w:rPr>
        <w:t xml:space="preserve">Defeitos e correções. </w:t>
      </w:r>
      <w:r>
        <w:rPr>
          <w:b w:val="0"/>
        </w:rPr>
        <w:t>Classificar cada ocorrência como Blocker, Critical, High, Medium ou Low. Corrigir os bloqueantes e repetir o caso que falhou e a regressão afetada. Não ampliar a bateria sem risco novo identificado. Aplicar os critérios de severidade e encerramento definidos neste documento.</w:t>
      </w:r>
    </w:p>
    <w:p>
      <w:r>
        <w:rPr>
          <w:b/>
        </w:rPr>
        <w:t xml:space="preserve">Definition of Done. </w:t>
      </w:r>
      <w:r>
        <w:rPr>
          <w:b w:val="0"/>
        </w:rPr>
        <w:t>Nenhuma dupla cobrança lógica; custos medidos; funções locais independentes. Registar versão, resultados, limitações e responsável; um teste não executado mantém-se pendente.</w:t>
      </w:r>
    </w:p>
    <w:p>
      <w:r>
        <w:rPr>
          <w:b/>
        </w:rPr>
        <w:t xml:space="preserve">Gate de aprovação explícita. </w:t>
      </w:r>
      <w:r>
        <w:rPr>
          <w:b w:val="0"/>
        </w:rPr>
        <w:t>O responsável do produto aprova ou recusa V2 por escrito, com data e evidências. Só depois começa a fase seguinte. Uma data de calendário não substitui esta aprovação.</w:t>
      </w:r>
    </w:p>
    <w:p>
      <w:pPr>
        <w:pStyle w:val="Heading2"/>
      </w:pPr>
      <w:r>
        <w:t>V3 Standards suporte e analytics</w:t>
      </w:r>
    </w:p>
    <w:p>
      <w:r>
        <w:t>Calendário proposto: 15 a 21 de outubro de 2026. Datas condicionadas à aprovação do gate anterior.</w:t>
      </w:r>
    </w:p>
    <w:p>
      <w:r>
        <w:rPr>
          <w:b/>
        </w:rPr>
        <w:t xml:space="preserve">Entradas. </w:t>
      </w:r>
      <w:r>
        <w:rPr>
          <w:b w:val="0"/>
        </w:rPr>
        <w:t>V2 aprovado, catálogo de normas licenciado e contrato do Backoffice validado.</w:t>
      </w:r>
    </w:p>
    <w:p>
      <w:r>
        <w:rPr>
          <w:b/>
        </w:rPr>
        <w:t xml:space="preserve">Implementação. </w:t>
      </w:r>
      <w:r>
        <w:rPr>
          <w:b w:val="0"/>
        </w:rPr>
        <w:t>Publicar metadados e validações, outbox de suporte, health por componente e pipeline de eventos permitido.</w:t>
      </w:r>
    </w:p>
    <w:p>
      <w:r>
        <w:rPr>
          <w:b/>
        </w:rPr>
        <w:t xml:space="preserve">Entregáveis. </w:t>
      </w:r>
      <w:r>
        <w:rPr>
          <w:b w:val="0"/>
        </w:rPr>
        <w:t>Deltas de catálogo, ticket persistente, painel mínimo e provas de exclusão de conteúdo.</w:t>
      </w:r>
    </w:p>
    <w:p>
      <w:r>
        <w:rPr>
          <w:b/>
        </w:rPr>
        <w:t xml:space="preserve">Testes predefinidos. </w:t>
      </w:r>
      <w:r>
        <w:rPr>
          <w:b w:val="0"/>
        </w:rPr>
        <w:t>V3T1 norma substituída mantém histórico; V3T2 hash divergente; V3T3 Backoffice indisponível; V3T4 evento com GPS/key rejeitado; V3T5 eliminação propagada.</w:t>
      </w:r>
    </w:p>
    <w:p>
      <w:r>
        <w:rPr>
          <w:b/>
        </w:rPr>
        <w:t xml:space="preserve">Auditoria de código e arquitetura, segurança, privacidade e analytics. </w:t>
      </w:r>
      <w:r>
        <w:rPr>
          <w:b w:val="0"/>
        </w:rPr>
        <w:t>Rever o diff, os contratos alterados, a autorização por recurso, a recuperação de falhas e a ausência de dados proibidos nos eventos. Guardar a conclusão e as provas por requisito.</w:t>
      </w:r>
    </w:p>
    <w:p>
      <w:r>
        <w:rPr>
          <w:b/>
        </w:rPr>
        <w:t xml:space="preserve">Auditoria de código morto e dependências. </w:t>
      </w:r>
      <w:r>
        <w:rPr>
          <w:b w:val="0"/>
        </w:rPr>
        <w:t>Verificar código sem consumidores, lógica duplicada, permissões não usadas e dependências sem finalidade. Remover apenas no âmbito da fase, com prova de impacto; registar o restante como dívida identificada.</w:t>
      </w:r>
    </w:p>
    <w:p>
      <w:r>
        <w:rPr>
          <w:b/>
        </w:rPr>
        <w:t xml:space="preserve">Defeitos e correções. </w:t>
      </w:r>
      <w:r>
        <w:rPr>
          <w:b w:val="0"/>
        </w:rPr>
        <w:t>Classificar cada ocorrência como Blocker, Critical, High, Medium ou Low. Corrigir os bloqueantes e repetir o caso que falhou e a regressão afetada. Não ampliar a bateria sem risco novo identificado. Aplicar os critérios de severidade e encerramento definidos neste documento.</w:t>
      </w:r>
    </w:p>
    <w:p>
      <w:r>
        <w:rPr>
          <w:b/>
        </w:rPr>
        <w:t xml:space="preserve">Definition of Done. </w:t>
      </w:r>
      <w:r>
        <w:rPr>
          <w:b w:val="0"/>
        </w:rPr>
        <w:t>Report consegue usar normas e apoio sem expor conteúdo; analytics reconciliado com as declarações. Registar versão, resultados, limitações e responsável; um teste não executado mantém-se pendente.</w:t>
      </w:r>
    </w:p>
    <w:p>
      <w:r>
        <w:rPr>
          <w:b/>
        </w:rPr>
        <w:t xml:space="preserve">Gate de aprovação explícita. </w:t>
      </w:r>
      <w:r>
        <w:rPr>
          <w:b w:val="0"/>
        </w:rPr>
        <w:t>O responsável do produto aprova ou recusa V3 por escrito, com data e evidências. Só depois começa a fase seguinte. Uma data de calendário não substitui esta aprovação.</w:t>
      </w:r>
    </w:p>
    <w:p>
      <w:pPr>
        <w:pStyle w:val="Heading2"/>
      </w:pPr>
      <w:r>
        <w:t>V4 Integração e prontidão de produção</w:t>
      </w:r>
    </w:p>
    <w:p>
      <w:r>
        <w:t>Calendário proposto: 22 de outubro a 10 de novembro de 2026. Datas condicionadas à aprovação do gate anterior.</w:t>
      </w:r>
    </w:p>
    <w:p>
      <w:r>
        <w:rPr>
          <w:b/>
        </w:rPr>
        <w:t xml:space="preserve">Entradas. </w:t>
      </w:r>
      <w:r>
        <w:rPr>
          <w:b w:val="0"/>
        </w:rPr>
        <w:t>V3 aprovado, candidato Report/website e operação de contas concluída.</w:t>
      </w:r>
    </w:p>
    <w:p>
      <w:r>
        <w:rPr>
          <w:b/>
        </w:rPr>
        <w:t xml:space="preserve">Implementação. </w:t>
      </w:r>
      <w:r>
        <w:rPr>
          <w:b w:val="0"/>
        </w:rPr>
        <w:t>Integrar fluxos reais, medir desempenho/custos, ensaiar restauro e rollback e preparar artefactos imutáveis de deployment.</w:t>
      </w:r>
    </w:p>
    <w:p>
      <w:r>
        <w:rPr>
          <w:b/>
        </w:rPr>
        <w:t xml:space="preserve">Entregáveis. </w:t>
      </w:r>
      <w:r>
        <w:rPr>
          <w:b w:val="0"/>
        </w:rPr>
        <w:t>Dossier final Cloud, runbooks, alarmes, inventário de acessos e decisão de release.</w:t>
      </w:r>
    </w:p>
    <w:p>
      <w:r>
        <w:rPr>
          <w:b/>
        </w:rPr>
        <w:t xml:space="preserve">Testes predefinidos. </w:t>
      </w:r>
      <w:r>
        <w:rPr>
          <w:b w:val="0"/>
        </w:rPr>
        <w:t>V4T1 carga definida; V4T2 restauro RPO/RTO; V4T3 eliminação pós-restauro; V4T4 schema backward-compatible; V4T5 jornada Report até suporte.</w:t>
      </w:r>
    </w:p>
    <w:p>
      <w:r>
        <w:rPr>
          <w:b/>
        </w:rPr>
        <w:t xml:space="preserve">Auditoria de código e arquitetura, segurança, privacidade e analytics. </w:t>
      </w:r>
      <w:r>
        <w:rPr>
          <w:b w:val="0"/>
        </w:rPr>
        <w:t>Rever o diff, os contratos alterados, a autorização por recurso, a recuperação de falhas e a ausência de dados proibidos nos eventos. Guardar a conclusão e as provas por requisito.</w:t>
      </w:r>
    </w:p>
    <w:p>
      <w:r>
        <w:rPr>
          <w:b/>
        </w:rPr>
        <w:t xml:space="preserve">Auditoria de código morto e dependências. </w:t>
      </w:r>
      <w:r>
        <w:rPr>
          <w:b w:val="0"/>
        </w:rPr>
        <w:t>Verificar código sem consumidores, lógica duplicada, permissões não usadas e dependências sem finalidade. Remover apenas no âmbito da fase, com prova de impacto; registar o restante como dívida identificada.</w:t>
      </w:r>
    </w:p>
    <w:p>
      <w:r>
        <w:rPr>
          <w:b/>
        </w:rPr>
        <w:t xml:space="preserve">Defeitos e correções. </w:t>
      </w:r>
      <w:r>
        <w:rPr>
          <w:b w:val="0"/>
        </w:rPr>
        <w:t>Classificar cada ocorrência como Blocker, Critical, High, Medium ou Low. Corrigir os bloqueantes e repetir o caso que falhou e a regressão afetada. Não ampliar a bateria sem risco novo identificado. Aplicar os critérios de severidade e encerramento definidos neste documento.</w:t>
      </w:r>
    </w:p>
    <w:p>
      <w:r>
        <w:rPr>
          <w:b/>
        </w:rPr>
        <w:t xml:space="preserve">Definition of Done. </w:t>
      </w:r>
      <w:r>
        <w:rPr>
          <w:b w:val="0"/>
        </w:rPr>
        <w:t>Meta de 10 de novembro demonstrada para os serviços necessários; funções Trust futuras claramente desativadas. Registar versão, resultados, limitações e responsável; um teste não executado mantém-se pendente.</w:t>
      </w:r>
    </w:p>
    <w:p>
      <w:r>
        <w:rPr>
          <w:b/>
        </w:rPr>
        <w:t xml:space="preserve">Gate de aprovação explícita. </w:t>
      </w:r>
      <w:r>
        <w:rPr>
          <w:b w:val="0"/>
        </w:rPr>
        <w:t>O responsável do produto aprova ou recusa V4 por escrito, com data e evidências. Só depois começa a fase seguinte. Uma data de calendário não substitui esta aprovação.</w:t>
      </w:r>
    </w:p>
    <w:p>
      <w:pPr>
        <w:pStyle w:val="Heading2"/>
      </w:pPr>
      <w:r>
        <w:t>V5 Trust e PhotoProof</w:t>
      </w:r>
    </w:p>
    <w:p>
      <w:r>
        <w:t>Calendário proposto: sem data aprovada, a calendarizar no lote próprio. Datas condicionadas à aprovação do gate anterior.</w:t>
      </w:r>
    </w:p>
    <w:p>
      <w:r>
        <w:rPr>
          <w:b/>
        </w:rPr>
        <w:t xml:space="preserve">Entradas. </w:t>
      </w:r>
      <w:r>
        <w:rPr>
          <w:b w:val="0"/>
        </w:rPr>
        <w:t>V4 aprovado, PRD PhotoProof e fornecedor TSA aprovado.</w:t>
      </w:r>
    </w:p>
    <w:p>
      <w:r>
        <w:rPr>
          <w:b/>
        </w:rPr>
        <w:t xml:space="preserve">Implementação. </w:t>
      </w:r>
      <w:r>
        <w:rPr>
          <w:b w:val="0"/>
        </w:rPr>
        <w:t>Entregar timestamp, attestation server-side, packages, public verifier e revogação de links.</w:t>
      </w:r>
    </w:p>
    <w:p>
      <w:r>
        <w:rPr>
          <w:b/>
        </w:rPr>
        <w:t xml:space="preserve">Entregáveis. </w:t>
      </w:r>
      <w:r>
        <w:rPr>
          <w:b w:val="0"/>
        </w:rPr>
        <w:t>APIs Trust, fixtures de validação, política de chaves e dossier de aceitação PhotoProof.</w:t>
      </w:r>
    </w:p>
    <w:p>
      <w:r>
        <w:rPr>
          <w:b/>
        </w:rPr>
        <w:t xml:space="preserve">Testes predefinidos. </w:t>
      </w:r>
      <w:r>
        <w:rPr>
          <w:b w:val="0"/>
        </w:rPr>
        <w:t>V5T1 token com imprint errado; V5T2 TSA indisponível; V5T3 nonce/replay; V5T4 pacote alterado; V5T5 metadados privados ausentes no verificador.</w:t>
      </w:r>
    </w:p>
    <w:p>
      <w:r>
        <w:rPr>
          <w:b/>
        </w:rPr>
        <w:t xml:space="preserve">Auditoria de código e arquitetura, segurança, privacidade e analytics. </w:t>
      </w:r>
      <w:r>
        <w:rPr>
          <w:b w:val="0"/>
        </w:rPr>
        <w:t>Rever o diff, os contratos alterados, a autorização por recurso, a recuperação de falhas e a ausência de dados proibidos nos eventos. Guardar a conclusão e as provas por requisito.</w:t>
      </w:r>
    </w:p>
    <w:p>
      <w:r>
        <w:rPr>
          <w:b/>
        </w:rPr>
        <w:t xml:space="preserve">Auditoria de código morto e dependências. </w:t>
      </w:r>
      <w:r>
        <w:rPr>
          <w:b w:val="0"/>
        </w:rPr>
        <w:t>Verificar código sem consumidores, lógica duplicada, permissões não usadas e dependências sem finalidade. Remover apenas no âmbito da fase, com prova de impacto; registar o restante como dívida identificada.</w:t>
      </w:r>
    </w:p>
    <w:p>
      <w:r>
        <w:rPr>
          <w:b/>
        </w:rPr>
        <w:t xml:space="preserve">Defeitos e correções. </w:t>
      </w:r>
      <w:r>
        <w:rPr>
          <w:b w:val="0"/>
        </w:rPr>
        <w:t>Classificar cada ocorrência como Blocker, Critical, High, Medium ou Low. Corrigir os bloqueantes e repetir o caso que falhou e a regressão afetada. Não ampliar a bateria sem risco novo identificado. Aplicar os critérios de severidade e encerramento definidos neste documento.</w:t>
      </w:r>
    </w:p>
    <w:p>
      <w:r>
        <w:rPr>
          <w:b/>
        </w:rPr>
        <w:t xml:space="preserve">Definition of Done. </w:t>
      </w:r>
      <w:r>
        <w:rPr>
          <w:b w:val="0"/>
        </w:rPr>
        <w:t>Resultados de confiança separados e verificáveis; nenhuma alegação jurídica universal. Registar versão, resultados, limitações e responsável; um teste não executado mantém-se pendente.</w:t>
      </w:r>
    </w:p>
    <w:p>
      <w:r>
        <w:rPr>
          <w:b/>
        </w:rPr>
        <w:t xml:space="preserve">Gate de aprovação explícita. </w:t>
      </w:r>
      <w:r>
        <w:rPr>
          <w:b w:val="0"/>
        </w:rPr>
        <w:t>O responsável do produto aprova ou recusa V5 por escrito, com data e evidências. Só depois começa a fase seguinte. Uma data de calendário não substitui esta aprovação.</w:t>
      </w:r>
    </w:p>
    <w:p>
      <w:pPr>
        <w:pStyle w:val="Heading1"/>
      </w:pPr>
      <w:r>
        <w:t>Método de execução e critérios de encerramento</w:t>
      </w:r>
    </w:p>
    <w:p>
      <w:r>
        <w:rPr>
          <w:b w:val="0"/>
        </w:rPr>
        <w:t>Cada fase segue a mesma sequência obrigatória: Inputs → Implementation → Deliverables → testes predefinidos → auditoria de código e arquitetura, segurança, privacidade e analytics → auditoria de código morto, duplicação e dependências não usadas → classificação dos defeitos → correções → Definition of Done → aprovação explícita → fase seguinte. Os cartões de fase deste documento concretizam as entradas, as saídas e os ensaios. As datas são metas de planeamento e não autorizam a passagem de um gate.</w:t>
      </w:r>
    </w:p>
    <w:p>
      <w:r>
        <w:rPr>
          <w:b w:val="0"/>
        </w:rPr>
        <w:t>Antes de escrever código, congelar o conjunto de aceitação da fase. Cada teste contém identificador, requisito, preparação, ação, resultado esperado, plataforma, dados de teste e responsável. Usar dados sintéticos. A prova guarda versão/commit, ambiente, data, resultado e ligação ao defeito, sem conteúdo pessoal. Uma simulação comprova o contrato simulado e não a disponibilidade do fornecedor.</w:t>
      </w:r>
    </w:p>
    <w:p>
      <w:r>
        <w:rPr>
          <w:b w:val="0"/>
        </w:rPr>
        <w:t>Uma auditoria de código e arquitetura revê limites dos módulos, fluxos de dados, migrações, compatibilidade e tratamento de falhas. A auditoria de segurança verifica autorização, isolamento, validação de entrada, segredos, dependências e configuração. A de privacidade percorre recolha, finalidade, retenção, exportação e eliminação. A de analytics verifica o evento efetivamente emitido e os filtros do servidor, incluindo a ausência de payloads sensíveis. A revisão de manutenção identifica caminhos mortos, funções repetidas, dependências e permissões sem consumidor. Nenhuma destas revisões é substituída por uma contagem de testes.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14"/>
        <w:gridCol w:w="4000"/>
        <w:gridCol w:w="3810"/>
      </w:tblGrid>
      <w:tr>
        <w:trPr>
          <w:cantSplit/>
          <w:tblHeader/>
        </w:trPr>
        <w:tc>
          <w:tcPr>
            <w:tcW w:type="dxa" w:w="1714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Severidade</w:t>
            </w:r>
          </w:p>
        </w:tc>
        <w:tc>
          <w:tcPr>
            <w:tcW w:type="dxa" w:w="4000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Critério operacional</w:t>
            </w:r>
          </w:p>
        </w:tc>
        <w:tc>
          <w:tcPr>
            <w:tcW w:type="dxa" w:w="3810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Regra do gate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Blocker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Impede avaliar a fase, requisito essencial ausente ou ausência de prova indispensável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Não aprovar a fase afetada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Exposição de segredos ou de dados entre utilizadores, corrupção irreversível, comprometimento de assinatura ou confiança falsa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Corrigir e confirmar a regressão antes da aprovação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Função essencial insegura ou inutilizável, quota contornável, perda recuperável de dados ou privacidade incorreta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Fechar antes do gate de release e antes de qualquer fase que dependa da função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Falha com alternativa segura e impacto limitado, sem violação de segurança ou privacidade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Corrigir ou aceitar por escrito com responsável, prazo e controlo compensatório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Problema de apresentação ou manutenção sem efeito relevante no resultado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Corrigir ou registar no backlog com decisão explícita</w:t>
            </w:r>
          </w:p>
        </w:tc>
      </w:tr>
    </w:tbl>
    <w:p>
      <w:pPr>
        <w:spacing w:after="40"/>
      </w:pPr>
    </w:p>
    <w:p>
      <w:r>
        <w:rPr>
          <w:b w:val="0"/>
        </w:rPr>
        <w:t>Os defeitos são registos únicos com estado aberto, em correção, a verificar ou encerrado. Um defeito reaberto conserva o identificador. A aceitação de risco não transforma um teste falhado em aprovado. Segurança, isolamento, perda de evidência, exatidão numérica e declarações legais falsas não são rebaixados para cumprir a data.</w:t>
      </w:r>
    </w:p>
    <w:p>
      <w:r>
        <w:rPr>
          <w:b w:val="0"/>
        </w:rPr>
        <w:t>Para evitar uma espiral de testes, executar a bateria acordada uma vez por candidato. Após correções, repetir os casos que falharam e a regressão das áreas afetadas. Só acrescentar um teste se existir requisito omitido, defeito novo ou alteração de comportamento que o justifique. Se o mesmo gate continuar a falhar após duas rondas focadas de correção, parar a expansão do âmbito, identificar a causa e apresentar uma decisão de correção ou replaneamento. Este limite não permite publicar defeitos impeditivos.</w:t>
      </w:r>
    </w:p>
    <w:p>
      <w:r>
        <w:rPr>
          <w:b w:val="0"/>
        </w:rPr>
        <w:t>O dossier de gate inclui a lista de entregáveis e hashes, resultados pass/fail/pending/not applicable, parecer das auditorias, defeitos e decisões de risco, rollback quando aplicável, responsável e data. Pending Hardware tem uma justificação e uma janela de reexecução; nunca se converte automaticamente em pass. Aprovação escrita deve indicar documento, fase, versão e âmbito aprovado. A Direção aprova o âmbito e o risco; uma segunda pessoa qualificada é recomendada para segurança, engenharia e direito quando a matéria o exigir.</w:t>
      </w:r>
    </w:p>
    <w:p>
      <w:pPr>
        <w:pStyle w:val="Heading1"/>
      </w:pPr>
      <w:r>
        <w:t>Calendário integrado e dependências</w:t>
      </w:r>
    </w:p>
    <w:p>
      <w:r>
        <w:t>A meta inicial aprovada é 10 de novembro de 2026: dia 45 numa contagem inclusiva iniciada em 27 de setembro. O primeiro lote inclui Vision Field Report, o Core necessário, Vision Cloud Services, VisionWorldApps.com e as integrações necessárias com o Backoffice existente. A aplicação comercial do lote é o Field Report. Exige pacotes finais, testes e auditorias concluídos, operação preparada e dossier de submissão. Prever o envio elegível entre 6 e 10 de novembro; distinguir pacote pronto, submissão efetuada e aprovação da loja. O calendário detalhado por produto e burocracia está no documento 08 Calendário do primeiro lote de 45 dias, em Release Management. Datas em Asia/Riyadh; sistemas em UTC; Backoffice conserva os horários operacionais de Lisboa.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14"/>
        <w:gridCol w:w="4000"/>
        <w:gridCol w:w="3810"/>
      </w:tblGrid>
      <w:tr>
        <w:trPr>
          <w:cantSplit/>
          <w:tblHeader/>
        </w:trPr>
        <w:tc>
          <w:tcPr>
            <w:tcW w:type="dxa" w:w="1714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Janela em 2026</w:t>
            </w:r>
          </w:p>
        </w:tc>
        <w:tc>
          <w:tcPr>
            <w:tcW w:type="dxa" w:w="4000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3810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Dependência e decisão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27 a 30 de setembro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Aprovar requisitos, catálogo de inspeções, fontes de normas, dados e contratos; iniciar preparação das contas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Resolver lacunas do baseline e inventário AWS antes dos gates dependentes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1 a 7 de outubro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Core local, identidade mínima e contratos Cloud em ambiente de teste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Aprovação de arquitetura e armazenamento seguro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8 a 14 de outubro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Report com findings, medições e evidência; beta Android utilizável; quotas e entitlements Cloud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Dados estruturados e autorização por recurso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15 a 21 de outubro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Beta fechada em 15 de outubro; concluir Standards, quotas, configuração, suporte, analytics e website em staging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Gate de beta até 14 de outubro; versões finais entram no teste com feedback registado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22 a 29 de outubro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Integração, hardening e candidato completo Windows/Android; conteúdo legal e operação finalizados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Em 29 de outubro, confirmar 14 dias e prontidão antes do pedido de acesso à produção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30 a 31 de outubro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Reserva para defeitos e dossier; receção/configuração do Mac se disponível; marco próprio do Backoffice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Mac previsto para o fim do mês, sem data de entrega confirmada; Apple Pending Hardware até testes reais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1 a 5 de novembro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Build, testes físicos, assinatura e validação Apple; correções com âmbito controlado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Mac, Xcode, dispositivos e Apple Developer disponíveis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6 a 9 de novembro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Auditoria final, restauro, rollback, eliminação e submissões elegíveis após aprovação por plataforma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Dossier completo e contas habilitadas; registar recibos de submissão e pendências externas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10 de novembro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Dia 45 e gate de prontidão do lote para deployment e submissão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Produto aprova por plataforma; aprovação externa e publicação têm estados separados</w:t>
            </w:r>
          </w:p>
        </w:tc>
      </w:tr>
    </w:tbl>
    <w:p>
      <w:pPr>
        <w:spacing w:after="40"/>
      </w:pPr>
    </w:p>
    <w:p>
      <w:r>
        <w:t>Para uma conta Google pessoal abrangida pela regra, planear o teste fechado de 15 a 29 de outubro. A beta utilizável exige aprovação interna até 14 de outubro. O alvo é ter pelo menos 12 testers elegíveis com opt-in contínuo desde 15 de outubro às 10h00 de Riyadh; completar 14 períodos de 24 horas em 29 de outubro às 10h00. Confirmar a hora real e a elegibilidade na Play Console. A beta recebe as funções finais e correções durante o teste; só pedir acesso à produção quando o candidato completo estiver pronto e o feedback tratado. Pedido alvo em 29 de outubro após G4; reservar até 5 de novembro para a análise, que pode demorar mais. Manter testes e acompanhamento durante a revisão. O cumprimento temporal não garante aprovação. Se faltar acesso à produção, registar pacote pronto com acesso pendente; não declarar submissão de produção.</w:t>
      </w:r>
    </w:p>
    <w:p>
      <w:r>
        <w:t>As datas comerciais anteriormente propostas para PhotoProof e Field Calc ficam retiradas por não terem aprovação. Estes produtos conservam os seus PRDs e a sequência de fases, com implementação comercial a calendarizar num lote próprio. Até 10 de novembro apenas se consolidam os contratos e componentes reutilizáveis previstos, sem apresentar essas apps como prontas para o mercado. O verificador PhotoProof só entra em produção após aprovação de Trust e PhotoProof. Esta decisão preserva a composição e a data do primeiro lote aprovadas pelo responsável.</w:t>
      </w:r>
    </w:p>
    <w:p>
      <w:r>
        <w:rPr>
          <w:b w:val="0"/>
        </w:rPr>
        <w:t>A carga do Backoffice já tem uma meta anterior de 31 de outubro e não tem uma semana inteira de folga. Este calendário é uma meta condicionada à capacidade disponível, e não uma estimativa validada de esforço para uma única pessoa executar todos os produtos em simultâneo. Até 30 de setembro, registar horas disponíveis, trabalho restante e responsáveis; até 7 de outubro, confrontar a velocidade real com o caminho crítico. Se não houver capacidade, manter a prioridade do conjunto de 10 de novembro e apresentar alterações de prazo ou âmbito à Direção. Não retirar tipos de inspeção, controles de segurança ou funções essenciais sem aprovação.</w:t>
      </w:r>
    </w:p>
    <w:p>
      <w:pPr>
        <w:pStyle w:val="Heading1"/>
      </w:pPr>
      <w:r>
        <w:t>Aceitação de release e operação</w:t>
      </w:r>
    </w:p>
    <w:p>
      <w:r>
        <w:rPr>
          <w:b w:val="0"/>
        </w:rPr>
        <w:t>A release contém identificador único, versão de produto e build, commit de origem, lockfiles, lista de componentes e licenças, hashes dos artefactos, alterações de dados, compatibilidade de API e plano de recuperação. Dev, staging e produção têm contas ou recursos, chaves e dados separados. Uma flag remota não pode ativar uma função que não foi revista nem transformar um candidato em versão aprovada.</w:t>
      </w:r>
    </w:p>
    <w:p>
      <w:r>
        <w:rPr>
          <w:b w:val="0"/>
        </w:rPr>
        <w:t>O gate final verifica o caminho principal, falha de rede, recuperação de armazenamento, permissões recusadas, isolamento entre contas e apps, restauração de compra quando aplicável, cancelamento sem eliminação indevida, exportação e eliminação de dados, eventos de analytics, suporte e rollback. O ensaio utiliza as versões que serão publicadas. O resultado de staging não prova uma instalação Apple ou Android assinada se essa instalação não tiver sido testada.</w:t>
      </w:r>
    </w:p>
    <w:p>
      <w:r>
        <w:rPr>
          <w:b w:val="0"/>
        </w:rPr>
        <w:t>Publicação, aceitação de contratos e compras são atos operacionais separados da produção destes PRDs. O pacote fica pronto para a Direção decidir. A documentação de release regista testes ainda pendentes, dependências externas, responsáveis pelos incidentes e critérios de interrupção. Um crash que afete a integridade, exposição de dados, assinatura inválida, cobrança duplicada ou fuga de quota interrompe a promoção. Incidentes meramente visuais seguem a severidade documentada.</w:t>
      </w:r>
    </w:p>
    <w:p>
      <w:r>
        <w:rPr>
          <w:b w:val="0"/>
        </w:rPr>
        <w:t>Após publicação autorizada, acompanhar as primeiras 24 e 72 horas com métricas agregadas, taxas de falha, filas e orçamento. O rollback do servidor deve manter compatibilidade com clientes já distribuídos; uma migração destrutiva exige plano independente e não se presume reversível. Uma versão antiga da app conserva exportação e acesso local seguro, sempre que tecnicamente possível, mesmo se operações remotas forem bloqueadas por risco comprovado.</w:t>
      </w:r>
    </w:p>
    <w:p>
      <w:pPr>
        <w:pStyle w:val="Heading1"/>
      </w:pPr>
      <w:r>
        <w:t>Decisões pendentes e ligações</w:t>
      </w:r>
    </w:p>
    <w:p>
      <w:r>
        <w:rPr>
          <w:b w:val="0"/>
        </w:rPr>
        <w:t>Antes de V0 fechar: validar conta/região e modelos AWS já contratados, limites financeiros, fornecedor de identidade, topology de dados e lista de países de lançamento. Antes de V2: preços/planos, direitos offline e recuperação de compra anónima. Antes de V3: catálogo normativo e licenças. Antes de V5: TSA, validade/revogação e política de publicação. Cada decisão tem proprietário Direção, parecer técnico e evidência; uma opção proposta neste PRD não é prova de contratação.</w:t>
      </w:r>
    </w:p>
    <w:p>
      <w:r>
        <w:rPr>
          <w:b w:val="0"/>
        </w:rPr>
        <w:t>Documento complementar: 01_Vision_Cloud_Services_System_Architecture_v1.1.docx. Contratos com Core, Report, PhotoProof, Calc e Website são revistos nos respetivos gates. O relatório 07 identifica as extensões que reutilizam o Backoffice existente.</w:t>
      </w:r>
    </w:p>
    <w:p>
      <w:r>
        <w:rPr>
          <w:b w:val="0"/>
        </w:rPr>
        <w:t>Fontes técnicas consultadas em 27 de setembro de 2026: AWS Bedrock cross-region inference — https://docs.aws.amazon.com/bedrock/latest/userguide/cross-region-inference.html ; proteção de dados Bedrock — https://docs.aws.amazon.com/bedrock/latest/userguide/data-protection.html ; RFC3161 — https://www.rfc-editor.org/rfc/rfc3161 . As metas de serviço e os endpoints são propostas de arquitetura, não especificações desses fornecedores.</w:t>
      </w:r>
    </w:p>
    <w:sectPr w:rsidR="00FC693F" w:rsidRPr="0006063C" w:rsidSect="00034616">
      <w:footerReference w:type="default" r:id="rId9"/>
      <w:pgSz w:w="12240" w:h="15840"/>
      <w:pgMar w:top="1049" w:right="1191" w:bottom="1049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Vision World Apps  |  01  |  v1.1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000000"/>
      <w:sz w:val="22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 Cloud Services Requisitos do backend comum das aplicações</dc:title>
  <dc:subject>Requisitos do backend comum das aplicações</dc:subject>
  <dc:creator>Vision World Apps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pt-PT</dc:language>
  <cp:version>1.1</cp:version>
</cp:coreProperties>
</file>