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Vision Cloud Services</w:t>
      </w:r>
    </w:p>
    <w:p>
      <w:pPr>
        <w:pStyle w:val="Subtitle"/>
      </w:pPr>
      <w:r>
        <w:t>Arquitetura do sistema e contratos de integração</w:t>
      </w:r>
    </w:p>
    <w:p>
      <w:r>
        <w:t>Versão 1.1  |  27 de setembro de 2026  |  Português de Portugal</w:t>
      </w:r>
    </w:p>
    <w:p>
      <w:r>
        <w:t>Destinatário e responsável pela aprovação: Direção do projeto Vision World Apps. Documento de especificação para revisão e execução faseada. A aprovação do documento e de cada fase fica registada separadamente. Revisão de calendário: primeiro lote até 10 de novembro de 2026; fases e aprovações continuam por executar.</w:t>
      </w:r>
    </w:p>
    <w:p>
      <w:pPr>
        <w:pStyle w:val="Heading1"/>
      </w:pPr>
      <w:r>
        <w:t>Conteúdo</w:t>
      </w:r>
    </w:p>
    <w:p>
      <w:pPr>
        <w:pStyle w:val="BodyText"/>
      </w:pPr>
      <w:r>
        <w:t>01  Decisão arquitetural</w:t>
      </w:r>
    </w:p>
    <w:p>
      <w:pPr>
        <w:pStyle w:val="BodyText"/>
      </w:pPr>
      <w:r>
        <w:t>02  Baseline e fronteiras de responsabilidade</w:t>
      </w:r>
    </w:p>
    <w:p>
      <w:pPr>
        <w:pStyle w:val="BodyText"/>
      </w:pPr>
      <w:r>
        <w:t>03  Vista de contexto e fronteiras</w:t>
      </w:r>
    </w:p>
    <w:p>
      <w:pPr>
        <w:pStyle w:val="BodyText"/>
      </w:pPr>
      <w:r>
        <w:t>04  Topologia AWS proposta</w:t>
      </w:r>
    </w:p>
    <w:p>
      <w:pPr>
        <w:pStyle w:val="BodyText"/>
      </w:pPr>
      <w:r>
        <w:t>05  Módulos e propriedade dos dados</w:t>
      </w:r>
    </w:p>
    <w:p>
      <w:pPr>
        <w:pStyle w:val="BodyText"/>
      </w:pPr>
      <w:r>
        <w:t>06  Persistência local e sincronização</w:t>
      </w:r>
    </w:p>
    <w:p>
      <w:pPr>
        <w:pStyle w:val="BodyText"/>
      </w:pPr>
      <w:r>
        <w:t>07  Autenticação autorização e administração</w:t>
      </w:r>
    </w:p>
    <w:p>
      <w:pPr>
        <w:pStyle w:val="BodyText"/>
      </w:pPr>
      <w:r>
        <w:t>08  Sequência da chamada Managed AI</w:t>
      </w:r>
    </w:p>
    <w:p>
      <w:pPr>
        <w:pStyle w:val="BodyText"/>
      </w:pPr>
      <w:r>
        <w:t>09  Standards e Trust na arquitetura</w:t>
      </w:r>
    </w:p>
    <w:p>
      <w:pPr>
        <w:pStyle w:val="BodyText"/>
      </w:pPr>
      <w:r>
        <w:t>10  Ameaças e controlos verificáveis</w:t>
      </w:r>
    </w:p>
    <w:p>
      <w:pPr>
        <w:pStyle w:val="BodyText"/>
      </w:pPr>
      <w:r>
        <w:t>11  Privacidade e analytics por desenho</w:t>
      </w:r>
    </w:p>
    <w:p>
      <w:pPr>
        <w:pStyle w:val="BodyText"/>
      </w:pPr>
      <w:r>
        <w:t>12  Disponibilidade filas e recuperação</w:t>
      </w:r>
    </w:p>
    <w:p>
      <w:pPr>
        <w:pStyle w:val="BodyText"/>
      </w:pPr>
      <w:r>
        <w:t>13  Entrega contínua observabilidade e custos</w:t>
      </w:r>
    </w:p>
    <w:p>
      <w:pPr>
        <w:pStyle w:val="BodyText"/>
      </w:pPr>
      <w:r>
        <w:t>14  Fases de validação da arquitetura</w:t>
      </w:r>
    </w:p>
    <w:p>
      <w:pPr>
        <w:pStyle w:val="BodyText"/>
      </w:pPr>
      <w:r>
        <w:t>15  Método de execução e critérios de encerramento</w:t>
      </w:r>
    </w:p>
    <w:p>
      <w:pPr>
        <w:pStyle w:val="BodyText"/>
      </w:pPr>
      <w:r>
        <w:t>16  Calendário integrado e dependências</w:t>
      </w:r>
    </w:p>
    <w:p>
      <w:pPr>
        <w:pStyle w:val="BodyText"/>
      </w:pPr>
      <w:r>
        <w:t>17  Registo de decisões e referências</w:t>
      </w:r>
    </w:p>
    <w:p>
      <w:r>
        <w:br w:type="page"/>
      </w:r>
    </w:p>
    <w:p>
      <w:pPr>
        <w:pStyle w:val="Heading1"/>
      </w:pPr>
      <w:r>
        <w:t>Decisão arquitetural</w:t>
      </w:r>
    </w:p>
    <w:p>
      <w:r>
        <w:rPr>
          <w:b w:val="0"/>
        </w:rPr>
        <w:t>Adotar um backend comum modular, com APIs públicas para as apps e APIs administrativas privadas para o Backoffice. A proposta inicial usa serviços geridos na AWS Frankfurt e separa o estado dos produtos do estado operacional do Backoffice. Mantém os clientes Flutter/Dart independentes de rede para as funções locais. O desenho evita acesso direto a DB, credenciais de serviço em binários e dependência de computadores pessoais em produção.</w:t>
      </w:r>
    </w:p>
    <w:p>
      <w:r>
        <w:rPr>
          <w:b w:val="0"/>
        </w:rPr>
        <w:t>Este documento complementa o PRD 01 e descreve uma arquitetura de referência a aprovar no gate A0/V0. Não afirma que a infraestrutura já existe. A inspeção de 27 de setembro confirmou código FastAPI/PostgreSQL no Backoffice; este serviço não é substituído nem convertido para Flutter. Reutilizam-se os contratos, mecanismos de audit e conhecimentos operacionais com adaptação explícita.</w:t>
      </w:r>
    </w:p>
    <w:p>
      <w:pPr>
        <w:pStyle w:val="Heading1"/>
      </w:pPr>
      <w:r>
        <w:t>Baseline e fronteiras de responsabilidade</w:t>
      </w:r>
    </w:p>
    <w:p>
      <w:r>
        <w:rPr>
          <w:b w:val="0"/>
        </w:rPr>
        <w:t>As aplicações partilham Flutter e Dart. O Windows 11 com Claude Code é o ambiente principal. Os PCs e os modelos locais são usados em desenvolvimento e testes; não recebem pedidos de produção, não guardam uma cópia operacional necessária ao serviço e não são uma rota de recuperação de produção. Supabase e Vercel estão excluídos.</w:t>
      </w:r>
    </w:p>
    <w:p>
      <w:r>
        <w:rPr>
          <w:b w:val="0"/>
        </w:rPr>
        <w:t>Os serviços de produção residem na AWS em Frankfurt, eu-central-1. A configuração da região, das cópias de segurança e do processamento deve ser demonstrada por ambiente. Um perfil Bedrock com prefixo europeu não demonstra, por si só, processamento exclusivamente em Frankfurt. Até comprovar a rota compatível e já contratada, a funcionalidade Managed AI mantém o modo sem IA.</w:t>
      </w:r>
    </w:p>
    <w:p>
      <w:r>
        <w:rPr>
          <w:b w:val="0"/>
        </w:rPr>
        <w:t>Vision Managed AI utiliza exclusivamente a IA já contratada na AWS. O Vision Cloud Services é responsável pela admissão dos pedidos das apps, quotas, reservas de custo, consumo e interrupção por orçamento. A autorização de modelos exige inventário real da conta, acesso, preço, região e quota; o PRD não autoriza novas subscrições ou fornecedores. A IA usada internamente pelo Backoffice conserva o seu controlo próprio até uma integração aprovada, evitando duas cobranças para a mesma operação.</w:t>
      </w:r>
    </w:p>
    <w:p>
      <w:r>
        <w:rPr>
          <w:b w:val="0"/>
        </w:rPr>
        <w:t>BYO é uma escolha explícita do utilizador, separada de Managed AI. As credenciais ficam no armazenamento seguro local e não entram no backend, logs, relatórios, exports ou analytics. Antes do envio, o utilizador conhece o fornecedor, os dados transmitidos e quem suporta o custo. A Vision responde pela implementação, proteção local e transparência; o utilizador responde pelas credenciais, limites e termos da sua conta; o fornecedor responde pelo serviço nos seus próprios termos. Uma falha num modo não muda silenciosamente para o outro.</w:t>
      </w:r>
    </w:p>
    <w:p>
      <w:r>
        <w:rPr>
          <w:b w:val="0"/>
        </w:rPr>
        <w:t>O funcionamento local é o ponto de partida. Sem rede, IA, permissões opcionais ou serviços auxiliares, o utilizador continua a trabalhar no que é local. A interface mostra o estado, conserva trabalho e permite repetir operações de forma controlada. Integridade, identidade e confiança não são simuladas: um selo local não recebe o estatuto de timestamp de confiança, e uma autenticação expirada não autoriza nova operação remota.</w:t>
      </w:r>
    </w:p>
    <w:p>
      <w:r>
        <w:rPr>
          <w:b w:val="0"/>
        </w:rPr>
        <w:t>O Field Calc não exige conta. Field Report e PhotoProof usam identidade mínima porque protegem autoria, acesso a relatórios e atribuição da captura. A conta não implica recolha de documentos de identificação civil. A identidade de conta, a pessoa que opera o dispositivo e uma identidade legalmente verificada são conceitos distintos e devem ser apresentados como tal.</w:t>
      </w:r>
    </w:p>
    <w:p>
      <w:r>
        <w:rPr>
          <w:b w:val="0"/>
        </w:rPr>
        <w:t>O Mac mini M4 com 16 GB de memória e 256 GB de armazenamento, previsto para o fim de outubro de 2026, será a estação de build, teste, assinatura e release Apple com Xcode. A compra, chegada e configuração não se presumem concluídas. Até à disponibilidade real, os ensaios Apple ficam com o estado exato Pending Hardware. Os restantes trabalhos prosseguem quando tecnicamente independentes; uma versão Apple não recebe aprovação final sem esses ensaios.</w:t>
      </w:r>
    </w:p>
    <w:p>
      <w:pPr>
        <w:pStyle w:val="Heading1"/>
      </w:pPr>
      <w:r>
        <w:t>Vista de contexto e fronteiras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29"/>
        <w:gridCol w:w="2857"/>
        <w:gridCol w:w="2857"/>
        <w:gridCol w:w="2381"/>
      </w:tblGrid>
      <w:tr>
        <w:trPr>
          <w:cantSplit/>
          <w:tblHeader/>
        </w:trPr>
        <w:tc>
          <w:tcPr>
            <w:tcW w:type="dxa" w:w="1429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2857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Ligação</w:t>
            </w:r>
          </w:p>
        </w:tc>
        <w:tc>
          <w:tcPr>
            <w:tcW w:type="dxa" w:w="2857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2381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Regra de confiança</w:t>
            </w:r>
          </w:p>
        </w:tc>
      </w:tr>
      <w:tr>
        <w:trPr>
          <w:cantSplit/>
        </w:trPr>
        <w:tc>
          <w:tcPr>
            <w:tcW w:type="dxa" w:w="142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Apps Flutter</w:t>
            </w:r>
          </w:p>
        </w:tc>
        <w:tc>
          <w:tcPr>
            <w:tcW w:type="dxa" w:w="28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HTTPS autenticado ou leitura pública limitada</w:t>
            </w:r>
          </w:p>
        </w:tc>
        <w:tc>
          <w:tcPr>
            <w:tcW w:type="dxa" w:w="28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API Vision Cloud Services</w:t>
            </w:r>
          </w:p>
        </w:tc>
        <w:tc>
          <w:tcPr>
            <w:tcW w:type="dxa" w:w="238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Nunca confiar em IDs ou claims não validados</w:t>
            </w:r>
          </w:p>
        </w:tc>
      </w:tr>
      <w:tr>
        <w:trPr>
          <w:cantSplit/>
        </w:trPr>
        <w:tc>
          <w:tcPr>
            <w:tcW w:type="dxa" w:w="1429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Apps em BYO</w:t>
            </w:r>
          </w:p>
        </w:tc>
        <w:tc>
          <w:tcPr>
            <w:tcW w:type="dxa" w:w="2857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HTTPS após escolha explícita</w:t>
            </w:r>
          </w:p>
        </w:tc>
        <w:tc>
          <w:tcPr>
            <w:tcW w:type="dxa" w:w="2857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Fornecedor do utilizador</w:t>
            </w:r>
          </w:p>
        </w:tc>
        <w:tc>
          <w:tcPr>
            <w:tcW w:type="dxa" w:w="2381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Chave local; termos e dados apresentados antes do envio</w:t>
            </w:r>
          </w:p>
        </w:tc>
      </w:tr>
      <w:tr>
        <w:trPr>
          <w:cantSplit/>
        </w:trPr>
        <w:tc>
          <w:tcPr>
            <w:tcW w:type="dxa" w:w="142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Website público</w:t>
            </w:r>
          </w:p>
        </w:tc>
        <w:tc>
          <w:tcPr>
            <w:tcW w:type="dxa" w:w="28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HTTPS e APIs públicas restritas</w:t>
            </w:r>
          </w:p>
        </w:tc>
        <w:tc>
          <w:tcPr>
            <w:tcW w:type="dxa" w:w="28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Config, suporte e verificador</w:t>
            </w:r>
          </w:p>
        </w:tc>
        <w:tc>
          <w:tcPr>
            <w:tcW w:type="dxa" w:w="238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Sem tokens administrativos ou conteúdo privado em cache</w:t>
            </w:r>
          </w:p>
        </w:tc>
      </w:tr>
      <w:tr>
        <w:trPr>
          <w:cantSplit/>
        </w:trPr>
        <w:tc>
          <w:tcPr>
            <w:tcW w:type="dxa" w:w="1429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Cloud</w:t>
            </w:r>
          </w:p>
        </w:tc>
        <w:tc>
          <w:tcPr>
            <w:tcW w:type="dxa" w:w="2857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Chamada regional autorizada</w:t>
            </w:r>
          </w:p>
        </w:tc>
        <w:tc>
          <w:tcPr>
            <w:tcW w:type="dxa" w:w="2857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IA AWS contratada</w:t>
            </w:r>
          </w:p>
        </w:tc>
        <w:tc>
          <w:tcPr>
            <w:tcW w:type="dxa" w:w="2381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Admitir pelo ledger antes de enviar</w:t>
            </w:r>
          </w:p>
        </w:tc>
      </w:tr>
      <w:tr>
        <w:trPr>
          <w:cantSplit/>
        </w:trPr>
        <w:tc>
          <w:tcPr>
            <w:tcW w:type="dxa" w:w="142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Cloud Trust</w:t>
            </w:r>
          </w:p>
        </w:tc>
        <w:tc>
          <w:tcPr>
            <w:tcW w:type="dxa" w:w="28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RFC3161 por transporte protegido</w:t>
            </w:r>
          </w:p>
        </w:tc>
        <w:tc>
          <w:tcPr>
            <w:tcW w:type="dxa" w:w="28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TSA aprovada</w:t>
            </w:r>
          </w:p>
        </w:tc>
        <w:tc>
          <w:tcPr>
            <w:tcW w:type="dxa" w:w="238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Só imprint e metadados necessários; validar token recebido</w:t>
            </w:r>
          </w:p>
        </w:tc>
      </w:tr>
      <w:tr>
        <w:trPr>
          <w:cantSplit/>
        </w:trPr>
        <w:tc>
          <w:tcPr>
            <w:tcW w:type="dxa" w:w="1429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Cloud</w:t>
            </w:r>
          </w:p>
        </w:tc>
        <w:tc>
          <w:tcPr>
            <w:tcW w:type="dxa" w:w="2857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Contrato assinado de servidor</w:t>
            </w:r>
          </w:p>
        </w:tc>
        <w:tc>
          <w:tcPr>
            <w:tcW w:type="dxa" w:w="2857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Backoffice existente</w:t>
            </w:r>
          </w:p>
        </w:tc>
        <w:tc>
          <w:tcPr>
            <w:tcW w:type="dxa" w:w="2381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Permissões por app e operação; nenhuma DB partilhada</w:t>
            </w:r>
          </w:p>
        </w:tc>
      </w:tr>
      <w:tr>
        <w:trPr>
          <w:cantSplit/>
        </w:trPr>
        <w:tc>
          <w:tcPr>
            <w:tcW w:type="dxa" w:w="142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Backoffice</w:t>
            </w:r>
          </w:p>
        </w:tc>
        <w:tc>
          <w:tcPr>
            <w:tcW w:type="dxa" w:w="28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API administrativa privada</w:t>
            </w:r>
          </w:p>
        </w:tc>
        <w:tc>
          <w:tcPr>
            <w:tcW w:type="dxa" w:w="28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Cloud</w:t>
            </w:r>
          </w:p>
        </w:tc>
        <w:tc>
          <w:tcPr>
            <w:tcW w:type="dxa" w:w="238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MFA/RBAC, step-up para ações críticas e audit</w:t>
            </w:r>
          </w:p>
        </w:tc>
      </w:tr>
      <w:tr>
        <w:trPr>
          <w:cantSplit/>
        </w:trPr>
        <w:tc>
          <w:tcPr>
            <w:tcW w:type="dxa" w:w="1429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Sistemas Cloud</w:t>
            </w:r>
          </w:p>
        </w:tc>
        <w:tc>
          <w:tcPr>
            <w:tcW w:type="dxa" w:w="2857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Conexões privadas autorizadas</w:t>
            </w:r>
          </w:p>
        </w:tc>
        <w:tc>
          <w:tcPr>
            <w:tcW w:type="dxa" w:w="2857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DB, storage, filas e chaves</w:t>
            </w:r>
          </w:p>
        </w:tc>
        <w:tc>
          <w:tcPr>
            <w:tcW w:type="dxa" w:w="2381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IAM mínimo, encriptação e ambientes separados</w:t>
            </w:r>
          </w:p>
        </w:tc>
      </w:tr>
    </w:tbl>
    <w:p>
      <w:pPr>
        <w:spacing w:after="40"/>
      </w:pPr>
    </w:p>
    <w:p>
      <w:r>
        <w:rPr>
          <w:b w:val="0"/>
        </w:rPr>
        <w:t>Há cinco limites relevantes: dispositivo do utilizador; edge/API pública; serviços privados; serviços externos de confiança; administração. Identificar cada fluxo no inventário de dados e nos diagramas do repositório. Uma rede privada reduz a exposição, mas não elimina autenticação nem autorização por recurso.</w:t>
      </w:r>
    </w:p>
    <w:p>
      <w:pPr>
        <w:pStyle w:val="Heading1"/>
      </w:pPr>
      <w:r>
        <w:t>Topologia AWS proposta</w:t>
      </w:r>
    </w:p>
    <w:p>
      <w:pPr>
        <w:pStyle w:val="Heading2"/>
      </w:pPr>
      <w:r>
        <w:t>Ambientes e contas</w:t>
      </w:r>
    </w:p>
    <w:p>
      <w:r>
        <w:rPr>
          <w:b w:val="0"/>
        </w:rPr>
        <w:t>Separar dev, staging e produção por contas AWS quando a estrutura da organização o permitir; no mínimo, usar recursos, chaves, roles, nomes e dados distintos. A conta existente do Backoffice conserva o seu ciclo de vida. Criar uma conta de workloads Vision Cloud Services só após aprovação da estrutura e orçamento. Não usar a conta de gestão da organização para correr a aplicação.</w:t>
      </w:r>
    </w:p>
    <w:p>
      <w:r>
        <w:rPr>
          <w:b w:val="0"/>
        </w:rPr>
        <w:t>A infraestrutura declarativa deve criar recursos regionais em eu-central-1, com validação automatizada de região e políticas. Serviços globais e edge, como DNS/CDN, devem ser inventariados separadamente: alojar a origem em Frankfurt não significa que todos os metadados de edge fiquem na região. Para cumprir residência estrita de dados sensíveis, manter APIs e conteúdo privado fora de cache global e avaliar os fluxos de logs, suporte e fornecedores.</w:t>
      </w:r>
    </w:p>
    <w:p>
      <w:pPr>
        <w:pStyle w:val="Heading2"/>
      </w:pPr>
      <w:r>
        <w:t>Componentes e escolha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14"/>
        <w:gridCol w:w="4000"/>
        <w:gridCol w:w="3810"/>
      </w:tblGrid>
      <w:tr>
        <w:trPr>
          <w:cantSplit/>
          <w:tblHeader/>
        </w:trPr>
        <w:tc>
          <w:tcPr>
            <w:tcW w:type="dxa" w:w="1714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00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Proposta</w:t>
            </w:r>
          </w:p>
        </w:tc>
        <w:tc>
          <w:tcPr>
            <w:tcW w:type="dxa" w:w="381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Motivo e condição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API pública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API Gateway regional e WAF; validação adicional no serviço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Limites de entrada e rate limiting; custos e quotas confirmados em A1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Serviço de domínio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Contentor modular em ECS Fargate, FastAPI/Python proposto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Reutiliza experiência do Backoffice; OpenAPI consumido por Dart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Dados transacionais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RDS PostgreSQL em subnets privadas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Transações para quota, entitlement, autorização e outbox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Objetos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S3 privado regional com SSE KMS e versionamento seletivo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Evidência opcional, catálogos licenciados e artefactos de release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Jobs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SQS com dead-letter queue e workers separados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Retentativas de TSA, notificações, export e eliminação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Identidade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Cognito regional proposto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Evita criar implementação própria de passwords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Segredos e chaves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Secrets Manager e KMS; roles de workload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Sem chaves estáticas nos clientes ou CI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Observabilidade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CloudWatch, CloudTrail e alarmes de orçamento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Operação e audit sem payload de utilizador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Website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Origem estática AWS e frontend público com SEO; estratégia de edge a aprovar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Conteúdo público independente do Backoffice</w:t>
            </w:r>
          </w:p>
        </w:tc>
      </w:tr>
    </w:tbl>
    <w:p>
      <w:pPr>
        <w:spacing w:after="40"/>
      </w:pPr>
    </w:p>
    <w:p>
      <w:r>
        <w:rPr>
          <w:b w:val="0"/>
        </w:rPr>
        <w:t>A escolha de Python no backend é uma proposta de continuidade operacional; Flutter/Dart permanece a stack das aplicações cross-platform. Se for exigido Dart também no servidor, A0 avalia o custo e compatibilidade antes de selecionar o runtime. Não criar dois backends equivalentes em paralelo. Lambda pode ser usada em adaptadores de eventos ou tarefas curtas quando simplificar a operação, sem repartir prematuramente cada função por um microserviço.</w:t>
      </w:r>
    </w:p>
    <w:p>
      <w:r>
        <w:rPr>
          <w:b w:val="0"/>
        </w:rPr>
        <w:t>Dimensionamento inicial proposto: duas instâncias/tarefas de serviço para tolerância a falha, DB com alta disponibilidade compatível com o orçamento e storage privado. O número final é resultado de custo e carga medidos. Se o orçamento não suportar o objetivo de disponibilidade, rever o objetivo publicamente; não conservar o SLA e reduzir silenciosamente os controlos.</w:t>
      </w:r>
    </w:p>
    <w:p>
      <w:pPr>
        <w:pStyle w:val="Heading1"/>
      </w:pPr>
      <w:r>
        <w:t>Módulos e propriedade dos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14"/>
        <w:gridCol w:w="4000"/>
        <w:gridCol w:w="3810"/>
      </w:tblGrid>
      <w:tr>
        <w:trPr>
          <w:cantSplit/>
          <w:tblHeader/>
        </w:trPr>
        <w:tc>
          <w:tcPr>
            <w:tcW w:type="dxa" w:w="1714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400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Dados de que é proprietário</w:t>
            </w:r>
          </w:p>
        </w:tc>
        <w:tc>
          <w:tcPr>
            <w:tcW w:type="dxa" w:w="381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Interfaces permitidas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Registry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Apps, capabilities, versões e config publicada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Leitura de cliente e escrita administrativa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Identity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Referência do subject, dispositivos e estado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Integração com IdP; API de conta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Entitlements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Transações normalizadas, direitos e reconciliação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Notificações assinadas de loja e consulta da app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AI Gateway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Catálogo autorizado, quota, reservas e uso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Capability API e painel administrativo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Standards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Metadados de edição, origem e validações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Catálogo, download autorizado e validação humana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Trust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Hashes de manifestos, tokens e políticas de confiança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Timestamp, verificação e publicação opt-in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Support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Referências, outbox e metadados de diagnóstico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Adaptador para contrato Backoffice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Analytics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Eventos mínimos validados e agregados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Ingestão limitada e dashboards com acesso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Administration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Comandos, aprovações e audit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API privada para Backoffice</w:t>
            </w:r>
          </w:p>
        </w:tc>
      </w:tr>
    </w:tbl>
    <w:p>
      <w:pPr>
        <w:spacing w:after="40"/>
      </w:pPr>
    </w:p>
    <w:p>
      <w:r>
        <w:rPr>
          <w:b w:val="0"/>
        </w:rPr>
        <w:t>Cada módulo acede às suas tabelas por repositórios internos. Chamadas entre módulos têm contratos e transação definida. A separação inicial é lógica e testável dentro do serviço modular; a extração para serviços independentes só se justifica por escala, risco ou necessidade de deployment. O audit não transporta cópias completas do conteúdo original.</w:t>
      </w:r>
    </w:p>
    <w:p>
      <w:pPr>
        <w:pStyle w:val="Heading1"/>
      </w:pPr>
      <w:r>
        <w:t>Persistência local e sincronização</w:t>
      </w:r>
    </w:p>
    <w:p>
      <w:r>
        <w:rPr>
          <w:b w:val="0"/>
        </w:rPr>
        <w:t>O Core mantém base local transacional, anexos cifrados e fila durável. Cada operação recebe operation_id e base_revision. O servidor aplica comparação de versão e devolve confirmação ou conflito explícito. Para findings, medições e evidência não usar last-write-wins como política genérica. Apresentar diferenças e conservar ambas as versões até decisão do autor.</w:t>
      </w:r>
    </w:p>
    <w:p>
      <w:r>
        <w:rPr>
          <w:b w:val="0"/>
        </w:rPr>
        <w:t>O envelope da operação inclui app_id, entity_type, entity_id, operation_id, schema_version, base_revision e payload funcional. O subject é resolvido a partir do token, não aceite como autoridade do payload. Tombstones indicam eliminação e são conservados pelo prazo de sincronização definido. Um restauro antigo não pode ressuscitar dados cuja eliminação já foi executada.</w:t>
      </w:r>
    </w:p>
    <w:p>
      <w:r>
        <w:rPr>
          <w:b w:val="0"/>
        </w:rPr>
        <w:t>Sincronização de fotografias e relatórios completos é opcional e exige decisão explícita de produto. O âmbito inicial deve funcionar com dados locais e apenas metadados remotos necessários. Uploads autorizados usam URLs de curta duração emitidas após controlo de recurso; isto é acesso a storage e não acesso a DB. Restringir chave de objeto, tamanho, tipo e integridade esperada. A aceitação final exige verificação server-side antes de marcar o objeto disponível.</w:t>
      </w:r>
    </w:p>
    <w:p>
      <w:r>
        <w:rPr>
          <w:b w:val="0"/>
        </w:rPr>
        <w:t>Evitar duplicar um ficheiro grande em memória. Guardar stream temporário, confirmar hash e fazer promoção atómica. Um crash entre upload e commit deixa um objeto órfão que o job de limpeza remove depois da janela definida, sem eliminar objetos referenciados. A quota de storage é independente da quota de IA.</w:t>
      </w:r>
    </w:p>
    <w:p>
      <w:pPr>
        <w:pStyle w:val="Heading1"/>
      </w:pPr>
      <w:r>
        <w:t>Autenticação autorização e administração</w:t>
      </w:r>
    </w:p>
    <w:p>
      <w:pPr>
        <w:pStyle w:val="Heading2"/>
      </w:pPr>
      <w:r>
        <w:t>Clientes e identidades</w:t>
      </w:r>
    </w:p>
    <w:p>
      <w:r>
        <w:rPr>
          <w:b w:val="0"/>
        </w:rPr>
        <w:t>As APIs validam JWT pelo emissor autorizado e audience da app/ambiente. A rotação de chaves do IdP usa cache com prazo e falha segura. Não aceitar algoritmo escolhido pelo token nem usar access token como refresh token. Sessões móveis guardam refresh no cofre local; o browser público não guarda credenciais administrativas.</w:t>
      </w:r>
    </w:p>
    <w:p>
      <w:r>
        <w:rPr>
          <w:b w:val="0"/>
        </w:rPr>
        <w:t>Um recurso inclui sempre âmbito de app e proprietário. O acesso a um standard público é diferente do acesso à validação individual desse standard. O public verifier lê apenas uma projeção autorizada. A conta Calc anónima tem subject técnico próprio, sem nome/email; limites de abuso não são usados para criar perfil de marketing.</w:t>
      </w:r>
    </w:p>
    <w:p>
      <w:pPr>
        <w:pStyle w:val="Heading2"/>
      </w:pPr>
      <w:r>
        <w:t>Backoffice e papéis</w:t>
      </w:r>
    </w:p>
    <w:p>
      <w:r>
        <w:rPr>
          <w:b w:val="0"/>
        </w:rPr>
        <w:t>Papéis propostos: Owner, Release Manager, Support, Standards Curator, Trust Operator e Auditor. Um developer individual pode deter vários papéis, mas as permissões permanecem separadas e testadas. Support não altera quotas globais; Curator não gere identidades; Release Manager não apaga audit; Auditor é só leitura. Owner usa step-up para orçamento, chaves, políticas e publicação de grande alcance.</w:t>
      </w:r>
    </w:p>
    <w:p>
      <w:r>
        <w:rPr>
          <w:b w:val="0"/>
        </w:rPr>
        <w:t>O Backoffice atual tem passkeys com user verification e um papel direction. O adaptador novo mapeia esse papel para um conjunto inicial explicitamente aprovado e mantém os restantes desativados até implementação. Passkeys com verificação do utilizador são uma base forte para MFA; recuperação, enrolment, revogação e comportamento do autenticador precisam de prova. Não concluir que existe RBAC granular apenas pela presença do campo role.</w:t>
      </w:r>
    </w:p>
    <w:p>
      <w:r>
        <w:rPr>
          <w:b w:val="0"/>
        </w:rPr>
        <w:t>A atualização documental dd84062 do Backoffice regista que a consola está acessível publicamente com passkeys, que ajuda/widget/webhooks são superfícies públicas planeadas no mesmo serviço e que existe um cofre de audit noutra região. O desenho alvo exige acesso privado à administração, separação das superfícies públicas e reconciliação da retenção/região do audit. Preservar arquivos existentes e serviços em uso; a decisão de rede e o plano regional são gates, não alterações executadas por este documento.</w:t>
      </w:r>
    </w:p>
    <w:p>
      <w:pPr>
        <w:pStyle w:val="Heading2"/>
      </w:pPr>
      <w:r>
        <w:t>Comunicação entre serviços</w:t>
      </w:r>
    </w:p>
    <w:p>
      <w:r>
        <w:rPr>
          <w:b w:val="0"/>
        </w:rPr>
        <w:t>Reutilizar o contrato Ed25519 do Backoffice na ligação de servidor, com chave de serviço por app lógica e rotação. Assinar método, caminho canónico, timestamp, nonce e hash do corpo conforme o contrato versionado. Para novos endpoints com query que altera semântica, definir a canonicalização e a inclusão da query em v2 ou assegurar que não decide autorização; não alterar unilateralmente a assinatura v1 em clientes existentes.</w:t>
      </w:r>
    </w:p>
    <w:p>
      <w:r>
        <w:rPr>
          <w:b w:val="0"/>
        </w:rPr>
        <w:t>Guardar nonce usado por uma janela definida, recusar relógio fora da tolerância e distinguir retry idempotente de replay. A chave do serviço Cloud nunca vive no telemóvel. Preferir credenciais temporárias de workload para AWS; os segredos legados existentes exigem um plano de migração e rotação, sem leitura ou cópia para este dossier.</w:t>
      </w:r>
    </w:p>
    <w:p>
      <w:pPr>
        <w:pStyle w:val="Heading1"/>
      </w:pPr>
      <w:r>
        <w:t>Sequência da chamada Managed AI</w:t>
      </w:r>
    </w:p>
    <w:p>
      <w:r>
        <w:rPr>
          <w:b w:val="0"/>
        </w:rPr>
        <w:t>1. O utilizador confirma a ação, os parâmetros e o conteúdo mínimo. O cliente seleciona Managed AI explicitamente.</w:t>
      </w:r>
    </w:p>
    <w:p>
      <w:r>
        <w:rPr>
          <w:b w:val="0"/>
        </w:rPr>
        <w:t>2. O API valida token/credencial anónima, app, versão e schema. Gera correlation_id sem conteúdo e verifica idempotency key.</w:t>
      </w:r>
    </w:p>
    <w:p>
      <w:r>
        <w:rPr>
          <w:b w:val="0"/>
        </w:rPr>
        <w:t>3. O Entitlement resolve capacidade; o catálogo escolhe apenas modelo AWS já autorizado para a região efetiva.</w:t>
      </w:r>
    </w:p>
    <w:p>
      <w:r>
        <w:rPr>
          <w:b w:val="0"/>
        </w:rPr>
        <w:t>4. Uma transação bloqueia as janelas de orçamento relevantes em ordem estável, verifica saldo e grava reserva e pedido pending.</w:t>
      </w:r>
    </w:p>
    <w:p>
      <w:r>
        <w:rPr>
          <w:b w:val="0"/>
        </w:rPr>
        <w:t>5. O worker envia uma única tentativa admitida, com input/max_tokens limitados. Timeout e request_id são registados sem prompt.</w:t>
      </w:r>
    </w:p>
    <w:p>
      <w:r>
        <w:rPr>
          <w:b w:val="0"/>
        </w:rPr>
        <w:t>6. Resposta válida produz liquidação; custo desconhecido mantém reserva conservadora e estado a reconciliar. Atualização do ledger e resultado são transacionais.</w:t>
      </w:r>
    </w:p>
    <w:p>
      <w:r>
        <w:rPr>
          <w:b w:val="0"/>
        </w:rPr>
        <w:t>7. A app recebe resultado estruturado ou causa de degradação. O operador vê custo agregado e erro, sem texto sensível.</w:t>
      </w:r>
    </w:p>
    <w:p>
      <w:r>
        <w:rPr>
          <w:b w:val="0"/>
        </w:rPr>
        <w:t>8. Um job reconcilia pendentes e agrega consumo para o Backoffice. Alarmes financeiros não executam novas chamadas ao modelo.</w:t>
      </w:r>
    </w:p>
    <w:p>
      <w:r>
        <w:rPr>
          <w:b w:val="0"/>
        </w:rPr>
        <w:t>Testar estados reserved, sent, succeeded, failed_before_send, failed_after_send, unknown_cost e reconciled. A idempotência impede processamento lógico duplicado, mas não garante que o fornecedor não cobre uma repetição sem suporte próprio; por isso, a política de retry é conservadora. Estimativas usam preços datados e o orçamento inclui margem aprovada para arredondamento/overhead.</w:t>
      </w:r>
    </w:p>
    <w:p>
      <w:pPr>
        <w:pStyle w:val="Heading1"/>
      </w:pPr>
      <w:r>
        <w:t>Standards e Trust na arquitetura</w:t>
      </w:r>
    </w:p>
    <w:p>
      <w:r>
        <w:rPr>
          <w:b w:val="0"/>
        </w:rPr>
        <w:t>O catálogo Standards guarda metadados e proveniência; cada utilizador conserva a sua validação e documentos importados segundo licença. O hash é calculado sobre bytes exatos. A IA não cria um registo source_checked. Uma atualização curada necessita de fonte oficial, data, edição, revisor e audit. A app recebe aviso de substituição, sem reescrever a norma que sustentou uma inspeção fechada.</w:t>
      </w:r>
    </w:p>
    <w:p>
      <w:r>
        <w:rPr>
          <w:b w:val="0"/>
        </w:rPr>
        <w:t>O Trust usa dois objetos imutáveis: manifesto de captura e envelope de validação posterior. O timestamp referencia o hash de uma representação canónica do manifesto selado. O token TSA, attestation server-side e revogações são acrescentados num envelope versionado, evitando alterar o objeto já assinado. Definir codificação UTF-8 e canonicalização com testes de interoperabilidade; RFC8785 é uma opção proposta para JSON. Não hashear uma serialização JSON dependente da ordem acidental das chaves.</w:t>
      </w:r>
    </w:p>
    <w:p>
      <w:r>
        <w:rPr>
          <w:b w:val="0"/>
        </w:rPr>
        <w:t>O storage distingue original, derived, manifest, timestamp e package. Um derivative guarda parent_hash, transformation, tool_version e created_at. Publicação gera uma projeção mínima e token de link de alta entropia. Um pacote exportado contém material suficiente para verificação independente; uma API online fornece estado atual de revogação como dado adicional e explicita indisponibilidade.</w:t>
      </w:r>
    </w:p>
    <w:p>
      <w:r>
        <w:rPr>
          <w:b w:val="0"/>
        </w:rPr>
        <w:t>Attestation Android/Apple é verificada no servidor com challenge/request binding e proteção de replay. O resultado é um sinal com data, plataforma e contexto; não é prova da cena nem da identidade civil. Em Windows/macOS ou ambiente sem suporte equivalente, emitir unsupported/indeterminate e continuar com o nível de confiança efetivo. Nunca apresentar uma assinatura de software como atestação de hardware.</w:t>
      </w:r>
    </w:p>
    <w:p>
      <w:pPr>
        <w:pStyle w:val="Heading1"/>
      </w:pPr>
      <w:r>
        <w:t>Ameaças e controlos verificáveis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14"/>
        <w:gridCol w:w="4000"/>
        <w:gridCol w:w="3810"/>
      </w:tblGrid>
      <w:tr>
        <w:trPr>
          <w:cantSplit/>
          <w:tblHeader/>
        </w:trPr>
        <w:tc>
          <w:tcPr>
            <w:tcW w:type="dxa" w:w="1714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Ameaça</w:t>
            </w:r>
          </w:p>
        </w:tc>
        <w:tc>
          <w:tcPr>
            <w:tcW w:type="dxa" w:w="400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Controlo previsto</w:t>
            </w:r>
          </w:p>
        </w:tc>
        <w:tc>
          <w:tcPr>
            <w:tcW w:type="dxa" w:w="381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Ensaio de aceitação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Acesso a relatório de outro utilizador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Autorização por recurso e app em todas as consultas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Trocar owner, app e object ID em cada endpoint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Extração de chave de serviço do cliente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Nenhuma chave partilhada no binário; token de âmbito mínimo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Inspeção de artefacto e de armazenamento local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Quota excedida por concorrência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Reserva transacional e limites hierárquicos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Cem pedidos simultâneos com saldo para cinco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Duplicação por retry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Idempotency key vinculada ao corpo e estado durável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Repetir após timeout e reinício do worker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SSRF em norma ou webhook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Allowlist de origem e validação de DNS/IP/redirect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URL local, metadados cloud e redirecionamento malicioso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Zip bomb e path traversal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Limites de expansão e normalização de caminhos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Pacote com caminhos relativos e tamanhos extremos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Timestamp falso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Validação de imprint, assinatura, política e cadeia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Token correto associado ao hash errado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GPS ou EXIF falsificado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Campo de origem/qualidade e confiança limitada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Importação com EXIF manipulado sem elevar estado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Prompt injection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Conteúdo tratado como dados; ferramentas autorizadas por código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Documento a pedir exfiltração ou aumento de quota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Fuga por analytics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Esquema fechado, redaction e teste do payload real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API key/GPS/prompt num campo extra rejeitado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Administração comprometida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MFA, step-up, RBAC, audit e recuperação controlada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Papel de suporte tenta alterar orçamento e publicar config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Restauro que repõe dados apagados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Ledger de eliminação reaplicado e expiração de backup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Restaurar snapshot anterior ao pedido de eliminação</w:t>
            </w:r>
          </w:p>
        </w:tc>
      </w:tr>
    </w:tbl>
    <w:p>
      <w:pPr>
        <w:spacing w:after="40"/>
      </w:pPr>
    </w:p>
    <w:p>
      <w:pPr>
        <w:pStyle w:val="Heading1"/>
      </w:pPr>
      <w:r>
        <w:t>Privacidade e analytics por desenho</w:t>
      </w:r>
    </w:p>
    <w:p>
      <w:r>
        <w:rPr>
          <w:b w:val="0"/>
        </w:rPr>
        <w:t>Analytics é um requisito oficial. O objetivo é medir adoção funcional, falhas, latência, consumo e saúde do serviço para melhorar o produto e controlar custos. Por defeito ficam excluídos fotografias, conteúdo de relatórios, documentos e normas importadas, secrets, API keys, coordenadas GPS precisas e prompts sensíveis completos. Os identificadores pseudónimos continuam a poder ser dados pessoais e não devem ser chamados anónimos sem demonstração.</w:t>
      </w:r>
    </w:p>
    <w:p>
      <w:r>
        <w:rPr>
          <w:b w:val="0"/>
        </w:rPr>
        <w:t>O esquema base proposto contém event_id aleatório, event_name de uma lista fechada, schema_version, app_id, app_version, platform, occurred_at com granularidade ajustada, received_at, outcome e error_code fixo. Campos opcionais admitidos incluem duration_bucket, feature_id e provider_mode. Campos desconhecidos são rejeitados. Não aceitar mensagens de exceção livres, URL completa, caminho local ou nome de ficheiro. O evento não transporta o identificador público de uma evidência juntamente com a identidade do utilizador.</w:t>
      </w:r>
    </w:p>
    <w:p>
      <w:r>
        <w:rPr>
          <w:b w:val="0"/>
        </w:rPr>
        <w:t>A medição opcional do uso fica separada da telemetria técnica necessária e dos registos de segurança. A política legal define a base aplicável; quando é necessário consentimento, não recolher antes da escolha, oferecer recusa equivalente e permitir revogação. A recusa de analytics opcionais não desativa as funções locais. Não introduzir publicidade, identificadores publicitários ou tracking entre serviços no âmbito inicial.</w:t>
      </w:r>
    </w:p>
    <w:p>
      <w:r>
        <w:rPr>
          <w:b w:val="0"/>
        </w:rPr>
        <w:t>Proposta de retenção a aprovar no gate de privacidade: eventos opcionais brutos até 30 dias; diagnósticos técnicos redigidos até 30 dias; agregados sem ligação a conta até 13 meses; audit de administração até 12 meses; factos de compras e obrigações fiscais pelo prazo legal confirmado; anexos de suporte até 30 dias após fecho. As cópias de segurança têm janela proposta de 35 dias, com expurgo diferido e reaplicação dos pedidos de eliminação após restauro. Estes valores são escolhas de produto, não prazos legais universalmente impostos.</w:t>
      </w:r>
    </w:p>
    <w:p>
      <w:r>
        <w:rPr>
          <w:b w:val="0"/>
        </w:rPr>
        <w:t>A eliminação distingue conta, dados remotos, dados locais, cópias partilhadas pelo utilizador e registos legalmente retidos. O pedido revoga sessões e acessos remotos, agenda purga e comunica o resultado e exceções fundamentadas. Exportar antes de apagar deve ser opção, não obstáculo. Uma operação de suporte usa referências opacas; conteúdo técnico de uma inspeção só entra num pedido de suporte por ação específica e consentida do utilizador, com finalidade e acesso restrito.</w:t>
      </w:r>
    </w:p>
    <w:p>
      <w:pPr>
        <w:pStyle w:val="Heading1"/>
      </w:pPr>
      <w:r>
        <w:t>Disponibilidade filas e recuperação</w:t>
      </w:r>
    </w:p>
    <w:p>
      <w:r>
        <w:rPr>
          <w:b w:val="0"/>
        </w:rPr>
        <w:t>Definir timeouts por dependência e circuit breaker por serviço para impedir cascatas. O estado degradado da TSA não interrompe recolha local; indisponibilidade de IA não impede cálculos ou edição; falha do Backoffice não bloqueia upload autorizado nem entrega de config. A API de suporte persiste na outbox antes de responder que o pedido foi recebido.</w:t>
      </w:r>
    </w:p>
    <w:p>
      <w:r>
        <w:rPr>
          <w:b w:val="0"/>
        </w:rPr>
        <w:t>Cada fila tem idade máxima, contador de tentativas, backoff e dead-letter queue. As operações com custo não são reenviadas automaticamente sem analisar se a tentativa chegou ao fornecedor. Jobs de eliminação e callbacks são idempotentes e registam o passo concluído. O operador reprocessa por lote limitado com preview, permissões e audit.</w:t>
      </w:r>
    </w:p>
    <w:p>
      <w:r>
        <w:rPr>
          <w:b w:val="0"/>
        </w:rPr>
        <w:t>RPO proposto de uma hora e RTO de quatro horas dependem de backups, capacidade de restauro e secrets disponíveis. Backups ficam na região aprovada e numa conta/cofre com privilégios separados. Exercitar um restauro em staging, comparar integridade, reaplicar tombstones e documentar o tempo. PCs pessoais e o Mac de build não substituem estes serviços.</w:t>
      </w:r>
    </w:p>
    <w:p>
      <w:r>
        <w:rPr>
          <w:b w:val="0"/>
        </w:rPr>
        <w:t>Plano de rollback: artefacto anterior, configuração anterior e migração compatível. Usar expand/migrate/contract para alterações de schema; só remover coluna quando nenhum cliente/worker suportado depender dela. Cancelar uma release mantém dados e audit, não executa migração inversa destrutiva por omissão.</w:t>
      </w:r>
    </w:p>
    <w:p>
      <w:pPr>
        <w:pStyle w:val="Heading1"/>
      </w:pPr>
      <w:r>
        <w:t>Entrega contínua observabilidade e custos</w:t>
      </w:r>
    </w:p>
    <w:p>
      <w:r>
        <w:rPr>
          <w:b w:val="0"/>
        </w:rPr>
        <w:t>CI valida schema, testes relevantes, análise de dependências e policy checks; não deve invocar modelos pagos em cada commit. Integração real com AWS/TSA/lojas ocorre em conjuntos predefinidos e com orçamento. Imagens/artefactos são identificados por digest e assinados quando o canal o exigir. A identidade do pipeline não tem poderes para alterar limites de conta ou apagar audit.</w:t>
      </w:r>
    </w:p>
    <w:p>
      <w:r>
        <w:rPr>
          <w:b w:val="0"/>
        </w:rPr>
        <w:t>O painel inclui saúde por capability, latência p50/p95, erro por código, idade de fila, quota reservada/consumida, pedidos recusados, custos estimados e custos reconciliados. Um alarme de exceção não inclui stack com payload sensível. Log de segurança tem acesso e retenção próprios. As métricas de disponibilidade documentam denominador e exclusões.</w:t>
      </w:r>
    </w:p>
    <w:p>
      <w:r>
        <w:rPr>
          <w:b w:val="0"/>
        </w:rPr>
        <w:t>Não há orçamento AWS novo aprovado por este desenho. O dossier de A1 deve apresentar custo base estimado de compute/DB/network/storage/logs e custos variáveis por pedido IA/TSA, com fonte, data, moeda e cenários. Cenários propostos: 100, 1000 e 10 000 utilizadores ativos/mês; medir ações por utilizador e tamanho de evidência antes de calcular. Um teto no gateway controla IA, mas não limita sozinho storage, tráfego ou ataques ao endpoint público.</w:t>
      </w:r>
    </w:p>
    <w:p>
      <w:pPr>
        <w:pStyle w:val="Heading1"/>
      </w:pPr>
      <w:r>
        <w:t>Fases de validação da arquitetura</w:t>
      </w:r>
    </w:p>
    <w:p>
      <w:pPr>
        <w:pStyle w:val="Heading2"/>
      </w:pPr>
      <w:r>
        <w:t>A0 Fronteiras e decisões</w:t>
      </w:r>
    </w:p>
    <w:p>
      <w:r>
        <w:t>Calendário proposto: 27 a 30 de setembro de 2026. Datas condicionadas à aprovação do gate anterior.</w:t>
      </w:r>
    </w:p>
    <w:p>
      <w:r>
        <w:rPr>
          <w:b/>
        </w:rPr>
        <w:t xml:space="preserve">Entradas. </w:t>
      </w:r>
      <w:r>
        <w:rPr>
          <w:b w:val="0"/>
        </w:rPr>
        <w:t>PRD 01, contratos Backoffice e restrição Frankfurt.</w:t>
      </w:r>
    </w:p>
    <w:p>
      <w:r>
        <w:rPr>
          <w:b/>
        </w:rPr>
        <w:t xml:space="preserve">Implementação. </w:t>
      </w:r>
      <w:r>
        <w:rPr>
          <w:b w:val="0"/>
        </w:rPr>
        <w:t>Validar topologia, runtime, tenancy, fluxos de dados e ADRs de identidade/quotas/BYO.</w:t>
      </w:r>
    </w:p>
    <w:p>
      <w:r>
        <w:rPr>
          <w:b/>
        </w:rPr>
        <w:t xml:space="preserve">Entregáveis. </w:t>
      </w:r>
      <w:r>
        <w:rPr>
          <w:b w:val="0"/>
        </w:rPr>
        <w:t>ADRs e contratos aprovados; mapa de dados e requisitos de segurança.</w:t>
      </w:r>
    </w:p>
    <w:p>
      <w:r>
        <w:rPr>
          <w:b/>
        </w:rPr>
        <w:t xml:space="preserve">Testes predefinidos. </w:t>
      </w:r>
      <w:r>
        <w:rPr>
          <w:b w:val="0"/>
        </w:rPr>
        <w:t>A0T1 percorrer todos os fluxos; A0T2 nenhuma chave de servidor num cliente; A0T3 nenhuma dependência de PC; A0T4 Frankfurt comprovável.</w:t>
      </w:r>
    </w:p>
    <w:p>
      <w:r>
        <w:rPr>
          <w:b/>
        </w:rPr>
        <w:t xml:space="preserve">Auditoria de código e arquitetura, segurança, privacidade e analytics. </w:t>
      </w:r>
      <w:r>
        <w:rPr>
          <w:b w:val="0"/>
        </w:rPr>
        <w:t>Rever o diff, os contratos alterados, a autorização por recurso, a recuperação de falhas e a ausência de dados proibidos nos eventos. Guardar a conclusão e as provas por requisito.</w:t>
      </w:r>
    </w:p>
    <w:p>
      <w:r>
        <w:rPr>
          <w:b/>
        </w:rPr>
        <w:t xml:space="preserve">Auditoria de código morto e dependências. </w:t>
      </w:r>
      <w:r>
        <w:rPr>
          <w:b w:val="0"/>
        </w:rPr>
        <w:t>Verificar código sem consumidores, lógica duplicada, permissões não usadas e dependências sem finalidade. Remover apenas no âmbito da fase, com prova de impacto; registar o restante como dívida identificada.</w:t>
      </w:r>
    </w:p>
    <w:p>
      <w:r>
        <w:rPr>
          <w:b/>
        </w:rPr>
        <w:t xml:space="preserve">Defeitos e correções. </w:t>
      </w:r>
      <w:r>
        <w:rPr>
          <w:b w:val="0"/>
        </w:rPr>
        <w:t>Classificar cada ocorrência como Blocker, Critical, High, Medium ou Low. Corrigir os bloqueantes e repetir o caso que falhou e a regressão afetada. Não ampliar a bateria sem risco novo identificado. Aplicar os critérios de severidade e encerramento definidos neste documento.</w:t>
      </w:r>
    </w:p>
    <w:p>
      <w:r>
        <w:rPr>
          <w:b/>
        </w:rPr>
        <w:t xml:space="preserve">Definition of Done. </w:t>
      </w:r>
      <w:r>
        <w:rPr>
          <w:b w:val="0"/>
        </w:rPr>
        <w:t>Decisões fundamentais consistentes com o baseline e com o projeto existente. Registar versão, resultados, limitações e responsável; um teste não executado mantém-se pendente.</w:t>
      </w:r>
    </w:p>
    <w:p>
      <w:r>
        <w:rPr>
          <w:b/>
        </w:rPr>
        <w:t xml:space="preserve">Gate de aprovação explícita. </w:t>
      </w:r>
      <w:r>
        <w:rPr>
          <w:b w:val="0"/>
        </w:rPr>
        <w:t>O responsável do produto aprova ou recusa A0 por escrito, com data e evidências. Só depois começa a fase seguinte. Uma data de calendário não substitui esta aprovação.</w:t>
      </w:r>
    </w:p>
    <w:p>
      <w:pPr>
        <w:pStyle w:val="Heading2"/>
      </w:pPr>
      <w:r>
        <w:t>A1 Infraestrutura e contratos executáveis</w:t>
      </w:r>
    </w:p>
    <w:p>
      <w:r>
        <w:t>Calendário proposto: 1 a 7 de outubro de 2026. Datas condicionadas à aprovação do gate anterior.</w:t>
      </w:r>
    </w:p>
    <w:p>
      <w:r>
        <w:rPr>
          <w:b/>
        </w:rPr>
        <w:t xml:space="preserve">Entradas. </w:t>
      </w:r>
      <w:r>
        <w:rPr>
          <w:b w:val="0"/>
        </w:rPr>
        <w:t>A0 aprovado, orçamento e acesso AWS autorizado para futura execução.</w:t>
      </w:r>
    </w:p>
    <w:p>
      <w:r>
        <w:rPr>
          <w:b/>
        </w:rPr>
        <w:t xml:space="preserve">Implementação. </w:t>
      </w:r>
      <w:r>
        <w:rPr>
          <w:b w:val="0"/>
        </w:rPr>
        <w:t>Criar IaC e testes de contrato em staging; definir observabilidade sem conteúdo.</w:t>
      </w:r>
    </w:p>
    <w:p>
      <w:r>
        <w:rPr>
          <w:b/>
        </w:rPr>
        <w:t xml:space="preserve">Entregáveis. </w:t>
      </w:r>
      <w:r>
        <w:rPr>
          <w:b w:val="0"/>
        </w:rPr>
        <w:t>Plano de infraestrutura, custo base e endpoint de teste seguro.</w:t>
      </w:r>
    </w:p>
    <w:p>
      <w:r>
        <w:rPr>
          <w:b/>
        </w:rPr>
        <w:t xml:space="preserve">Testes predefinidos. </w:t>
      </w:r>
      <w:r>
        <w:rPr>
          <w:b w:val="0"/>
        </w:rPr>
        <w:t>A1T1 aplicar/detetar drift em ambiente de teste; A1T2 roles mínimos; A1T3 portas e DB privadas; A1T4 separação de ambientes.</w:t>
      </w:r>
    </w:p>
    <w:p>
      <w:r>
        <w:rPr>
          <w:b/>
        </w:rPr>
        <w:t xml:space="preserve">Auditoria de código e arquitetura, segurança, privacidade e analytics. </w:t>
      </w:r>
      <w:r>
        <w:rPr>
          <w:b w:val="0"/>
        </w:rPr>
        <w:t>Rever o diff, os contratos alterados, a autorização por recurso, a recuperação de falhas e a ausência de dados proibidos nos eventos. Guardar a conclusão e as provas por requisito.</w:t>
      </w:r>
    </w:p>
    <w:p>
      <w:r>
        <w:rPr>
          <w:b/>
        </w:rPr>
        <w:t xml:space="preserve">Auditoria de código morto e dependências. </w:t>
      </w:r>
      <w:r>
        <w:rPr>
          <w:b w:val="0"/>
        </w:rPr>
        <w:t>Verificar código sem consumidores, lógica duplicada, permissões não usadas e dependências sem finalidade. Remover apenas no âmbito da fase, com prova de impacto; registar o restante como dívida identificada.</w:t>
      </w:r>
    </w:p>
    <w:p>
      <w:r>
        <w:rPr>
          <w:b/>
        </w:rPr>
        <w:t xml:space="preserve">Defeitos e correções. </w:t>
      </w:r>
      <w:r>
        <w:rPr>
          <w:b w:val="0"/>
        </w:rPr>
        <w:t>Classificar cada ocorrência como Blocker, Critical, High, Medium ou Low. Corrigir os bloqueantes e repetir o caso que falhou e a regressão afetada. Não ampliar a bateria sem risco novo identificado. Aplicar os critérios de severidade e encerramento definidos neste documento.</w:t>
      </w:r>
    </w:p>
    <w:p>
      <w:r>
        <w:rPr>
          <w:b/>
        </w:rPr>
        <w:t xml:space="preserve">Definition of Done. </w:t>
      </w:r>
      <w:r>
        <w:rPr>
          <w:b w:val="0"/>
        </w:rPr>
        <w:t>Ambiente reproduzível e custo compreendido antes de produção. Registar versão, resultados, limitações e responsável; um teste não executado mantém-se pendente.</w:t>
      </w:r>
    </w:p>
    <w:p>
      <w:r>
        <w:rPr>
          <w:b/>
        </w:rPr>
        <w:t xml:space="preserve">Gate de aprovação explícita. </w:t>
      </w:r>
      <w:r>
        <w:rPr>
          <w:b w:val="0"/>
        </w:rPr>
        <w:t>O responsável do produto aprova ou recusa A1 por escrito, com data e evidências. Só depois começa a fase seguinte. Uma data de calendário não substitui esta aprovação.</w:t>
      </w:r>
    </w:p>
    <w:p>
      <w:pPr>
        <w:pStyle w:val="Heading2"/>
      </w:pPr>
      <w:r>
        <w:t>A2 Consistência e resistência a falhas</w:t>
      </w:r>
    </w:p>
    <w:p>
      <w:r>
        <w:t>Calendário proposto: 8 a 21 de outubro de 2026. Datas condicionadas à aprovação do gate anterior.</w:t>
      </w:r>
    </w:p>
    <w:p>
      <w:r>
        <w:rPr>
          <w:b/>
        </w:rPr>
        <w:t xml:space="preserve">Entradas. </w:t>
      </w:r>
      <w:r>
        <w:rPr>
          <w:b w:val="0"/>
        </w:rPr>
        <w:t>A1 aprovado e módulos V1 a V3 em desenvolvimento.</w:t>
      </w:r>
    </w:p>
    <w:p>
      <w:r>
        <w:rPr>
          <w:b/>
        </w:rPr>
        <w:t xml:space="preserve">Implementação. </w:t>
      </w:r>
      <w:r>
        <w:rPr>
          <w:b w:val="0"/>
        </w:rPr>
        <w:t>Concretizar transações, outbox, idempotência, conflitos e migrações.</w:t>
      </w:r>
    </w:p>
    <w:p>
      <w:r>
        <w:rPr>
          <w:b/>
        </w:rPr>
        <w:t xml:space="preserve">Entregáveis. </w:t>
      </w:r>
      <w:r>
        <w:rPr>
          <w:b w:val="0"/>
        </w:rPr>
        <w:t>Diagramas de sequência no repositório e provas de falha controlada.</w:t>
      </w:r>
    </w:p>
    <w:p>
      <w:r>
        <w:rPr>
          <w:b/>
        </w:rPr>
        <w:t xml:space="preserve">Testes predefinidos. </w:t>
      </w:r>
      <w:r>
        <w:rPr>
          <w:b w:val="0"/>
        </w:rPr>
        <w:t>A2T1 concorrência de quota; A2T2 crash após envio; A2T3 conflitos offline; A2T4 fornecedor indisponível; A2T5 dados proibidos rejeitados.</w:t>
      </w:r>
    </w:p>
    <w:p>
      <w:r>
        <w:rPr>
          <w:b/>
        </w:rPr>
        <w:t xml:space="preserve">Auditoria de código e arquitetura, segurança, privacidade e analytics. </w:t>
      </w:r>
      <w:r>
        <w:rPr>
          <w:b w:val="0"/>
        </w:rPr>
        <w:t>Rever o diff, os contratos alterados, a autorização por recurso, a recuperação de falhas e a ausência de dados proibidos nos eventos. Guardar a conclusão e as provas por requisito.</w:t>
      </w:r>
    </w:p>
    <w:p>
      <w:r>
        <w:rPr>
          <w:b/>
        </w:rPr>
        <w:t xml:space="preserve">Auditoria de código morto e dependências. </w:t>
      </w:r>
      <w:r>
        <w:rPr>
          <w:b w:val="0"/>
        </w:rPr>
        <w:t>Verificar código sem consumidores, lógica duplicada, permissões não usadas e dependências sem finalidade. Remover apenas no âmbito da fase, com prova de impacto; registar o restante como dívida identificada.</w:t>
      </w:r>
    </w:p>
    <w:p>
      <w:r>
        <w:rPr>
          <w:b/>
        </w:rPr>
        <w:t xml:space="preserve">Defeitos e correções. </w:t>
      </w:r>
      <w:r>
        <w:rPr>
          <w:b w:val="0"/>
        </w:rPr>
        <w:t>Classificar cada ocorrência como Blocker, Critical, High, Medium ou Low. Corrigir os bloqueantes e repetir o caso que falhou e a regressão afetada. Não ampliar a bateria sem risco novo identificado. Aplicar os critérios de severidade e encerramento definidos neste documento.</w:t>
      </w:r>
    </w:p>
    <w:p>
      <w:r>
        <w:rPr>
          <w:b/>
        </w:rPr>
        <w:t xml:space="preserve">Definition of Done. </w:t>
      </w:r>
      <w:r>
        <w:rPr>
          <w:b w:val="0"/>
        </w:rPr>
        <w:t>Não há perda silenciosa, quota sem limite ou fallback de IA não autorizado. Registar versão, resultados, limitações e responsável; um teste não executado mantém-se pendente.</w:t>
      </w:r>
    </w:p>
    <w:p>
      <w:r>
        <w:rPr>
          <w:b/>
        </w:rPr>
        <w:t xml:space="preserve">Gate de aprovação explícita. </w:t>
      </w:r>
      <w:r>
        <w:rPr>
          <w:b w:val="0"/>
        </w:rPr>
        <w:t>O responsável do produto aprova ou recusa A2 por escrito, com data e evidências. Só depois começa a fase seguinte. Uma data de calendário não substitui esta aprovação.</w:t>
      </w:r>
    </w:p>
    <w:p>
      <w:pPr>
        <w:pStyle w:val="Heading2"/>
      </w:pPr>
      <w:r>
        <w:t>A3 Operação e release</w:t>
      </w:r>
    </w:p>
    <w:p>
      <w:r>
        <w:t>Calendário proposto: 22 de outubro a 10 de novembro de 2026. Datas condicionadas à aprovação do gate anterior.</w:t>
      </w:r>
    </w:p>
    <w:p>
      <w:r>
        <w:rPr>
          <w:b/>
        </w:rPr>
        <w:t xml:space="preserve">Entradas. </w:t>
      </w:r>
      <w:r>
        <w:rPr>
          <w:b w:val="0"/>
        </w:rPr>
        <w:t>A2 aprovado e candidatos integrados.</w:t>
      </w:r>
    </w:p>
    <w:p>
      <w:r>
        <w:rPr>
          <w:b/>
        </w:rPr>
        <w:t xml:space="preserve">Implementação. </w:t>
      </w:r>
      <w:r>
        <w:rPr>
          <w:b w:val="0"/>
        </w:rPr>
        <w:t>Exercitar recuperação, rollback, carga e suporte; rever arquitetura final contra requisitos.</w:t>
      </w:r>
    </w:p>
    <w:p>
      <w:r>
        <w:rPr>
          <w:b/>
        </w:rPr>
        <w:t xml:space="preserve">Entregáveis. </w:t>
      </w:r>
      <w:r>
        <w:rPr>
          <w:b w:val="0"/>
        </w:rPr>
        <w:t>Runbooks, provas RPO/RTO, inventário de chaves e decisão de prontidão.</w:t>
      </w:r>
    </w:p>
    <w:p>
      <w:r>
        <w:rPr>
          <w:b/>
        </w:rPr>
        <w:t xml:space="preserve">Testes predefinidos. </w:t>
      </w:r>
      <w:r>
        <w:rPr>
          <w:b w:val="0"/>
        </w:rPr>
        <w:t>A3T1 restauro; A3T2 eliminação reaplicada; A3T3 retrocompatibilidade; A3T4 auditoria de região/custos/acessos.</w:t>
      </w:r>
    </w:p>
    <w:p>
      <w:r>
        <w:rPr>
          <w:b/>
        </w:rPr>
        <w:t xml:space="preserve">Auditoria de código e arquitetura, segurança, privacidade e analytics. </w:t>
      </w:r>
      <w:r>
        <w:rPr>
          <w:b w:val="0"/>
        </w:rPr>
        <w:t>Rever o diff, os contratos alterados, a autorização por recurso, a recuperação de falhas e a ausência de dados proibidos nos eventos. Guardar a conclusão e as provas por requisito.</w:t>
      </w:r>
    </w:p>
    <w:p>
      <w:r>
        <w:rPr>
          <w:b/>
        </w:rPr>
        <w:t xml:space="preserve">Auditoria de código morto e dependências. </w:t>
      </w:r>
      <w:r>
        <w:rPr>
          <w:b w:val="0"/>
        </w:rPr>
        <w:t>Verificar código sem consumidores, lógica duplicada, permissões não usadas e dependências sem finalidade. Remover apenas no âmbito da fase, com prova de impacto; registar o restante como dívida identificada.</w:t>
      </w:r>
    </w:p>
    <w:p>
      <w:r>
        <w:rPr>
          <w:b/>
        </w:rPr>
        <w:t xml:space="preserve">Defeitos e correções. </w:t>
      </w:r>
      <w:r>
        <w:rPr>
          <w:b w:val="0"/>
        </w:rPr>
        <w:t>Classificar cada ocorrência como Blocker, Critical, High, Medium ou Low. Corrigir os bloqueantes e repetir o caso que falhou e a regressão afetada. Não ampliar a bateria sem risco novo identificado. Aplicar os critérios de severidade e encerramento definidos neste documento.</w:t>
      </w:r>
    </w:p>
    <w:p>
      <w:r>
        <w:rPr>
          <w:b/>
        </w:rPr>
        <w:t xml:space="preserve">Definition of Done. </w:t>
      </w:r>
      <w:r>
        <w:rPr>
          <w:b w:val="0"/>
        </w:rPr>
        <w:t>Arquitetura demonstrada nas condições de release; Trust completo segue A4. Registar versão, resultados, limitações e responsável; um teste não executado mantém-se pendente.</w:t>
      </w:r>
    </w:p>
    <w:p>
      <w:r>
        <w:rPr>
          <w:b/>
        </w:rPr>
        <w:t xml:space="preserve">Gate de aprovação explícita. </w:t>
      </w:r>
      <w:r>
        <w:rPr>
          <w:b w:val="0"/>
        </w:rPr>
        <w:t>O responsável do produto aprova ou recusa A3 por escrito, com data e evidências. Só depois começa a fase seguinte. Uma data de calendário não substitui esta aprovação.</w:t>
      </w:r>
    </w:p>
    <w:p>
      <w:pPr>
        <w:pStyle w:val="Heading2"/>
      </w:pPr>
      <w:r>
        <w:t>A4 Confiança PhotoProof</w:t>
      </w:r>
    </w:p>
    <w:p>
      <w:r>
        <w:t>Calendário proposto: sem data aprovada, a calendarizar no lote próprio. Datas condicionadas à aprovação do gate anterior.</w:t>
      </w:r>
    </w:p>
    <w:p>
      <w:r>
        <w:rPr>
          <w:b/>
        </w:rPr>
        <w:t xml:space="preserve">Entradas. </w:t>
      </w:r>
      <w:r>
        <w:rPr>
          <w:b w:val="0"/>
        </w:rPr>
        <w:t>A3 aprovado e TSA/política de trust selecionadas.</w:t>
      </w:r>
    </w:p>
    <w:p>
      <w:r>
        <w:rPr>
          <w:b/>
        </w:rPr>
        <w:t xml:space="preserve">Implementação. </w:t>
      </w:r>
      <w:r>
        <w:rPr>
          <w:b w:val="0"/>
        </w:rPr>
        <w:t>Validar o encadeamento entre original, manifesto, selo, timestamp, attestation e publicação.</w:t>
      </w:r>
    </w:p>
    <w:p>
      <w:r>
        <w:rPr>
          <w:b/>
        </w:rPr>
        <w:t xml:space="preserve">Entregáveis. </w:t>
      </w:r>
      <w:r>
        <w:rPr>
          <w:b w:val="0"/>
        </w:rPr>
        <w:t>Contrato de evidence package e fixtures interoperáveis; política de chaves/revogação.</w:t>
      </w:r>
    </w:p>
    <w:p>
      <w:r>
        <w:rPr>
          <w:b/>
        </w:rPr>
        <w:t xml:space="preserve">Testes predefinidos. </w:t>
      </w:r>
      <w:r>
        <w:rPr>
          <w:b w:val="0"/>
        </w:rPr>
        <w:t>A4T1 manifesto canónico entre plataformas; A4T2 token inválido; A4T3 cadeia ausente; A4T4 verificador offline/online com estados distintos.</w:t>
      </w:r>
    </w:p>
    <w:p>
      <w:r>
        <w:rPr>
          <w:b/>
        </w:rPr>
        <w:t xml:space="preserve">Auditoria de código e arquitetura, segurança, privacidade e analytics. </w:t>
      </w:r>
      <w:r>
        <w:rPr>
          <w:b w:val="0"/>
        </w:rPr>
        <w:t>Rever o diff, os contratos alterados, a autorização por recurso, a recuperação de falhas e a ausência de dados proibidos nos eventos. Guardar a conclusão e as provas por requisito.</w:t>
      </w:r>
    </w:p>
    <w:p>
      <w:r>
        <w:rPr>
          <w:b/>
        </w:rPr>
        <w:t xml:space="preserve">Auditoria de código morto e dependências. </w:t>
      </w:r>
      <w:r>
        <w:rPr>
          <w:b w:val="0"/>
        </w:rPr>
        <w:t>Verificar código sem consumidores, lógica duplicada, permissões não usadas e dependências sem finalidade. Remover apenas no âmbito da fase, com prova de impacto; registar o restante como dívida identificada.</w:t>
      </w:r>
    </w:p>
    <w:p>
      <w:r>
        <w:rPr>
          <w:b/>
        </w:rPr>
        <w:t xml:space="preserve">Defeitos e correções. </w:t>
      </w:r>
      <w:r>
        <w:rPr>
          <w:b w:val="0"/>
        </w:rPr>
        <w:t>Classificar cada ocorrência como Blocker, Critical, High, Medium ou Low. Corrigir os bloqueantes e repetir o caso que falhou e a regressão afetada. Não ampliar a bateria sem risco novo identificado. Aplicar os critérios de severidade e encerramento definidos neste documento.</w:t>
      </w:r>
    </w:p>
    <w:p>
      <w:r>
        <w:rPr>
          <w:b/>
        </w:rPr>
        <w:t xml:space="preserve">Definition of Done. </w:t>
      </w:r>
      <w:r>
        <w:rPr>
          <w:b w:val="0"/>
        </w:rPr>
        <w:t>Níveis de confiança expostos sem afirmações além da prova disponível. Registar versão, resultados, limitações e responsável; um teste não executado mantém-se pendente.</w:t>
      </w:r>
    </w:p>
    <w:p>
      <w:r>
        <w:rPr>
          <w:b/>
        </w:rPr>
        <w:t xml:space="preserve">Gate de aprovação explícita. </w:t>
      </w:r>
      <w:r>
        <w:rPr>
          <w:b w:val="0"/>
        </w:rPr>
        <w:t>O responsável do produto aprova ou recusa A4 por escrito, com data e evidências. Só depois começa a fase seguinte. Uma data de calendário não substitui esta aprovação.</w:t>
      </w:r>
    </w:p>
    <w:p>
      <w:pPr>
        <w:pStyle w:val="Heading1"/>
      </w:pPr>
      <w:r>
        <w:t>Método de execução e critérios de encerramento</w:t>
      </w:r>
    </w:p>
    <w:p>
      <w:r>
        <w:rPr>
          <w:b w:val="0"/>
        </w:rPr>
        <w:t>Cada fase segue a mesma sequência obrigatória: Inputs → Implementation → Deliverables → testes predefinidos → auditoria de código e arquitetura, segurança, privacidade e analytics → auditoria de código morto, duplicação e dependências não usadas → classificação dos defeitos → correções → Definition of Done → aprovação explícita → fase seguinte. Os cartões de fase deste documento concretizam as entradas, as saídas e os ensaios. As datas são metas de planeamento e não autorizam a passagem de um gate.</w:t>
      </w:r>
    </w:p>
    <w:p>
      <w:r>
        <w:rPr>
          <w:b w:val="0"/>
        </w:rPr>
        <w:t>Antes de escrever código, congelar o conjunto de aceitação da fase. Cada teste contém identificador, requisito, preparação, ação, resultado esperado, plataforma, dados de teste e responsável. Usar dados sintéticos. A prova guarda versão/commit, ambiente, data, resultado e ligação ao defeito, sem conteúdo pessoal. Uma simulação comprova o contrato simulado e não a disponibilidade do fornecedor.</w:t>
      </w:r>
    </w:p>
    <w:p>
      <w:r>
        <w:rPr>
          <w:b w:val="0"/>
        </w:rPr>
        <w:t>Uma auditoria de código e arquitetura revê limites dos módulos, fluxos de dados, migrações, compatibilidade e tratamento de falhas. A auditoria de segurança verifica autorização, isolamento, validação de entrada, segredos, dependências e configuração. A de privacidade percorre recolha, finalidade, retenção, exportação e eliminação. A de analytics verifica o evento efetivamente emitido e os filtros do servidor, incluindo a ausência de payloads sensíveis. A revisão de manutenção identifica caminhos mortos, funções repetidas, dependências e permissões sem consumidor. Nenhuma destas revisões é substituída por uma contagem de testes.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14"/>
        <w:gridCol w:w="4000"/>
        <w:gridCol w:w="3810"/>
      </w:tblGrid>
      <w:tr>
        <w:trPr>
          <w:cantSplit/>
          <w:tblHeader/>
        </w:trPr>
        <w:tc>
          <w:tcPr>
            <w:tcW w:type="dxa" w:w="1714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400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Critério operacional</w:t>
            </w:r>
          </w:p>
        </w:tc>
        <w:tc>
          <w:tcPr>
            <w:tcW w:type="dxa" w:w="381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Regra do gate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Blocker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Impede avaliar a fase, requisito essencial ausente ou ausência de prova indispensável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Não aprovar a fase afetada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Exposição de segredos ou de dados entre utilizadores, corrupção irreversível, comprometimento de assinatura ou confiança falsa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Corrigir e confirmar a regressão antes da aprovação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Função essencial insegura ou inutilizável, quota contornável, perda recuperável de dados ou privacidade incorreta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Fechar antes do gate de release e antes de qualquer fase que dependa da função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Falha com alternativa segura e impacto limitado, sem violação de segurança ou privacidade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Corrigir ou aceitar por escrito com responsável, prazo e controlo compensatório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Problema de apresentação ou manutenção sem efeito relevante no resultado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Corrigir ou registar no backlog com decisão explícita</w:t>
            </w:r>
          </w:p>
        </w:tc>
      </w:tr>
    </w:tbl>
    <w:p>
      <w:pPr>
        <w:spacing w:after="40"/>
      </w:pPr>
    </w:p>
    <w:p>
      <w:r>
        <w:rPr>
          <w:b w:val="0"/>
        </w:rPr>
        <w:t>Os defeitos são registos únicos com estado aberto, em correção, a verificar ou encerrado. Um defeito reaberto conserva o identificador. A aceitação de risco não transforma um teste falhado em aprovado. Segurança, isolamento, perda de evidência, exatidão numérica e declarações legais falsas não são rebaixados para cumprir a data.</w:t>
      </w:r>
    </w:p>
    <w:p>
      <w:r>
        <w:rPr>
          <w:b w:val="0"/>
        </w:rPr>
        <w:t>Para evitar uma espiral de testes, executar a bateria acordada uma vez por candidato. Após correções, repetir os casos que falharam e a regressão das áreas afetadas. Só acrescentar um teste se existir requisito omitido, defeito novo ou alteração de comportamento que o justifique. Se o mesmo gate continuar a falhar após duas rondas focadas de correção, parar a expansão do âmbito, identificar a causa e apresentar uma decisão de correção ou replaneamento. Este limite não permite publicar defeitos impeditivos.</w:t>
      </w:r>
    </w:p>
    <w:p>
      <w:r>
        <w:rPr>
          <w:b w:val="0"/>
        </w:rPr>
        <w:t>O dossier de gate inclui a lista de entregáveis e hashes, resultados pass/fail/pending/not applicable, parecer das auditorias, defeitos e decisões de risco, rollback quando aplicável, responsável e data. Pending Hardware tem uma justificação e uma janela de reexecução; nunca se converte automaticamente em pass. Aprovação escrita deve indicar documento, fase, versão e âmbito aprovado. A Direção aprova o âmbito e o risco; uma segunda pessoa qualificada é recomendada para segurança, engenharia e direito quando a matéria o exigir.</w:t>
      </w:r>
    </w:p>
    <w:p>
      <w:pPr>
        <w:pStyle w:val="Heading1"/>
      </w:pPr>
      <w:r>
        <w:t>Calendário integrado e dependências</w:t>
      </w:r>
    </w:p>
    <w:p>
      <w:r>
        <w:t>A meta inicial aprovada é 10 de novembro de 2026: dia 45 numa contagem inclusiva iniciada em 27 de setembro. O primeiro lote inclui Vision Field Report, o Core necessário, Vision Cloud Services, VisionWorldApps.com e as integrações necessárias com o Backoffice existente. A aplicação comercial do lote é o Field Report. Exige pacotes finais, testes e auditorias concluídos, operação preparada e dossier de submissão. Prever o envio elegível entre 6 e 10 de novembro; distinguir pacote pronto, submissão efetuada e aprovação da loja. O calendário detalhado por produto e burocracia está no documento 08 Calendário do primeiro lote de 45 dias, em Release Management. Datas em Asia/Riyadh; sistemas em UTC; Backoffice conserva os horários operacionais de Lisboa.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14"/>
        <w:gridCol w:w="4000"/>
        <w:gridCol w:w="3810"/>
      </w:tblGrid>
      <w:tr>
        <w:trPr>
          <w:cantSplit/>
          <w:tblHeader/>
        </w:trPr>
        <w:tc>
          <w:tcPr>
            <w:tcW w:type="dxa" w:w="1714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Janela em 2026</w:t>
            </w:r>
          </w:p>
        </w:tc>
        <w:tc>
          <w:tcPr>
            <w:tcW w:type="dxa" w:w="400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381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Dependência e decisão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27 a 30 de setembro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Aprovar requisitos, catálogo de inspeções, fontes de normas, dados e contratos; iniciar preparação das contas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Resolver lacunas do baseline e inventário AWS antes dos gates dependentes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1 a 7 de outubro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Core local, identidade mínima e contratos Cloud em ambiente de teste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Aprovação de arquitetura e armazenamento seguro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8 a 14 de outubro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Report com findings, medições e evidência; beta Android utilizável; quotas e entitlements Cloud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Dados estruturados e autorização por recurso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15 a 21 de outubro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Beta fechada em 15 de outubro; concluir Standards, quotas, configuração, suporte, analytics e website em staging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Gate de beta até 14 de outubro; versões finais entram no teste com feedback registado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22 a 29 de outubro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Integração, hardening e candidato completo Windows/Android; conteúdo legal e operação finalizados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Em 29 de outubro, confirmar 14 dias e prontidão antes do pedido de acesso à produção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30 a 31 de outubro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Reserva para defeitos e dossier; receção/configuração do Mac se disponível; marco próprio do Backoffice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Mac previsto para o fim do mês, sem data de entrega confirmada; Apple Pending Hardware até testes reais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1 a 5 de novembro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Build, testes físicos, assinatura e validação Apple; correções com âmbito controlado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Mac, Xcode, dispositivos e Apple Developer disponíveis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6 a 9 de novembro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Auditoria final, restauro, rollback, eliminação e submissões elegíveis após aprovação por plataforma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Dossier completo e contas habilitadas; registar recibos de submissão e pendências externas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10 de novembro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Dia 45 e gate de prontidão do lote para deployment e submissão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sz w:val="18"/>
              </w:rPr>
              <w:t>Produto aprova por plataforma; aprovação externa e publicação têm estados separados</w:t>
            </w:r>
          </w:p>
        </w:tc>
      </w:tr>
    </w:tbl>
    <w:p>
      <w:pPr>
        <w:spacing w:after="40"/>
      </w:pPr>
    </w:p>
    <w:p>
      <w:r>
        <w:t>Para uma conta Google pessoal abrangida pela regra, planear o teste fechado de 15 a 29 de outubro. A beta utilizável exige aprovação interna até 14 de outubro. O alvo é ter pelo menos 12 testers elegíveis com opt-in contínuo desde 15 de outubro às 10h00 de Riyadh; completar 14 períodos de 24 horas em 29 de outubro às 10h00. Confirmar a hora real e a elegibilidade na Play Console. A beta recebe as funções finais e correções durante o teste; só pedir acesso à produção quando o candidato completo estiver pronto e o feedback tratado. Pedido alvo em 29 de outubro após G4; reservar até 5 de novembro para a análise, que pode demorar mais. Manter testes e acompanhamento durante a revisão. O cumprimento temporal não garante aprovação. Se faltar acesso à produção, registar pacote pronto com acesso pendente; não declarar submissão de produção.</w:t>
      </w:r>
    </w:p>
    <w:p>
      <w:r>
        <w:t>As datas comerciais anteriormente propostas para PhotoProof e Field Calc ficam retiradas por não terem aprovação. Estes produtos conservam os seus PRDs e a sequência de fases, com implementação comercial a calendarizar num lote próprio. Até 10 de novembro apenas se consolidam os contratos e componentes reutilizáveis previstos, sem apresentar essas apps como prontas para o mercado. O verificador PhotoProof só entra em produção após aprovação de Trust e PhotoProof. Esta decisão preserva a composição e a data do primeiro lote aprovadas pelo responsável.</w:t>
      </w:r>
    </w:p>
    <w:p>
      <w:r>
        <w:rPr>
          <w:b w:val="0"/>
        </w:rPr>
        <w:t>A carga do Backoffice já tem uma meta anterior de 31 de outubro e não tem uma semana inteira de folga. Este calendário é uma meta condicionada à capacidade disponível, e não uma estimativa validada de esforço para uma única pessoa executar todos os produtos em simultâneo. Até 30 de setembro, registar horas disponíveis, trabalho restante e responsáveis; até 7 de outubro, confrontar a velocidade real com o caminho crítico. Se não houver capacidade, manter a prioridade do conjunto de 10 de novembro e apresentar alterações de prazo ou âmbito à Direção. Não retirar tipos de inspeção, controles de segurança ou funções essenciais sem aprovação.</w:t>
      </w:r>
    </w:p>
    <w:p>
      <w:pPr>
        <w:pStyle w:val="Heading1"/>
      </w:pPr>
      <w:r>
        <w:t>Registo de decisões e referências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14"/>
        <w:gridCol w:w="4000"/>
        <w:gridCol w:w="3810"/>
      </w:tblGrid>
      <w:tr>
        <w:trPr>
          <w:cantSplit/>
          <w:tblHeader/>
        </w:trPr>
        <w:tc>
          <w:tcPr>
            <w:tcW w:type="dxa" w:w="1714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ADR</w:t>
            </w:r>
          </w:p>
        </w:tc>
        <w:tc>
          <w:tcPr>
            <w:tcW w:type="dxa" w:w="400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Decisão proposta</w:t>
            </w:r>
          </w:p>
        </w:tc>
        <w:tc>
          <w:tcPr>
            <w:tcW w:type="dxa" w:w="3810"/>
            <w:vAlign w:val="center"/>
            <w:shd w:fill="203D5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/>
                <w:color w:val="FFFFFF"/>
                <w:sz w:val="18"/>
              </w:rPr>
              <w:t>Condição para fechar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ADR 01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Backend modular em serviço separado do Backoffice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Aprovação técnica e custo em A0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ADR 02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Fonte única de quotas das apps no Cloud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Contrato com gateway interno Backoffice sem duplicação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ADR 03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Frankfurt para dados e processamento sensível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Inventário de todos os fluxos e compatibilidade real do modelo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ADR 04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Dados locais primeiro e sync seletivo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Modelo de conflitos e eliminação validado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ADR 05</w:t>
            </w:r>
          </w:p>
        </w:tc>
        <w:tc>
          <w:tcPr>
            <w:tcW w:type="dxa" w:w="40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Manifesto selado e envelope de trust separados</w:t>
            </w:r>
          </w:p>
        </w:tc>
        <w:tc>
          <w:tcPr>
            <w:tcW w:type="dxa" w:w="381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Fixtures e canonicalização estáveis</w:t>
            </w:r>
          </w:p>
        </w:tc>
      </w:tr>
      <w:tr>
        <w:trPr>
          <w:cantSplit/>
        </w:trPr>
        <w:tc>
          <w:tcPr>
            <w:tcW w:type="dxa" w:w="1714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ADR 06</w:t>
            </w:r>
          </w:p>
        </w:tc>
        <w:tc>
          <w:tcPr>
            <w:tcW w:type="dxa" w:w="400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BYO direto com segredo local</w:t>
            </w:r>
          </w:p>
        </w:tc>
        <w:tc>
          <w:tcPr>
            <w:tcW w:type="dxa" w:w="3810"/>
            <w:vAlign w:val="center"/>
            <w:shd w:fill="F1F5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Matriz de plataformas e provedores compatíveis</w:t>
            </w:r>
          </w:p>
        </w:tc>
      </w:tr>
    </w:tbl>
    <w:p>
      <w:pPr>
        <w:spacing w:after="40"/>
      </w:pPr>
    </w:p>
    <w:p>
      <w:r>
        <w:rPr>
          <w:b w:val="0"/>
        </w:rPr>
        <w:t>Referências consultadas em 27 de setembro de 2026: RFC3161 e atualização RFC5816 — https://www.rfc-editor.org/rfc/rfc3161 ; canonicalização JSON — https://www.rfc-editor.org/rfc/rfc8785 ; Play Integrity — https://developer.android.com/google/play/integrity/overview ; App Attest — https://developer.apple.com/documentation/devicecheck/establishing-your-app-s-integrity ; Bedrock e regiões — https://docs.aws.amazon.com/bedrock/latest/userguide/cross-region-inference.html .</w:t>
      </w:r>
    </w:p>
    <w:sectPr w:rsidR="00FC693F" w:rsidRPr="0006063C" w:rsidSect="00034616">
      <w:footerReference w:type="default" r:id="rId9"/>
      <w:pgSz w:w="12240" w:h="15840"/>
      <w:pgMar w:top="1049" w:right="1191" w:bottom="1049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Vision World Apps  |  01A  |  v1.1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2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Cloud Services Arquitetura do sistema e contratos de integração</dc:title>
  <dc:subject>Arquitetura do sistema e contratos de integração</dc:subject>
  <dc:creator>Vision World Apps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pt-PT</dc:language>
  <cp:version>1.1</cp:version>
</cp:coreProperties>
</file>