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Vision Field Tools Core</w:t>
      </w:r>
    </w:p>
    <w:p>
      <w:pPr>
        <w:pStyle w:val="Subtitle"/>
      </w:pPr>
      <w:r>
        <w:t>Requisitos dos componentes partilhados em Flutter e Dart</w:t>
      </w:r>
    </w:p>
    <w:p>
      <w:r>
        <w:t>Versão 1.1  |  27 de setembro de 2026  |  Português de Portugal</w:t>
      </w:r>
    </w:p>
    <w:p>
      <w:r>
        <w:t>Destinatário e responsável pela aprovação: Direção do projeto Vision World Apps. Documento de especificação para revisão e execução faseada. A aprovação do documento e de cada fase fica registada separadamente. Revisão de calendário: primeiro lote até 10 de novembro de 2026; fases e aprovações continuam por executar.</w:t>
      </w:r>
    </w:p>
    <w:p>
      <w:pPr>
        <w:pStyle w:val="Heading1"/>
      </w:pPr>
      <w:r>
        <w:t>Conteúdo</w:t>
      </w:r>
    </w:p>
    <w:p>
      <w:pPr>
        <w:pStyle w:val="BodyText"/>
      </w:pPr>
      <w:r>
        <w:t>01  Finalidade e limites do Core</w:t>
      </w:r>
    </w:p>
    <w:p>
      <w:pPr>
        <w:pStyle w:val="BodyText"/>
      </w:pPr>
      <w:r>
        <w:t>02  Baseline e fronteiras de responsabilidade</w:t>
      </w:r>
    </w:p>
    <w:p>
      <w:pPr>
        <w:pStyle w:val="BodyText"/>
      </w:pPr>
      <w:r>
        <w:t>03  Organização de módulos e dependências</w:t>
      </w:r>
    </w:p>
    <w:p>
      <w:pPr>
        <w:pStyle w:val="BodyText"/>
      </w:pPr>
      <w:r>
        <w:t>04  Persistência e proteção local</w:t>
      </w:r>
    </w:p>
    <w:p>
      <w:pPr>
        <w:pStyle w:val="BodyText"/>
      </w:pPr>
      <w:r>
        <w:t>05  Identidade autoria e isolamento</w:t>
      </w:r>
    </w:p>
    <w:p>
      <w:pPr>
        <w:pStyle w:val="BodyText"/>
      </w:pPr>
      <w:r>
        <w:t>06  Medições unidades e precisão</w:t>
      </w:r>
    </w:p>
    <w:p>
      <w:pPr>
        <w:pStyle w:val="BodyText"/>
      </w:pPr>
      <w:r>
        <w:t>07  Evidência e Standards partilhados</w:t>
      </w:r>
    </w:p>
    <w:p>
      <w:pPr>
        <w:pStyle w:val="BodyText"/>
      </w:pPr>
      <w:r>
        <w:t>08  Rede sincronização e falhas</w:t>
      </w:r>
    </w:p>
    <w:p>
      <w:pPr>
        <w:pStyle w:val="BodyText"/>
      </w:pPr>
      <w:r>
        <w:t>09  Exportação e componentes de interface</w:t>
      </w:r>
    </w:p>
    <w:p>
      <w:pPr>
        <w:pStyle w:val="BodyText"/>
      </w:pPr>
      <w:r>
        <w:t>10  Privacidade e analytics por desenho</w:t>
      </w:r>
    </w:p>
    <w:p>
      <w:pPr>
        <w:pStyle w:val="BodyText"/>
      </w:pPr>
      <w:r>
        <w:t>11  Matriz de plataformas</w:t>
      </w:r>
    </w:p>
    <w:p>
      <w:pPr>
        <w:pStyle w:val="BodyText"/>
      </w:pPr>
      <w:r>
        <w:t>12  Testes de contrato e qualidade</w:t>
      </w:r>
    </w:p>
    <w:p>
      <w:pPr>
        <w:pStyle w:val="BodyText"/>
      </w:pPr>
      <w:r>
        <w:t>13  Fases sequenciais do Core</w:t>
      </w:r>
    </w:p>
    <w:p>
      <w:pPr>
        <w:pStyle w:val="BodyText"/>
      </w:pPr>
      <w:r>
        <w:t>14  Método de execução e critérios de encerramento</w:t>
      </w:r>
    </w:p>
    <w:p>
      <w:pPr>
        <w:pStyle w:val="BodyText"/>
      </w:pPr>
      <w:r>
        <w:t>15  Calendário integrado e dependências</w:t>
      </w:r>
    </w:p>
    <w:p>
      <w:pPr>
        <w:pStyle w:val="BodyText"/>
      </w:pPr>
      <w:r>
        <w:t>16  Aceitação de release e operação</w:t>
      </w:r>
    </w:p>
    <w:p>
      <w:pPr>
        <w:pStyle w:val="BodyText"/>
      </w:pPr>
      <w:r>
        <w:t>17  Decisões a fechar e fontes</w:t>
      </w:r>
    </w:p>
    <w:p>
      <w:r>
        <w:br w:type="page"/>
      </w:r>
    </w:p>
    <w:p>
      <w:pPr>
        <w:pStyle w:val="Heading1"/>
      </w:pPr>
      <w:r>
        <w:t>Finalidade e limites do Core</w:t>
      </w:r>
    </w:p>
    <w:p>
      <w:r>
        <w:rPr>
          <w:b w:val="0"/>
        </w:rPr>
        <w:t>Vision Field Tools Core é o conjunto de bibliotecas Flutter/Dart usado pelas três aplicações de campo. Reúne persistência local, segurança, identidade opcional, contratos Cloud, unidades, evidência, sincronização, exportação, analytics e componentes de interface comuns. O objetivo é reduzir divergências de comportamento entre produtos sem transferir para uma biblioteca genérica todas as regras de inspeção, prova ou cálculo.</w:t>
      </w:r>
    </w:p>
    <w:p>
      <w:r>
        <w:rPr>
          <w:b w:val="0"/>
        </w:rPr>
        <w:t>Até 10 de novembro de 2026, o Core entrega apenas a capacidade necessária ao Field Report e aos contratos futuros. O motor de confiança completo do PhotoProof e o catálogo completo de fórmulas do Calc entram nas fases posteriores dos respetivos produtos. Não criar abstrações sem consumidor real nem fazer o Report esperar pela implementação integral das outras apps.</w:t>
      </w:r>
    </w:p>
    <w:p>
      <w:r>
        <w:rPr>
          <w:b w:val="0"/>
        </w:rPr>
        <w:t>Um pacote Core não é uma app separada, uma conta comercial nem um backend. Deve poder ser testado com fakes locais, respeitando os mesmos contratos de erro e privacidade das implementações reais. O código de produção nunca depende dos servidores de desenvolvimento do PC ou de modelos locais.</w:t>
      </w:r>
    </w:p>
    <w:p>
      <w:pPr>
        <w:pStyle w:val="Heading1"/>
      </w:pPr>
      <w:r>
        <w:t>Baseline e fronteiras de responsabilidade</w:t>
      </w:r>
    </w:p>
    <w:p>
      <w:r>
        <w:rPr>
          <w:b w:val="0"/>
        </w:rPr>
        <w:t>As aplicações partilham Flutter e Dart. O Windows 11 com Claude Code é o ambiente principal. Os PCs e os modelos locais são usados em desenvolvimento e testes; não recebem pedidos de produção, não guardam uma cópia operacional necessária ao serviço e não são uma rota de recuperação de produção. Supabase e Vercel estão excluídos.</w:t>
      </w:r>
    </w:p>
    <w:p>
      <w:r>
        <w:rPr>
          <w:b w:val="0"/>
        </w:rPr>
        <w:t>Os serviços de produção residem na AWS em Frankfurt, eu-central-1. A configuração da região, das cópias de segurança e do processamento deve ser demonstrada por ambiente. Um perfil Bedrock com prefixo europeu não demonstra, por si só, processamento exclusivamente em Frankfurt. Até comprovar a rota compatível e já contratada, a funcionalidade Managed AI mantém o modo sem IA.</w:t>
      </w:r>
    </w:p>
    <w:p>
      <w:r>
        <w:rPr>
          <w:b w:val="0"/>
        </w:rPr>
        <w:t>Vision Managed AI utiliza exclusivamente a IA já contratada na AWS. O Vision Cloud Services é responsável pela admissão dos pedidos das apps, quotas, reservas de custo, consumo e interrupção por orçamento. A autorização de modelos exige inventário real da conta, acesso, preço, região e quota; o PRD não autoriza novas subscrições ou fornecedores. A IA usada internamente pelo Backoffice conserva o seu controlo próprio até uma integração aprovada, evitando duas cobranças para a mesma operação.</w:t>
      </w:r>
    </w:p>
    <w:p>
      <w:r>
        <w:rPr>
          <w:b w:val="0"/>
        </w:rPr>
        <w:t>BYO é uma escolha explícita do utilizador, separada de Managed AI. As credenciais ficam no armazenamento seguro local e não entram no backend, logs, relatórios, exports ou analytics. Antes do envio, o utilizador conhece o fornecedor, os dados transmitidos e quem suporta o custo. A Vision responde pela implementação, proteção local e transparência; o utilizador responde pelas credenciais, limites e termos da sua conta; o fornecedor responde pelo serviço nos seus próprios termos. Uma falha num modo não muda silenciosamente para o outro.</w:t>
      </w:r>
    </w:p>
    <w:p>
      <w:r>
        <w:rPr>
          <w:b w:val="0"/>
        </w:rPr>
        <w:t>O funcionamento local é o ponto de partida. Sem rede, IA, permissões opcionais ou serviços auxiliares, o utilizador continua a trabalhar no que é local. A interface mostra o estado, conserva trabalho e permite repetir operações de forma controlada. Integridade, identidade e confiança não são simuladas: um selo local não recebe o estatuto de timestamp de confiança, e uma autenticação expirada não autoriza nova operação remota.</w:t>
      </w:r>
    </w:p>
    <w:p>
      <w:r>
        <w:rPr>
          <w:b w:val="0"/>
        </w:rPr>
        <w:t>O Field Calc não exige conta. Field Report e PhotoProof usam identidade mínima porque protegem autoria, acesso a relatórios e atribuição da captura. A conta não implica recolha de documentos de identificação civil. A identidade de conta, a pessoa que opera o dispositivo e uma identidade legalmente verificada são conceitos distintos e devem ser apresentados como tal.</w:t>
      </w:r>
    </w:p>
    <w:p>
      <w:r>
        <w:rPr>
          <w:b w:val="0"/>
        </w:rPr>
        <w:t>O Mac mini M4 com 16 GB de memória e 256 GB de armazenamento, previsto para o fim de outubro de 2026, será a estação de build, teste, assinatura e release Apple com Xcode. A compra, chegada e configuração não se presumem concluídas. Até à disponibilidade real, os ensaios Apple ficam com o estado exato Pending Hardware. Os restantes trabalhos prosseguem quando tecnicamente independentes; uma versão Apple não recebe aprovação final sem esses ensaios.</w:t>
      </w:r>
    </w:p>
    <w:p>
      <w:pPr>
        <w:pStyle w:val="Heading1"/>
      </w:pPr>
      <w:r>
        <w:t>Organização de módulos e dependências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Pacote proposto</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Responsabilidade</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Consumidor inicial</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vision_domain</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IDs, revisões, Result e erros tipados, timestamps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Todos os módulos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vision_storage</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Transações, migrações, repositórios e attachments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Field Report</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vision_security</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Secure storage, cifragem, chaves e bloqueio local</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Report e PhotoProof</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vision_identity</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Sessão, autoria e identidade opcional</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Report e PhotoProof; Calc não obrigatório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vision_cloud_client</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Contratos API, autenticação, retry e idempotência</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Apps com capacidades Cloud</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vision_units</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Grandezas, unidades e conversões versionadas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Medições Report; motor Calc posterior</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vision_evidence</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Original, hashes, derivados e referências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Report; trust avançado PhotoProof</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vision_standards</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Catálogo, edição, importação e validação</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Field Report</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vision_sync</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Outbox, conflitos, tombstones e progresso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Funções de sync aprovadas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vision_analytics</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Eventos permitidos e escolhas de privacidade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Todas as apps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vision_design</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Componentes acessíveis, formulários e estados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Interfaces Flutter</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vision_export</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Templates, anexos, manifesto e ficheiro final</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Field Report</w:t>
            </w:r>
          </w:p>
        </w:tc>
      </w:tr>
    </w:tbl>
    <w:p>
      <w:pPr>
        <w:spacing w:after="40"/>
      </w:pPr>
    </w:p>
    <w:p>
      <w:r>
        <w:rPr>
          <w:b w:val="0"/>
        </w:rPr>
        <w:t>As dependências apontam da interface para casos de uso e destes para interfaces de infraestrutura. Domínio não importa widgets nem SDK AWS. Implementações nativas ficam atrás de adaptadores com capability discovery. Preferir um workspace de pacotes versionados enquanto a equipa for reduzida; extração para múltiplos repositórios exige um motivo de release ou propriedade, sem copiar bibliotecas entre apps.</w:t>
      </w:r>
    </w:p>
    <w:p>
      <w:pPr>
        <w:pStyle w:val="Heading1"/>
      </w:pPr>
      <w:r>
        <w:t>Persistência e proteção local</w:t>
      </w:r>
    </w:p>
    <w:p>
      <w:r>
        <w:rPr>
          <w:b w:val="0"/>
        </w:rPr>
      </w:r>
      <w:r>
        <w:rPr>
          <w:b/>
        </w:rPr>
        <w:t>CORE 001 Transações.</w:t>
      </w:r>
      <w:r>
        <w:rPr>
          <w:b w:val="0"/>
        </w:rPr>
        <w:t xml:space="preserve"> Cada finding, medição e ligação a evidência é guardado atomicamente com a revisão do agregado. O utilizador vê quando a gravação local terminou. Um processo interrompido não deixa um relatório aparentemente fechado com apenas parte das medições.</w:t>
      </w:r>
    </w:p>
    <w:p>
      <w:r>
        <w:rPr>
          <w:b w:val="0"/>
        </w:rPr>
      </w:r>
      <w:r>
        <w:rPr>
          <w:b/>
        </w:rPr>
        <w:t>CORE 002 Schema.</w:t>
      </w:r>
      <w:r>
        <w:rPr>
          <w:b w:val="0"/>
        </w:rPr>
        <w:t xml:space="preserve"> Migrações têm versão, pré-condições e fixtures da versão anterior. Fazer backup local consistente antes de migração incompatível, respeitando storage e cifra. Se falhar, manter o original e apresentar recuperação; não apagar e recriar a base silenciosamente.</w:t>
      </w:r>
    </w:p>
    <w:p>
      <w:r>
        <w:rPr>
          <w:b w:val="0"/>
        </w:rPr>
      </w:r>
      <w:r>
        <w:rPr>
          <w:b/>
        </w:rPr>
        <w:t>CORE 003 Ficheiros.</w:t>
      </w:r>
      <w:r>
        <w:rPr>
          <w:b w:val="0"/>
        </w:rPr>
        <w:t xml:space="preserve"> Anexos usam IDs internos e não nomes controlados pelo utilizador como caminhos. Guardar temporário, verificar tamanho/hash e promover por operação atómica. Limpar órfãos apenas após confirmar ausência de referência e janela segura. Mostrar espaço necessário e permitir exportar/remover cópias derivadas sem perder originais.</w:t>
      </w:r>
    </w:p>
    <w:p>
      <w:r>
        <w:rPr>
          <w:b w:val="0"/>
        </w:rPr>
      </w:r>
      <w:r>
        <w:rPr>
          <w:b/>
        </w:rPr>
        <w:t>CORE 004 Cifra.</w:t>
      </w:r>
      <w:r>
        <w:rPr>
          <w:b w:val="0"/>
        </w:rPr>
        <w:t xml:space="preserve"> Usar biblioteca de cifragem mantida e chave protegida pelo sistema operativo. Não criar algoritmo próprio. A DB local e os anexos sensíveis precisam de análise explícita de cifra e backup em cada plataforma. Uma chave esquecida não é recuperada por guardar uma cópia em texto simples; definir recuperação por conta/backup cifrado ou perda assumida e comunicada.</w:t>
      </w:r>
    </w:p>
    <w:p>
      <w:r>
        <w:rPr>
          <w:b w:val="0"/>
        </w:rPr>
      </w:r>
      <w:r>
        <w:rPr>
          <w:b/>
        </w:rPr>
        <w:t>CORE 005 Bloqueio.</w:t>
      </w:r>
      <w:r>
        <w:rPr>
          <w:b w:val="0"/>
        </w:rPr>
        <w:t xml:space="preserve"> Sessão da aplicação, bloqueio local e token remoto são estados distintos. Reentrada pode exigir biometria/PIN do sistema quando disponível, sem recolher a biometria na app. Falha ou indisponibilidade do secure storage impede persistir secrets e informa o utilizador.</w:t>
      </w:r>
    </w:p>
    <w:p>
      <w:pPr>
        <w:pStyle w:val="Heading1"/>
      </w:pPr>
      <w:r>
        <w:t>Identidade autoria e isolamento</w:t>
      </w:r>
    </w:p>
    <w:p>
      <w:r>
        <w:rPr>
          <w:b w:val="0"/>
        </w:rPr>
      </w:r>
      <w:r>
        <w:rPr>
          <w:b/>
        </w:rPr>
        <w:t>CORE 010 Sessão opcional.</w:t>
      </w:r>
      <w:r>
        <w:rPr>
          <w:b w:val="0"/>
        </w:rPr>
        <w:t xml:space="preserve"> O módulo de identidade é injetado pelo produto. Calc inicia e calcula sem o importar como pré-condição. Report/PhotoProof usam identidade para atribuição e controlo de acesso. O nome mostrado é confirmado pelo utilizador e associado a subject_id, sem alegação de identidade civil verificada.</w:t>
      </w:r>
    </w:p>
    <w:p>
      <w:r>
        <w:rPr>
          <w:b w:val="0"/>
        </w:rPr>
      </w:r>
      <w:r>
        <w:rPr>
          <w:b/>
        </w:rPr>
        <w:t>CORE 011 Troca de conta.</w:t>
      </w:r>
      <w:r>
        <w:rPr>
          <w:b w:val="0"/>
        </w:rPr>
        <w:t xml:space="preserve"> Encerrar uma sessão remota não mistura bases, filas, configurações privadas ou anexos entre contas. Ao mudar de conta, oferecer manter dados locais cifrados do titular, exportar ou eliminar conforme política, sem os tornar acessíveis ao novo utilizador. Uma fila pendente conserva a identidade original.</w:t>
      </w:r>
    </w:p>
    <w:p>
      <w:r>
        <w:rPr>
          <w:b w:val="0"/>
        </w:rPr>
      </w:r>
      <w:r>
        <w:rPr>
          <w:b/>
        </w:rPr>
        <w:t>CORE 012 Autoria offline.</w:t>
      </w:r>
      <w:r>
        <w:rPr>
          <w:b w:val="0"/>
        </w:rPr>
        <w:t xml:space="preserve"> Guardar author_ref, device_key_id, local_action_time e last_identity_verified_at. Se a validação estiver desatualizada, rotular a ação e exigir revalidação para a operação remota. Não substituir retroativamente o autor por quem sincronizou.</w:t>
      </w:r>
    </w:p>
    <w:p>
      <w:r>
        <w:rPr>
          <w:b w:val="0"/>
        </w:rPr>
      </w:r>
      <w:r>
        <w:rPr>
          <w:b/>
        </w:rPr>
        <w:t>CORE 013 Eliminação.</w:t>
      </w:r>
      <w:r>
        <w:rPr>
          <w:b w:val="0"/>
        </w:rPr>
        <w:t xml:space="preserve"> Disponibilizar API de eliminação local por namespace e função de pedido remoto. A app mostra o que foi eliminado, o que permanece no dispositivo e o que aguarda rede. Respeitar retenções legais fundamentadas no serviço sem impedir a eliminação local autorizada.</w:t>
      </w:r>
    </w:p>
    <w:p>
      <w:pPr>
        <w:pStyle w:val="Heading1"/>
      </w:pPr>
      <w:r>
        <w:t>Medições unidades e precisão</w:t>
      </w:r>
    </w:p>
    <w:p>
      <w:r>
        <w:rPr>
          <w:b w:val="0"/>
        </w:rPr>
      </w:r>
      <w:r>
        <w:rPr>
          <w:b/>
        </w:rPr>
        <w:t>CORE 020 Grandezas tipadas.</w:t>
      </w:r>
      <w:r>
        <w:rPr>
          <w:b w:val="0"/>
        </w:rPr>
        <w:t xml:space="preserve"> Representar measurement_id, quantity_kind, input_value, input_unit, canonical_value, canonical_unit, precision, uncertainty opcional, method, instrument_ref, observed_at e status. Valor ausente não é zero. O significado de percentagem, inclinação, temperatura ou pressão deve estar explícito.</w:t>
      </w:r>
    </w:p>
    <w:p>
      <w:r>
        <w:rPr>
          <w:b w:val="0"/>
        </w:rPr>
      </w:r>
      <w:r>
        <w:rPr>
          <w:b/>
        </w:rPr>
        <w:t>CORE 021 Conversões.</w:t>
      </w:r>
      <w:r>
        <w:rPr>
          <w:b w:val="0"/>
        </w:rPr>
        <w:t xml:space="preserve"> O catálogo de unidades é versionado e inclui dimensão, escala e offset. Temperatura absoluta e diferença de temperatura são tipos diferentes. Não somar grandezas incompatíveis nem converter unidades desconhecidas. Guardar entrada original para rastreabilidade e recalcular apenas a apresentação.</w:t>
      </w:r>
    </w:p>
    <w:p>
      <w:r>
        <w:rPr>
          <w:b w:val="0"/>
        </w:rPr>
      </w:r>
      <w:r>
        <w:rPr>
          <w:b/>
        </w:rPr>
        <w:t>CORE 022 Localização.</w:t>
      </w:r>
      <w:r>
        <w:rPr>
          <w:b w:val="0"/>
        </w:rPr>
        <w:t xml:space="preserve"> Aceitar vírgula decimal em pt-PT e mostrar unidade junto do campo. Ambiguidades de milhares/decimais exigem confirmação. Os ficheiros de intercâmbio têm representação estável, sem depender da língua do dispositivo. Imperial deve distinguir ft, in, yd e unidades de volume/força que partilham nomes ambíguos.</w:t>
      </w:r>
    </w:p>
    <w:p>
      <w:r>
        <w:rPr>
          <w:b w:val="0"/>
        </w:rPr>
      </w:r>
      <w:r>
        <w:rPr>
          <w:b/>
        </w:rPr>
        <w:t>CORE 023 Validade.</w:t>
      </w:r>
      <w:r>
        <w:rPr>
          <w:b w:val="0"/>
        </w:rPr>
        <w:t xml:space="preserve"> Limites plausíveis são regras do domínio, separados de regras de parse. Uma medição fora do intervalo não é corrigida pela IA; o técnico confirma ou corrige e regista motivo. Arredondar apenas na apresentação, com política de casas significativas por fórmula ou instrumento.</w:t>
      </w:r>
    </w:p>
    <w:p>
      <w:pPr>
        <w:pStyle w:val="Heading1"/>
      </w:pPr>
      <w:r>
        <w:t>Evidência e Standards partilhados</w:t>
      </w:r>
    </w:p>
    <w:p>
      <w:r>
        <w:rPr>
          <w:b w:val="0"/>
        </w:rPr>
      </w:r>
      <w:r>
        <w:rPr>
          <w:b/>
        </w:rPr>
        <w:t>CORE 030 Evidência.</w:t>
      </w:r>
      <w:r>
        <w:rPr>
          <w:b w:val="0"/>
        </w:rPr>
        <w:t xml:space="preserve"> O Core distingue captura in-app e importação. Preserva bytes originais, calcula SHA-256, guarda metadados de origem e cria derivados sem reescrever o original. Não marca uma importação como captura verificada mesmo que tenha EXIF de câmara.</w:t>
      </w:r>
    </w:p>
    <w:p>
      <w:r>
        <w:rPr>
          <w:b w:val="0"/>
        </w:rPr>
      </w:r>
      <w:r>
        <w:rPr>
          <w:b/>
        </w:rPr>
        <w:t>CORE 031 Estados de confiança.</w:t>
      </w:r>
      <w:r>
        <w:rPr>
          <w:b w:val="0"/>
        </w:rPr>
        <w:t xml:space="preserve"> A representação comum transporta local_sealed, pending_timestamp, timestamp_verified, attestation_status e limitation_codes em campos separados. O Report pode anexar um pacote PhotoProof e mostrar o seu resultado; não precisa de implementar a TSA para fazer uma inspeção.</w:t>
      </w:r>
    </w:p>
    <w:p>
      <w:r>
        <w:rPr>
          <w:b w:val="0"/>
        </w:rPr>
      </w:r>
      <w:r>
        <w:rPr>
          <w:b/>
        </w:rPr>
        <w:t>CORE 032 Importação de norma.</w:t>
      </w:r>
      <w:r>
        <w:rPr>
          <w:b w:val="0"/>
        </w:rPr>
        <w:t xml:space="preserve"> Importar documento por seletor de ficheiros, validar tipo/tamanho, calcular hash, ligar source/edition/license/status e pedir validação humana. Os dados de validação ficam por utilizador. Uma origem que não pode ser confirmada fica unverifiable e não é convertida em verified por um modelo.</w:t>
      </w:r>
    </w:p>
    <w:p>
      <w:r>
        <w:rPr>
          <w:b w:val="0"/>
        </w:rPr>
      </w:r>
      <w:r>
        <w:rPr>
          <w:b/>
        </w:rPr>
        <w:t>CORE 033 Referência de cláusula.</w:t>
      </w:r>
      <w:r>
        <w:rPr>
          <w:b w:val="0"/>
        </w:rPr>
        <w:t xml:space="preserve"> Guardar documento/edição, localização da cláusula e excerto autorizado ou referência, com versão do pacote. A navegação para a fonte deve funcionar offline quando o documento está legalmente disponível. Sem fonte, a app permite uma nota técnica com origem desconhecida, claramente separada de uma referência normativa validada.</w:t>
      </w:r>
    </w:p>
    <w:p>
      <w:pPr>
        <w:pStyle w:val="Heading1"/>
      </w:pPr>
      <w:r>
        <w:t>Rede sincronização e falhas</w:t>
      </w:r>
    </w:p>
    <w:p>
      <w:r>
        <w:rPr>
          <w:b w:val="0"/>
        </w:rPr>
      </w:r>
      <w:r>
        <w:rPr>
          <w:b/>
        </w:rPr>
        <w:t>CORE 040 Cliente API.</w:t>
      </w:r>
      <w:r>
        <w:rPr>
          <w:b w:val="0"/>
        </w:rPr>
        <w:t xml:space="preserve"> Gerar ou escrever adaptadores a partir do contrato aprovado, com parsing estrito, limites, cancelamento, timeout e erros tipados. Não mostrar tokens ou stack traces na UI. Um erro 401 permite renovar sessão uma vez; um 403 não provoca um ciclo de login infinito.</w:t>
      </w:r>
    </w:p>
    <w:p>
      <w:r>
        <w:rPr>
          <w:b w:val="0"/>
        </w:rPr>
      </w:r>
      <w:r>
        <w:rPr>
          <w:b/>
        </w:rPr>
        <w:t>CORE 041 Retentativas.</w:t>
      </w:r>
      <w:r>
        <w:rPr>
          <w:b w:val="0"/>
        </w:rPr>
        <w:t xml:space="preserve"> Classificar operações em seguras, idempotentes e sem retry automático. Usar backoff limitado, jitter e janela de expiração. IA/TSA e compras respeitam o idempotency key e a incerteza de cobrança. O utilizador pode cancelar trabalho ainda não enviado.</w:t>
      </w:r>
    </w:p>
    <w:p>
      <w:r>
        <w:rPr>
          <w:b w:val="0"/>
        </w:rPr>
      </w:r>
      <w:r>
        <w:rPr>
          <w:b/>
        </w:rPr>
        <w:t>CORE 042 Fila durável.</w:t>
      </w:r>
      <w:r>
        <w:rPr>
          <w:b w:val="0"/>
        </w:rPr>
        <w:t xml:space="preserve"> Gravar intenção local antes de enviar. Estados queued, sending, acknowledged, retryable, needs_user e failed são visíveis. Uma resposta fora de ordem não regride um estado confirmado. A app mostra por que uma operação está pendente e permite resolver um conflito.</w:t>
      </w:r>
    </w:p>
    <w:p>
      <w:r>
        <w:rPr>
          <w:b w:val="0"/>
        </w:rPr>
      </w:r>
      <w:r>
        <w:rPr>
          <w:b/>
        </w:rPr>
        <w:t>CORE 043 Conflitos.</w:t>
      </w:r>
      <w:r>
        <w:rPr>
          <w:b w:val="0"/>
        </w:rPr>
        <w:t xml:space="preserve"> Medições, findings e assinatura de fecho não usam last-write-wins global. Conservar branch/revisão e mostrar a diferença relevante. Operações independentes podem ser mescladas segundo regra determinística testada. Um relatório fechado torna-se nova revisão quando alterado.</w:t>
      </w:r>
    </w:p>
    <w:p>
      <w:r>
        <w:rPr>
          <w:b w:val="0"/>
        </w:rPr>
      </w:r>
      <w:r>
        <w:rPr>
          <w:b/>
        </w:rPr>
        <w:t>CORE 044 Degradação.</w:t>
      </w:r>
      <w:r>
        <w:rPr>
          <w:b w:val="0"/>
        </w:rPr>
        <w:t xml:space="preserve"> Rede ausente mantém funções locais. GPS recusado regista ausência; câmara recusada permite importar onde fizer sentido, com proveniência correta; IA indisponível permite trabalho manual. Secure storage indisponível não permite guardar segredo inseguro. Estes estados fazem parte da UI normal.</w:t>
      </w:r>
    </w:p>
    <w:p>
      <w:pPr>
        <w:pStyle w:val="Heading1"/>
      </w:pPr>
      <w:r>
        <w:t>Exportação e componentes de interface</w:t>
      </w:r>
    </w:p>
    <w:p>
      <w:r>
        <w:rPr>
          <w:b w:val="0"/>
        </w:rPr>
      </w:r>
      <w:r>
        <w:rPr>
          <w:b/>
        </w:rPr>
        <w:t>CORE 050 Exportação.</w:t>
      </w:r>
      <w:r>
        <w:rPr>
          <w:b w:val="0"/>
        </w:rPr>
        <w:t xml:space="preserve"> O serviço recebe snapshot imutável dos dados e versão de template. Produz ficheiro temporário, verifica integridade e só depois oferece guardar/partilhar. Relatórios longos têm paginação, números, anexos e referências consistentes. Não modificar o relatório enquanto o export usa dados mutáveis.</w:t>
      </w:r>
    </w:p>
    <w:p>
      <w:r>
        <w:rPr>
          <w:b w:val="0"/>
        </w:rPr>
      </w:r>
      <w:r>
        <w:rPr>
          <w:b/>
        </w:rPr>
        <w:t>CORE 051 Acessibilidade.</w:t>
      </w:r>
      <w:r>
        <w:rPr>
          <w:b w:val="0"/>
        </w:rPr>
        <w:t xml:space="preserve"> Navegação por teclado no Windows/macOS, foco visível, labels e leitores de ecrã, contraste e texto ampliado. Botões para guardar, concluir e eliminar têm significado inequívoco. Não representar severidade apenas por cor. Fotografias têm legenda descritiva introduzida pelo técnico.</w:t>
      </w:r>
    </w:p>
    <w:p>
      <w:r>
        <w:rPr>
          <w:b w:val="0"/>
        </w:rPr>
      </w:r>
      <w:r>
        <w:rPr>
          <w:b/>
        </w:rPr>
        <w:t>CORE 052 Design comum.</w:t>
      </w:r>
      <w:r>
        <w:rPr>
          <w:b w:val="0"/>
        </w:rPr>
        <w:t xml:space="preserve"> Componentes para estado de gravação, sincronização, confiança, medição, seleção de norma, consentimento de IA e apoio. As mensagens distinguem pending, failed e unavailable. Uma barra de progresso não mostra conclusão antes de persistência.</w:t>
      </w:r>
    </w:p>
    <w:p>
      <w:r>
        <w:rPr>
          <w:b w:val="0"/>
        </w:rPr>
      </w:r>
      <w:r>
        <w:rPr>
          <w:b/>
        </w:rPr>
        <w:t>CORE 053 Internacionalização.</w:t>
      </w:r>
      <w:r>
        <w:rPr>
          <w:b w:val="0"/>
        </w:rPr>
        <w:t xml:space="preserve"> Separar strings de UI do domínio; pt-PT como referência destes documentos, catálogo preparado para outras línguas. Guardar timezone IANA e offset do evento; não recalcular o offset histórico apenas a partir do fuso atual do dispositivo.</w:t>
      </w:r>
    </w:p>
    <w:p>
      <w:pPr>
        <w:pStyle w:val="Heading1"/>
      </w:pPr>
      <w:r>
        <w:t>Privacidade e analytics por desenho</w:t>
      </w:r>
    </w:p>
    <w:p>
      <w:r>
        <w:rPr>
          <w:b w:val="0"/>
        </w:rPr>
        <w:t>Analytics é um requisito oficial. O objetivo é medir adoção funcional, falhas, latência, consumo e saúde do serviço para melhorar o produto e controlar custos. Por defeito ficam excluídos fotografias, conteúdo de relatórios, documentos e normas importadas, secrets, API keys, coordenadas GPS precisas e prompts sensíveis completos. Os identificadores pseudónimos continuam a poder ser dados pessoais e não devem ser chamados anónimos sem demonstração.</w:t>
      </w:r>
    </w:p>
    <w:p>
      <w:r>
        <w:rPr>
          <w:b w:val="0"/>
        </w:rPr>
        <w:t>O esquema base proposto contém event_id aleatório, event_name de uma lista fechada, schema_version, app_id, app_version, platform, occurred_at com granularidade ajustada, received_at, outcome e error_code fixo. Campos opcionais admitidos incluem duration_bucket, feature_id e provider_mode. Campos desconhecidos são rejeitados. Não aceitar mensagens de exceção livres, URL completa, caminho local ou nome de ficheiro. O evento não transporta o identificador público de uma evidência juntamente com a identidade do utilizador.</w:t>
      </w:r>
    </w:p>
    <w:p>
      <w:r>
        <w:rPr>
          <w:b w:val="0"/>
        </w:rPr>
        <w:t>A medição opcional do uso fica separada da telemetria técnica necessária e dos registos de segurança. A política legal define a base aplicável; quando é necessário consentimento, não recolher antes da escolha, oferecer recusa equivalente e permitir revogação. A recusa de analytics opcionais não desativa as funções locais. Não introduzir publicidade, identificadores publicitários ou tracking entre serviços no âmbito inicial.</w:t>
      </w:r>
    </w:p>
    <w:p>
      <w:r>
        <w:rPr>
          <w:b w:val="0"/>
        </w:rPr>
        <w:t>Proposta de retenção a aprovar no gate de privacidade: eventos opcionais brutos até 30 dias; diagnósticos técnicos redigidos até 30 dias; agregados sem ligação a conta até 13 meses; audit de administração até 12 meses; factos de compras e obrigações fiscais pelo prazo legal confirmado; anexos de suporte até 30 dias após fecho. As cópias de segurança têm janela proposta de 35 dias, com expurgo diferido e reaplicação dos pedidos de eliminação após restauro. Estes valores são escolhas de produto, não prazos legais universalmente impostos.</w:t>
      </w:r>
    </w:p>
    <w:p>
      <w:r>
        <w:rPr>
          <w:b w:val="0"/>
        </w:rPr>
        <w:t>A eliminação distingue conta, dados remotos, dados locais, cópias partilhadas pelo utilizador e registos legalmente retidos. O pedido revoga sessões e acessos remotos, agenda purga e comunica o resultado e exceções fundamentadas. Exportar antes de apagar deve ser opção, não obstáculo. Uma operação de suporte usa referências opacas; conteúdo técnico de uma inspeção só entra num pedido de suporte por ação específica e consentida do utilizador, com finalidade e acesso restrito.</w:t>
      </w:r>
    </w:p>
    <w:p>
      <w:pPr>
        <w:pStyle w:val="Heading1"/>
      </w:pPr>
      <w:r>
        <w:t>Matriz de plataformas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Capacidade</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Windows e Android até outubro</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Apple após chegada do Mac</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Build e análise Dart</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Compilação, análise e testes locais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Compilação iOS/macOS em Xcode e Flutter</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Secure storage</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Adaptador Windows e Android com testes de falha</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Keychain e política de backup em dispositivo real</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Câmara e importação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Câmara Android; ficheiros Windows com proveniência</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Câmara iPhone/iPad e ficheiros macOS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Localização e EXIF</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Permissão, accuracy e indisponibilidade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Permissões, precisão reduzida e metadados reais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Ficheiros e exportação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Disco cheio, nomes, partilha e caminhos longos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Sandbox, partilha, permissões e ficheiros protegidos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Attestation</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Play Integrity quando integrado em PhotoProof</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App Attest quando suportado; Pending Hardware</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Lojas e assinatura</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Android sandbox e AAB</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Archive, TestFlight e fluxos Apple reais</w:t>
            </w:r>
          </w:p>
        </w:tc>
      </w:tr>
    </w:tbl>
    <w:p>
      <w:pPr>
        <w:spacing w:after="40"/>
      </w:pPr>
    </w:p>
    <w:p>
      <w:r>
        <w:rPr>
          <w:b w:val="0"/>
        </w:rPr>
        <w:t>Compatibilidade de um plugin no catálogo não é prova de funcionamento num dispositivo. Fixar versões após ensaio e inventariar código nativo transitivo. Não congelar a versão Flutter com base apenas numa mensagem histórica; registar a versão instalada e escolher stable compatível com os SDKs de release no gate K0.</w:t>
      </w:r>
    </w:p>
    <w:p>
      <w:pPr>
        <w:pStyle w:val="Heading1"/>
      </w:pPr>
      <w:r>
        <w:t>Testes de contrato e qualidade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Teste</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Preparação e ação</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Resultado esperado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K T01</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Interromper gravação a meio da transação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Estado anterior íntegro ou novo estado completo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K T02</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Migrar fixture de schema anterior com disco limitado</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Migração segura ou recusa sem perder original</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K T03</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Trocar de conta com outbox pendente</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Nenhum dado ou envio atribuído à nova conta</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K T04</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Recusar secure storage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Secret não persistido em preferências/logs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K T05</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Introduzir 1,25 m e converter para mm</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1250 mm; entrada original preservada</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K T06</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Converter diferença de temperatura como absoluta</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Rejeição por tipo ou fluxo explicitamente correto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K T07</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Alterar um byte de evidência exportada</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Divergência de hash detetada</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K T08</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Entregar resposta API duplicada após restart</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Uma confirmação e nenhum objeto duplicado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K T09</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Emitir analytics com API key e GPS em extras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Rejeição local e server-side; sem conteúdo em log</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K T10</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Exportar relatório extenso com valores vazios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Paginação legível e ausência distinguida de zero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K T11</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Usar teclado e texto a 200 por cento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Campos acessíveis, foco preservado e sem clipping funcional</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K T12</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Hora local alterada durante a operação</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UTC declarado e offset originais preservados; aviso quando relevante</w:t>
            </w:r>
          </w:p>
        </w:tc>
      </w:tr>
    </w:tbl>
    <w:p>
      <w:pPr>
        <w:spacing w:after="40"/>
      </w:pPr>
    </w:p>
    <w:p>
      <w:r>
        <w:rPr>
          <w:b w:val="0"/>
        </w:rPr>
        <w:t>Estes casos são o núcleo inicial, acrescido apenas de testes específicos das fases e dos defeitos encontrados. Não criar testes que se limitem a repetir getters, textos internos ou detalhes de implementação sem proteger comportamento. A compatibilidade do Core é demonstrada por pelo menos um consumidor real, o Field Report.</w:t>
      </w:r>
    </w:p>
    <w:p>
      <w:pPr>
        <w:pStyle w:val="Heading1"/>
      </w:pPr>
      <w:r>
        <w:t>Fases sequenciais do Core</w:t>
      </w:r>
    </w:p>
    <w:p>
      <w:pPr>
        <w:pStyle w:val="Heading2"/>
      </w:pPr>
      <w:r>
        <w:t>K0 Contratos e seleção de dependências</w:t>
      </w:r>
    </w:p>
    <w:p>
      <w:r>
        <w:t>Calendário proposto: 27 a 30 de setembro de 2026. Datas condicionadas à aprovação do gate anterior.</w:t>
      </w:r>
    </w:p>
    <w:p>
      <w:r>
        <w:rPr>
          <w:b/>
        </w:rPr>
        <w:t xml:space="preserve">Entradas. </w:t>
      </w:r>
      <w:r>
        <w:rPr>
          <w:b w:val="0"/>
        </w:rPr>
        <w:t>PRDs Cloud e Report, plataforma Windows preparada e catálogo de necessidades reais.</w:t>
      </w:r>
    </w:p>
    <w:p>
      <w:r>
        <w:rPr>
          <w:b/>
        </w:rPr>
        <w:t xml:space="preserve">Implementação. </w:t>
      </w:r>
      <w:r>
        <w:rPr>
          <w:b w:val="0"/>
        </w:rPr>
        <w:t>Definir pacotes, contratos, storage, secure storage, IDs, unidades e política de versões.</w:t>
      </w:r>
    </w:p>
    <w:p>
      <w:r>
        <w:rPr>
          <w:b/>
        </w:rPr>
        <w:t xml:space="preserve">Entregáveis. </w:t>
      </w:r>
      <w:r>
        <w:rPr>
          <w:b w:val="0"/>
        </w:rPr>
        <w:t>API interna documentada, inventário de plugins/licenças e fixtures de dados.</w:t>
      </w:r>
    </w:p>
    <w:p>
      <w:r>
        <w:rPr>
          <w:b/>
        </w:rPr>
        <w:t xml:space="preserve">Testes predefinidos. </w:t>
      </w:r>
      <w:r>
        <w:rPr>
          <w:b w:val="0"/>
        </w:rPr>
        <w:t>K0T1 nenhum pacote sem consumidor; K0T2 dependências de domínio sem Flutter UI; K0T3 análise de licenças e suporte de plataformas.</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Contratos suficientes para o fluxo vertical Report e dívida Apple marcada Pending Hardware. Registar versão, resultados, limitações e responsável; um teste não executado mantém-se pendente.</w:t>
      </w:r>
    </w:p>
    <w:p>
      <w:r>
        <w:rPr>
          <w:b/>
        </w:rPr>
        <w:t xml:space="preserve">Gate de aprovação explícita. </w:t>
      </w:r>
      <w:r>
        <w:rPr>
          <w:b w:val="0"/>
        </w:rPr>
        <w:t>O responsável do produto aprova ou recusa K0 por escrito, com data e evidências. Só depois começa a fase seguinte. Uma data de calendário não substitui esta aprovação.</w:t>
      </w:r>
    </w:p>
    <w:p>
      <w:pPr>
        <w:pStyle w:val="Heading2"/>
      </w:pPr>
      <w:r>
        <w:t>K1 Persistência e proteção local</w:t>
      </w:r>
    </w:p>
    <w:p>
      <w:r>
        <w:t>Calendário proposto: 1 a 7 de outubro de 2026. Datas condicionadas à aprovação do gate anterior.</w:t>
      </w:r>
    </w:p>
    <w:p>
      <w:r>
        <w:rPr>
          <w:b/>
        </w:rPr>
        <w:t xml:space="preserve">Entradas. </w:t>
      </w:r>
      <w:r>
        <w:rPr>
          <w:b w:val="0"/>
        </w:rPr>
        <w:t>K0 aprovado e modelo inicial Report.</w:t>
      </w:r>
    </w:p>
    <w:p>
      <w:r>
        <w:rPr>
          <w:b/>
        </w:rPr>
        <w:t xml:space="preserve">Implementação. </w:t>
      </w:r>
      <w:r>
        <w:rPr>
          <w:b w:val="0"/>
        </w:rPr>
        <w:t>Implementar transações, migrações, anexos, secure storage e isolamento de conta.</w:t>
      </w:r>
    </w:p>
    <w:p>
      <w:r>
        <w:rPr>
          <w:b/>
        </w:rPr>
        <w:t xml:space="preserve">Entregáveis. </w:t>
      </w:r>
      <w:r>
        <w:rPr>
          <w:b w:val="0"/>
        </w:rPr>
        <w:t>Repositórios locais e proteção de dados consumidos pelo Report.</w:t>
      </w:r>
    </w:p>
    <w:p>
      <w:r>
        <w:rPr>
          <w:b/>
        </w:rPr>
        <w:t xml:space="preserve">Testes predefinidos. </w:t>
      </w:r>
      <w:r>
        <w:rPr>
          <w:b w:val="0"/>
        </w:rPr>
        <w:t>K T01 a K T04, K T12 e um percurso de recuperação após crash.</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Guardar e recuperar trabalho sem rede; nenhuma chave em texto simples. Registar versão, resultados, limitações e responsável; um teste não executado mantém-se pendente.</w:t>
      </w:r>
    </w:p>
    <w:p>
      <w:r>
        <w:rPr>
          <w:b/>
        </w:rPr>
        <w:t xml:space="preserve">Gate de aprovação explícita. </w:t>
      </w:r>
      <w:r>
        <w:rPr>
          <w:b w:val="0"/>
        </w:rPr>
        <w:t>O responsável do produto aprova ou recusa K1 por escrito, com data e evidências. Só depois começa a fase seguinte. Uma data de calendário não substitui esta aprovação.</w:t>
      </w:r>
    </w:p>
    <w:p>
      <w:pPr>
        <w:pStyle w:val="Heading2"/>
      </w:pPr>
      <w:r>
        <w:t>K2 Medições evidência e Standards</w:t>
      </w:r>
    </w:p>
    <w:p>
      <w:r>
        <w:t>Calendário proposto: 8 a 14 de outubro de 2026. Datas condicionadas à aprovação do gate anterior.</w:t>
      </w:r>
    </w:p>
    <w:p>
      <w:r>
        <w:rPr>
          <w:b/>
        </w:rPr>
        <w:t xml:space="preserve">Entradas. </w:t>
      </w:r>
      <w:r>
        <w:rPr>
          <w:b w:val="0"/>
        </w:rPr>
        <w:t>K1 aprovado e contratos de unidades/evidência.</w:t>
      </w:r>
    </w:p>
    <w:p>
      <w:r>
        <w:rPr>
          <w:b/>
        </w:rPr>
        <w:t xml:space="preserve">Implementação. </w:t>
      </w:r>
      <w:r>
        <w:rPr>
          <w:b w:val="0"/>
        </w:rPr>
        <w:t>Grandezas tipadas, conversões, hash de original, derivados e importação/validação de normas.</w:t>
      </w:r>
    </w:p>
    <w:p>
      <w:r>
        <w:rPr>
          <w:b/>
        </w:rPr>
        <w:t xml:space="preserve">Entregáveis. </w:t>
      </w:r>
      <w:r>
        <w:rPr>
          <w:b w:val="0"/>
        </w:rPr>
        <w:t>Componentes funcionais no Report e fixtures de interoperabilidade.</w:t>
      </w:r>
    </w:p>
    <w:p>
      <w:r>
        <w:rPr>
          <w:b/>
        </w:rPr>
        <w:t xml:space="preserve">Testes predefinidos. </w:t>
      </w:r>
      <w:r>
        <w:rPr>
          <w:b w:val="0"/>
        </w:rPr>
        <w:t>K T05 a K T07, edição normativa divergente e proveniência de importação.</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Medições estruturadas e referências verificáveis sem invenção de conteúdo. Registar versão, resultados, limitações e responsável; um teste não executado mantém-se pendente.</w:t>
      </w:r>
    </w:p>
    <w:p>
      <w:r>
        <w:rPr>
          <w:b/>
        </w:rPr>
        <w:t xml:space="preserve">Gate de aprovação explícita. </w:t>
      </w:r>
      <w:r>
        <w:rPr>
          <w:b w:val="0"/>
        </w:rPr>
        <w:t>O responsável do produto aprova ou recusa K2 por escrito, com data e evidências. Só depois começa a fase seguinte. Uma data de calendário não substitui esta aprovação.</w:t>
      </w:r>
    </w:p>
    <w:p>
      <w:pPr>
        <w:pStyle w:val="Heading2"/>
      </w:pPr>
      <w:r>
        <w:t>K3 Cloud sync export e analytics</w:t>
      </w:r>
    </w:p>
    <w:p>
      <w:r>
        <w:t>Calendário proposto: 15 a 21 de outubro de 2026. Datas condicionadas à aprovação do gate anterior.</w:t>
      </w:r>
    </w:p>
    <w:p>
      <w:r>
        <w:rPr>
          <w:b/>
        </w:rPr>
        <w:t xml:space="preserve">Entradas. </w:t>
      </w:r>
      <w:r>
        <w:rPr>
          <w:b w:val="0"/>
        </w:rPr>
        <w:t>K2 aprovado e endpoints Cloud em staging.</w:t>
      </w:r>
    </w:p>
    <w:p>
      <w:r>
        <w:rPr>
          <w:b/>
        </w:rPr>
        <w:t xml:space="preserve">Implementação. </w:t>
      </w:r>
      <w:r>
        <w:rPr>
          <w:b w:val="0"/>
        </w:rPr>
        <w:t>Fila, idempotência, conflitos, exportação, permissões e esquema de eventos.</w:t>
      </w:r>
    </w:p>
    <w:p>
      <w:r>
        <w:rPr>
          <w:b/>
        </w:rPr>
        <w:t xml:space="preserve">Entregáveis. </w:t>
      </w:r>
      <w:r>
        <w:rPr>
          <w:b w:val="0"/>
        </w:rPr>
        <w:t>Fluxo integrado e UI de estados partilhada; relatório exportável.</w:t>
      </w:r>
    </w:p>
    <w:p>
      <w:r>
        <w:rPr>
          <w:b/>
        </w:rPr>
        <w:t xml:space="preserve">Testes predefinidos. </w:t>
      </w:r>
      <w:r>
        <w:rPr>
          <w:b w:val="0"/>
        </w:rPr>
        <w:t>K T08 a K T10; rede intermitente; consentimento recusado; export sem Cloud.</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Falhas recuperáveis e ausência de conteúdo sensível nos eventos. Registar versão, resultados, limitações e responsável; um teste não executado mantém-se pendente.</w:t>
      </w:r>
    </w:p>
    <w:p>
      <w:r>
        <w:rPr>
          <w:b/>
        </w:rPr>
        <w:t xml:space="preserve">Gate de aprovação explícita. </w:t>
      </w:r>
      <w:r>
        <w:rPr>
          <w:b w:val="0"/>
        </w:rPr>
        <w:t>O responsável do produto aprova ou recusa K3 por escrito, com data e evidências. Só depois começa a fase seguinte. Uma data de calendário não substitui esta aprovação.</w:t>
      </w:r>
    </w:p>
    <w:p>
      <w:pPr>
        <w:pStyle w:val="Heading2"/>
      </w:pPr>
      <w:r>
        <w:t>K4 Compatibilidade e freeze do Core</w:t>
      </w:r>
    </w:p>
    <w:p>
      <w:r>
        <w:t>Calendário proposto: 22 a 29 de outubro de 2026; 30 e 31 de outubro reservados a correções justificadas. Datas condicionadas à aprovação do gate anterior.</w:t>
      </w:r>
    </w:p>
    <w:p>
      <w:r>
        <w:rPr>
          <w:b/>
        </w:rPr>
        <w:t xml:space="preserve">Entradas. </w:t>
      </w:r>
      <w:r>
        <w:rPr>
          <w:b w:val="0"/>
        </w:rPr>
        <w:t>K3 aprovado e candidato Android/Windows do Report.</w:t>
      </w:r>
    </w:p>
    <w:p>
      <w:r>
        <w:rPr>
          <w:b/>
        </w:rPr>
        <w:t xml:space="preserve">Implementação. </w:t>
      </w:r>
      <w:r>
        <w:rPr>
          <w:b w:val="0"/>
        </w:rPr>
        <w:t>Rever API pública do Core, remover dependências sem uso e fechar performance/acessibilidade.</w:t>
      </w:r>
    </w:p>
    <w:p>
      <w:r>
        <w:rPr>
          <w:b/>
        </w:rPr>
        <w:t xml:space="preserve">Entregáveis. </w:t>
      </w:r>
      <w:r>
        <w:rPr>
          <w:b w:val="0"/>
        </w:rPr>
        <w:t>Versão Core 1.0 candidata, changelog, SBOM e guia de migração.</w:t>
      </w:r>
    </w:p>
    <w:p>
      <w:r>
        <w:rPr>
          <w:b/>
        </w:rPr>
        <w:t xml:space="preserve">Testes predefinidos. </w:t>
      </w:r>
      <w:r>
        <w:rPr>
          <w:b w:val="0"/>
        </w:rPr>
        <w:t>K T11, regressão dos contratos usados e atualização de instalação anterior sintética.</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Sem cópias paralelas da mesma lógica; consumidor Report validado. Registar versão, resultados, limitações e responsável; um teste não executado mantém-se pendente.</w:t>
      </w:r>
    </w:p>
    <w:p>
      <w:r>
        <w:rPr>
          <w:b/>
        </w:rPr>
        <w:t xml:space="preserve">Gate de aprovação explícita. </w:t>
      </w:r>
      <w:r>
        <w:rPr>
          <w:b w:val="0"/>
        </w:rPr>
        <w:t>O responsável do produto aprova ou recusa K4 por escrito, com data e evidências. Só depois começa a fase seguinte. Uma data de calendário não substitui esta aprovação.</w:t>
      </w:r>
    </w:p>
    <w:p>
      <w:pPr>
        <w:pStyle w:val="Heading2"/>
      </w:pPr>
      <w:r>
        <w:t>K5 Apple e aceitação final</w:t>
      </w:r>
    </w:p>
    <w:p>
      <w:r>
        <w:t>Calendário proposto: 1 a 10 de novembro de 2026. Datas condicionadas à aprovação do gate anterior.</w:t>
      </w:r>
    </w:p>
    <w:p>
      <w:r>
        <w:rPr>
          <w:b/>
        </w:rPr>
        <w:t xml:space="preserve">Entradas. </w:t>
      </w:r>
      <w:r>
        <w:rPr>
          <w:b w:val="0"/>
        </w:rPr>
        <w:t>K4 aprovado, Mac mini configurado, Xcode e dispositivos de teste.</w:t>
      </w:r>
    </w:p>
    <w:p>
      <w:r>
        <w:rPr>
          <w:b/>
        </w:rPr>
        <w:t xml:space="preserve">Implementação. </w:t>
      </w:r>
      <w:r>
        <w:rPr>
          <w:b w:val="0"/>
        </w:rPr>
        <w:t>Validar adaptadores Apple, signing e comportamentos de storage/câmara/partilha; corrigir diferenças.</w:t>
      </w:r>
    </w:p>
    <w:p>
      <w:r>
        <w:rPr>
          <w:b/>
        </w:rPr>
        <w:t xml:space="preserve">Entregáveis. </w:t>
      </w:r>
      <w:r>
        <w:rPr>
          <w:b w:val="0"/>
        </w:rPr>
        <w:t>Matriz final por plataforma e versão Core pronta para release.</w:t>
      </w:r>
    </w:p>
    <w:p>
      <w:r>
        <w:rPr>
          <w:b/>
        </w:rPr>
        <w:t xml:space="preserve">Testes predefinidos. </w:t>
      </w:r>
      <w:r>
        <w:rPr>
          <w:b w:val="0"/>
        </w:rPr>
        <w:t>K T01 a K T12 relevantes executados em Apple; seleção justificada por adaptador, sem repetir toda a suite sem motivo.</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Pending Hardware encerrado por prova real para plataformas Apple publicadas; restantes plataformas com gate próprio. Registar versão, resultados, limitações e responsável; um teste não executado mantém-se pendente.</w:t>
      </w:r>
    </w:p>
    <w:p>
      <w:r>
        <w:rPr>
          <w:b/>
        </w:rPr>
        <w:t xml:space="preserve">Gate de aprovação explícita. </w:t>
      </w:r>
      <w:r>
        <w:rPr>
          <w:b w:val="0"/>
        </w:rPr>
        <w:t>O responsável do produto aprova ou recusa K5 por escrito, com data e evidências. Só depois começa a fase seguinte. Uma data de calendário não substitui esta aprovação.</w:t>
      </w:r>
    </w:p>
    <w:p>
      <w:pPr>
        <w:pStyle w:val="Heading1"/>
      </w:pPr>
      <w:r>
        <w:t>Método de execução e critérios de encerramento</w:t>
      </w:r>
    </w:p>
    <w:p>
      <w:r>
        <w:rPr>
          <w:b w:val="0"/>
        </w:rPr>
        <w:t>Cada fase segue a mesma sequência obrigatória: Inputs → Implementation → Deliverables → testes predefinidos → auditoria de código e arquitetura, segurança, privacidade e analytics → auditoria de código morto, duplicação e dependências não usadas → classificação dos defeitos → correções → Definition of Done → aprovação explícita → fase seguinte. Os cartões de fase deste documento concretizam as entradas, as saídas e os ensaios. As datas são metas de planeamento e não autorizam a passagem de um gate.</w:t>
      </w:r>
    </w:p>
    <w:p>
      <w:r>
        <w:rPr>
          <w:b w:val="0"/>
        </w:rPr>
        <w:t>Antes de escrever código, congelar o conjunto de aceitação da fase. Cada teste contém identificador, requisito, preparação, ação, resultado esperado, plataforma, dados de teste e responsável. Usar dados sintéticos. A prova guarda versão/commit, ambiente, data, resultado e ligação ao defeito, sem conteúdo pessoal. Uma simulação comprova o contrato simulado e não a disponibilidade do fornecedor.</w:t>
      </w:r>
    </w:p>
    <w:p>
      <w:r>
        <w:rPr>
          <w:b w:val="0"/>
        </w:rPr>
        <w:t>Uma auditoria de código e arquitetura revê limites dos módulos, fluxos de dados, migrações, compatibilidade e tratamento de falhas. A auditoria de segurança verifica autorização, isolamento, validação de entrada, segredos, dependências e configuração. A de privacidade percorre recolha, finalidade, retenção, exportação e eliminação. A de analytics verifica o evento efetivamente emitido e os filtros do servidor, incluindo a ausência de payloads sensíveis. A revisão de manutenção identifica caminhos mortos, funções repetidas, dependências e permissões sem consumidor. Nenhuma destas revisões é substituída por uma contagem de testes.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Severidade</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Critério operacional</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Regra do gate</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Blocker</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Impede avaliar a fase, requisito essencial ausente ou ausência de prova indispensável</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Não aprovar a fase afetada</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Critical</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Exposição de segredos ou de dados entre utilizadores, corrupção irreversível, comprometimento de assinatura ou confiança falsa</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Corrigir e confirmar a regressão antes da aprovação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High</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Função essencial insegura ou inutilizável, quota contornável, perda recuperável de dados ou privacidade incorreta</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Fechar antes do gate de release e antes de qualquer fase que dependa da função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Medium</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Falha com alternativa segura e impacto limitado, sem violação de segurança ou privacidade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Corrigir ou aceitar por escrito com responsável, prazo e controlo compensatório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Low</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Problema de apresentação ou manutenção sem efeito relevante no resultado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Corrigir ou registar no backlog com decisão explícita</w:t>
            </w:r>
          </w:p>
        </w:tc>
      </w:tr>
    </w:tbl>
    <w:p>
      <w:pPr>
        <w:spacing w:after="40"/>
      </w:pPr>
    </w:p>
    <w:p>
      <w:r>
        <w:rPr>
          <w:b w:val="0"/>
        </w:rPr>
        <w:t>Os defeitos são registos únicos com estado aberto, em correção, a verificar ou encerrado. Um defeito reaberto conserva o identificador. A aceitação de risco não transforma um teste falhado em aprovado. Segurança, isolamento, perda de evidência, exatidão numérica e declarações legais falsas não são rebaixados para cumprir a data.</w:t>
      </w:r>
    </w:p>
    <w:p>
      <w:r>
        <w:rPr>
          <w:b w:val="0"/>
        </w:rPr>
        <w:t>Para evitar uma espiral de testes, executar a bateria acordada uma vez por candidato. Após correções, repetir os casos que falharam e a regressão das áreas afetadas. Só acrescentar um teste se existir requisito omitido, defeito novo ou alteração de comportamento que o justifique. Se o mesmo gate continuar a falhar após duas rondas focadas de correção, parar a expansão do âmbito, identificar a causa e apresentar uma decisão de correção ou replaneamento. Este limite não permite publicar defeitos impeditivos.</w:t>
      </w:r>
    </w:p>
    <w:p>
      <w:r>
        <w:rPr>
          <w:b w:val="0"/>
        </w:rPr>
        <w:t>O dossier de gate inclui a lista de entregáveis e hashes, resultados pass/fail/pending/not applicable, parecer das auditorias, defeitos e decisões de risco, rollback quando aplicável, responsável e data. Pending Hardware tem uma justificação e uma janela de reexecução; nunca se converte automaticamente em pass. Aprovação escrita deve indicar documento, fase, versão e âmbito aprovado. A Direção aprova o âmbito e o risco; uma segunda pessoa qualificada é recomendada para segurança, engenharia e direito quando a matéria o exigir.</w:t>
      </w:r>
    </w:p>
    <w:p>
      <w:pPr>
        <w:pStyle w:val="Heading1"/>
      </w:pPr>
      <w:r>
        <w:t>Calendário integrado e dependências</w:t>
      </w:r>
    </w:p>
    <w:p>
      <w:r>
        <w:t>A meta inicial aprovada é 10 de novembro de 2026: dia 45 numa contagem inclusiva iniciada em 27 de setembro. O primeiro lote inclui Vision Field Report, o Core necessário, Vision Cloud Services, VisionWorldApps.com e as integrações necessárias com o Backoffice existente. A aplicação comercial do lote é o Field Report. Exige pacotes finais, testes e auditorias concluídos, operação preparada e dossier de submissão. Prever o envio elegível entre 6 e 10 de novembro; distinguir pacote pronto, submissão efetuada e aprovação da loja. O calendário detalhado por produto e burocracia está no documento 08 Calendário do primeiro lote de 45 dias, em Release Management. Datas em Asia/Riyadh; sistemas em UTC; Backoffice conserva os horários operacionais de Lisboa.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Janela em 2026</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Resultado esperado</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Dependência e decisão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27 a 30 de setembro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Aprovar requisitos, catálogo de inspeções, fontes de normas, dados e contratos; iniciar preparação das contas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Resolver lacunas do baseline e inventário AWS antes dos gates dependentes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1 a 7 de outubro</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Core local, identidade mínima e contratos Cloud em ambiente de teste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Aprovação de arquitetura e armazenamento seguro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8 a 14 de outubro</w:t>
            </w:r>
          </w:p>
        </w:tc>
        <w:tc>
          <w:tcPr>
            <w:tcW w:type="dxa" w:w="4000"/>
            <w:vAlign w:val="center"/>
            <w:shd w:fill="FFFFFF"/>
            <w:tcMar>
              <w:top w:w="95" w:type="dxa"/>
              <w:left w:w="95" w:type="dxa"/>
              <w:bottom w:w="95" w:type="dxa"/>
              <w:right w:w="95" w:type="dxa"/>
            </w:tcMar>
          </w:tcPr>
          <w:p>
            <w:pPr>
              <w:spacing w:after="80" w:before="80" w:line="252" w:lineRule="auto"/>
            </w:pPr>
            <w:r>
              <w:rPr>
                <w:sz w:val="18"/>
              </w:rPr>
              <w:t>Report com findings, medições e evidência; beta Android utilizável; quotas e entitlements Cloud</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Dados estruturados e autorização por recurso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sz w:val="18"/>
              </w:rPr>
              <w:t>15 a 21 de outubro</w:t>
            </w:r>
          </w:p>
        </w:tc>
        <w:tc>
          <w:tcPr>
            <w:tcW w:type="dxa" w:w="4000"/>
            <w:vAlign w:val="center"/>
            <w:shd w:fill="F1F5F7"/>
            <w:tcMar>
              <w:top w:w="95" w:type="dxa"/>
              <w:left w:w="95" w:type="dxa"/>
              <w:bottom w:w="95" w:type="dxa"/>
              <w:right w:w="95" w:type="dxa"/>
            </w:tcMar>
          </w:tcPr>
          <w:p>
            <w:pPr>
              <w:spacing w:after="80" w:before="80" w:line="252" w:lineRule="auto"/>
            </w:pPr>
            <w:r>
              <w:rPr>
                <w:sz w:val="18"/>
              </w:rPr>
              <w:t>Beta fechada em 15 de outubro; concluir Standards, quotas, configuração, suporte, analytics e website em staging</w:t>
            </w:r>
          </w:p>
        </w:tc>
        <w:tc>
          <w:tcPr>
            <w:tcW w:type="dxa" w:w="3810"/>
            <w:vAlign w:val="center"/>
            <w:shd w:fill="F1F5F7"/>
            <w:tcMar>
              <w:top w:w="95" w:type="dxa"/>
              <w:left w:w="95" w:type="dxa"/>
              <w:bottom w:w="95" w:type="dxa"/>
              <w:right w:w="95" w:type="dxa"/>
            </w:tcMar>
          </w:tcPr>
          <w:p>
            <w:pPr>
              <w:spacing w:after="80" w:before="80" w:line="252" w:lineRule="auto"/>
            </w:pPr>
            <w:r>
              <w:rPr>
                <w:sz w:val="18"/>
              </w:rPr>
              <w:t>Gate de beta até 14 de outubro; versões finais entram no teste com feedback registado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sz w:val="18"/>
              </w:rPr>
              <w:t>22 a 29 de outubro</w:t>
            </w:r>
          </w:p>
        </w:tc>
        <w:tc>
          <w:tcPr>
            <w:tcW w:type="dxa" w:w="4000"/>
            <w:vAlign w:val="center"/>
            <w:shd w:fill="FFFFFF"/>
            <w:tcMar>
              <w:top w:w="95" w:type="dxa"/>
              <w:left w:w="95" w:type="dxa"/>
              <w:bottom w:w="95" w:type="dxa"/>
              <w:right w:w="95" w:type="dxa"/>
            </w:tcMar>
          </w:tcPr>
          <w:p>
            <w:pPr>
              <w:spacing w:after="80" w:before="80" w:line="252" w:lineRule="auto"/>
            </w:pPr>
            <w:r>
              <w:rPr>
                <w:sz w:val="18"/>
              </w:rPr>
              <w:t>Integração, hardening e candidato completo Windows/Android; conteúdo legal e operação finalizados</w:t>
            </w:r>
          </w:p>
        </w:tc>
        <w:tc>
          <w:tcPr>
            <w:tcW w:type="dxa" w:w="3810"/>
            <w:vAlign w:val="center"/>
            <w:shd w:fill="FFFFFF"/>
            <w:tcMar>
              <w:top w:w="95" w:type="dxa"/>
              <w:left w:w="95" w:type="dxa"/>
              <w:bottom w:w="95" w:type="dxa"/>
              <w:right w:w="95" w:type="dxa"/>
            </w:tcMar>
          </w:tcPr>
          <w:p>
            <w:pPr>
              <w:spacing w:after="80" w:before="80" w:line="252" w:lineRule="auto"/>
            </w:pPr>
            <w:r>
              <w:rPr>
                <w:sz w:val="18"/>
              </w:rPr>
              <w:t>Em 29 de outubro, confirmar 14 dias e prontidão antes do pedido de acesso à produção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sz w:val="18"/>
              </w:rPr>
              <w:t>30 a 31 de outubro</w:t>
            </w:r>
          </w:p>
        </w:tc>
        <w:tc>
          <w:tcPr>
            <w:tcW w:type="dxa" w:w="4000"/>
            <w:vAlign w:val="center"/>
            <w:shd w:fill="F1F5F7"/>
            <w:tcMar>
              <w:top w:w="95" w:type="dxa"/>
              <w:left w:w="95" w:type="dxa"/>
              <w:bottom w:w="95" w:type="dxa"/>
              <w:right w:w="95" w:type="dxa"/>
            </w:tcMar>
          </w:tcPr>
          <w:p>
            <w:pPr>
              <w:spacing w:after="80" w:before="80" w:line="252" w:lineRule="auto"/>
            </w:pPr>
            <w:r>
              <w:rPr>
                <w:sz w:val="18"/>
              </w:rPr>
              <w:t>Reserva para defeitos e dossier; receção/configuração do Mac se disponível; marco próprio do Backoffice</w:t>
            </w:r>
          </w:p>
        </w:tc>
        <w:tc>
          <w:tcPr>
            <w:tcW w:type="dxa" w:w="3810"/>
            <w:vAlign w:val="center"/>
            <w:shd w:fill="F1F5F7"/>
            <w:tcMar>
              <w:top w:w="95" w:type="dxa"/>
              <w:left w:w="95" w:type="dxa"/>
              <w:bottom w:w="95" w:type="dxa"/>
              <w:right w:w="95" w:type="dxa"/>
            </w:tcMar>
          </w:tcPr>
          <w:p>
            <w:pPr>
              <w:spacing w:after="80" w:before="80" w:line="252" w:lineRule="auto"/>
            </w:pPr>
            <w:r>
              <w:rPr>
                <w:sz w:val="18"/>
              </w:rPr>
              <w:t>Mac previsto para o fim do mês, sem data de entrega confirmada; Apple Pending Hardware até testes reais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1 a 5 de novembro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Build, testes físicos, assinatura e validação Apple; correções com âmbito controlado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Mac, Xcode, dispositivos e Apple Developer disponíveis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sz w:val="18"/>
              </w:rPr>
              <w:t>6 a 9 de novembro</w:t>
            </w:r>
          </w:p>
        </w:tc>
        <w:tc>
          <w:tcPr>
            <w:tcW w:type="dxa" w:w="4000"/>
            <w:vAlign w:val="center"/>
            <w:shd w:fill="F1F5F7"/>
            <w:tcMar>
              <w:top w:w="95" w:type="dxa"/>
              <w:left w:w="95" w:type="dxa"/>
              <w:bottom w:w="95" w:type="dxa"/>
              <w:right w:w="95" w:type="dxa"/>
            </w:tcMar>
          </w:tcPr>
          <w:p>
            <w:pPr>
              <w:spacing w:after="80" w:before="80" w:line="252" w:lineRule="auto"/>
            </w:pPr>
            <w:r>
              <w:rPr>
                <w:sz w:val="18"/>
              </w:rPr>
              <w:t>Auditoria final, restauro, rollback, eliminação e submissões elegíveis após aprovação por plataforma</w:t>
            </w:r>
          </w:p>
        </w:tc>
        <w:tc>
          <w:tcPr>
            <w:tcW w:type="dxa" w:w="3810"/>
            <w:vAlign w:val="center"/>
            <w:shd w:fill="F1F5F7"/>
            <w:tcMar>
              <w:top w:w="95" w:type="dxa"/>
              <w:left w:w="95" w:type="dxa"/>
              <w:bottom w:w="95" w:type="dxa"/>
              <w:right w:w="95" w:type="dxa"/>
            </w:tcMar>
          </w:tcPr>
          <w:p>
            <w:pPr>
              <w:spacing w:after="80" w:before="80" w:line="252" w:lineRule="auto"/>
            </w:pPr>
            <w:r>
              <w:rPr>
                <w:sz w:val="18"/>
              </w:rPr>
              <w:t>Dossier completo e contas habilitadas; registar recibos de submissão e pendências externas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sz w:val="18"/>
              </w:rPr>
              <w:t>10 de novembro</w:t>
            </w:r>
          </w:p>
        </w:tc>
        <w:tc>
          <w:tcPr>
            <w:tcW w:type="dxa" w:w="4000"/>
            <w:vAlign w:val="center"/>
            <w:shd w:fill="FFFFFF"/>
            <w:tcMar>
              <w:top w:w="95" w:type="dxa"/>
              <w:left w:w="95" w:type="dxa"/>
              <w:bottom w:w="95" w:type="dxa"/>
              <w:right w:w="95" w:type="dxa"/>
            </w:tcMar>
          </w:tcPr>
          <w:p>
            <w:pPr>
              <w:spacing w:after="80" w:before="80" w:line="252" w:lineRule="auto"/>
            </w:pPr>
            <w:r>
              <w:rPr>
                <w:sz w:val="18"/>
              </w:rPr>
              <w:t>Dia 45 e gate de prontidão do lote para deployment e submissão</w:t>
            </w:r>
          </w:p>
        </w:tc>
        <w:tc>
          <w:tcPr>
            <w:tcW w:type="dxa" w:w="3810"/>
            <w:vAlign w:val="center"/>
            <w:shd w:fill="FFFFFF"/>
            <w:tcMar>
              <w:top w:w="95" w:type="dxa"/>
              <w:left w:w="95" w:type="dxa"/>
              <w:bottom w:w="95" w:type="dxa"/>
              <w:right w:w="95" w:type="dxa"/>
            </w:tcMar>
          </w:tcPr>
          <w:p>
            <w:pPr>
              <w:spacing w:after="80" w:before="80" w:line="252" w:lineRule="auto"/>
            </w:pPr>
            <w:r>
              <w:rPr>
                <w:sz w:val="18"/>
              </w:rPr>
              <w:t>Produto aprova por plataforma; aprovação externa e publicação têm estados separados</w:t>
            </w:r>
          </w:p>
        </w:tc>
      </w:tr>
    </w:tbl>
    <w:p>
      <w:pPr>
        <w:spacing w:after="40"/>
      </w:pPr>
    </w:p>
    <w:p>
      <w:r>
        <w:t>Para uma conta Google pessoal abrangida pela regra, planear o teste fechado de 15 a 29 de outubro. A beta utilizável exige aprovação interna até 14 de outubro. O alvo é ter pelo menos 12 testers elegíveis com opt-in contínuo desde 15 de outubro às 10h00 de Riyadh; completar 14 períodos de 24 horas em 29 de outubro às 10h00. Confirmar a hora real e a elegibilidade na Play Console. A beta recebe as funções finais e correções durante o teste; só pedir acesso à produção quando o candidato completo estiver pronto e o feedback tratado. Pedido alvo em 29 de outubro após G4; reservar até 5 de novembro para a análise, que pode demorar mais. Manter testes e acompanhamento durante a revisão. O cumprimento temporal não garante aprovação. Se faltar acesso à produção, registar pacote pronto com acesso pendente; não declarar submissão de produção.</w:t>
      </w:r>
    </w:p>
    <w:p>
      <w:r>
        <w:t>As datas comerciais anteriormente propostas para PhotoProof e Field Calc ficam retiradas por não terem aprovação. Estes produtos conservam os seus PRDs e a sequência de fases, com implementação comercial a calendarizar num lote próprio. Até 10 de novembro apenas se consolidam os contratos e componentes reutilizáveis previstos, sem apresentar essas apps como prontas para o mercado. O verificador PhotoProof só entra em produção após aprovação de Trust e PhotoProof. Esta decisão preserva a composição e a data do primeiro lote aprovadas pelo responsável.</w:t>
      </w:r>
    </w:p>
    <w:p>
      <w:r>
        <w:rPr>
          <w:b w:val="0"/>
        </w:rPr>
        <w:t>A carga do Backoffice já tem uma meta anterior de 31 de outubro e não tem uma semana inteira de folga. Este calendário é uma meta condicionada à capacidade disponível, e não uma estimativa validada de esforço para uma única pessoa executar todos os produtos em simultâneo. Até 30 de setembro, registar horas disponíveis, trabalho restante e responsáveis; até 7 de outubro, confrontar a velocidade real com o caminho crítico. Se não houver capacidade, manter a prioridade do conjunto de 10 de novembro e apresentar alterações de prazo ou âmbito à Direção. Não retirar tipos de inspeção, controles de segurança ou funções essenciais sem aprovação.</w:t>
      </w:r>
    </w:p>
    <w:p>
      <w:pPr>
        <w:pStyle w:val="Heading1"/>
      </w:pPr>
      <w:r>
        <w:t>Aceitação de release e operação</w:t>
      </w:r>
    </w:p>
    <w:p>
      <w:r>
        <w:rPr>
          <w:b w:val="0"/>
        </w:rPr>
        <w:t>A release contém identificador único, versão de produto e build, commit de origem, lockfiles, lista de componentes e licenças, hashes dos artefactos, alterações de dados, compatibilidade de API e plano de recuperação. Dev, staging e produção têm contas ou recursos, chaves e dados separados. Uma flag remota não pode ativar uma função que não foi revista nem transformar um candidato em versão aprovada.</w:t>
      </w:r>
    </w:p>
    <w:p>
      <w:r>
        <w:rPr>
          <w:b w:val="0"/>
        </w:rPr>
        <w:t>O gate final verifica o caminho principal, falha de rede, recuperação de armazenamento, permissões recusadas, isolamento entre contas e apps, restauração de compra quando aplicável, cancelamento sem eliminação indevida, exportação e eliminação de dados, eventos de analytics, suporte e rollback. O ensaio utiliza as versões que serão publicadas. O resultado de staging não prova uma instalação Apple ou Android assinada se essa instalação não tiver sido testada.</w:t>
      </w:r>
    </w:p>
    <w:p>
      <w:r>
        <w:rPr>
          <w:b w:val="0"/>
        </w:rPr>
        <w:t>Publicação, aceitação de contratos e compras são atos operacionais separados da produção destes PRDs. O pacote fica pronto para a Direção decidir. A documentação de release regista testes ainda pendentes, dependências externas, responsáveis pelos incidentes e critérios de interrupção. Um crash que afete a integridade, exposição de dados, assinatura inválida, cobrança duplicada ou fuga de quota interrompe a promoção. Incidentes meramente visuais seguem a severidade documentada.</w:t>
      </w:r>
    </w:p>
    <w:p>
      <w:r>
        <w:rPr>
          <w:b w:val="0"/>
        </w:rPr>
        <w:t>Após publicação autorizada, acompanhar as primeiras 24 e 72 horas com métricas agregadas, taxas de falha, filas e orçamento. O rollback do servidor deve manter compatibilidade com clientes já distribuídos; uma migração destrutiva exige plano independente e não se presume reversível. Uma versão antiga da app conserva exportação e acesso local seguro, sempre que tecnicamente possível, mesmo se operações remotas forem bloqueadas por risco comprovado.</w:t>
      </w:r>
    </w:p>
    <w:p>
      <w:pPr>
        <w:pStyle w:val="Heading1"/>
      </w:pPr>
      <w:r>
        <w:t>Decisões a fechar e fontes</w:t>
      </w:r>
    </w:p>
    <w:p>
      <w:r>
        <w:rPr>
          <w:b w:val="0"/>
        </w:rPr>
        <w:t>Fechar em K0 a biblioteca de DB/cifra, política de recuperação de chave, secure storage por plataforma e versões mínimas de sistema operativo. Em K2, confirmar catálogo de unidades e documentos normativos reais. Em K3, decidir quais os dados sincronizados e resolver a retenção local/remota. Não ativar dependências PhotoProof/Calc antecipadamente para obter uma aparência de Core completo.</w:t>
      </w:r>
    </w:p>
    <w:p>
      <w:r>
        <w:rPr>
          <w:b w:val="0"/>
        </w:rPr>
        <w:t>Fonte de preparação Apple consultada em 27 de setembro de 2026: https://docs.flutter.dev/platform-integration/ios/setup . O estado do Windows descrito na conversa é histórico; a validação do ambiente e versões efetivas é um entregável do gate K0.</w:t>
      </w:r>
    </w:p>
    <w:sectPr w:rsidR="00FC693F" w:rsidRPr="0006063C" w:rsidSect="00034616">
      <w:footerReference w:type="default" r:id="rId9"/>
      <w:pgSz w:w="12240" w:h="15840"/>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Vision World Apps  |  02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lang w:val="pt-PT"/>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8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Field Tools Core Requisitos dos componentes partilhados em Flutter e Dart</dc:title>
  <dc:subject>Requisitos dos componentes partilhados em Flutter e Dart</dc:subject>
  <dc:creator>Vision World Apps</dc:creator>
  <cp:keywords/>
  <dc:description>generated by python-docx</dc:description>
  <cp:lastModifiedBy/>
  <cp:revision>1</cp:revision>
  <dcterms:created xsi:type="dcterms:W3CDTF">2013-12-23T23:15:00Z</dcterms:created>
  <dcterms:modified xsi:type="dcterms:W3CDTF">2013-12-23T23:15:00Z</dcterms:modified>
  <cp:category/>
  <dc:language>pt-PT</dc:language>
  <cp:version>1.1</cp:version>
</cp:coreProperties>
</file>