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this lab series, we embark on the development of 'AirWatcher', an advanced software application commissioned by a government agency for environmental protection. The application is pivotal in analyzing data from a comprehensive network of air quality sensors, ensuring meticulous surveillance over an extensive territory. AirWatcher's capabilities extend beyond mere data collection; it is designed to identify and troubleshoot malfunctioning sensors, synthesize data into actionable insights, and deliver real-time air quality evaluations.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Central to AirWatcher's operation is the government agency, the system's primary user, charged with the critical task of regional air quality oversight. The agency leverages AirWatcher for continuous monitoring, sensor management, and detailed analytical reporting to inform policy-making and public engagement. Furthermore, the system plays a strategic role in assessing the influence of air purifiers provided by third-party companies, gauging their efficacy in improving environmental conditions.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Providers of these air purifiers, integral users of AirWatcher, utilize the software to track the performance of their products, manage operational data, and make informed decisions based on environmental feedback. These collaborations enrich the agency's understanding of intervention impacts and contribute to a cohesive environmental management strategy.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application also empowers private individuals, volunteer contributors to the sensor network, to share their localized air quality data. Their engagement is facilitated by a points system that rewards contributions, providing a personal stake in environmental health. In return, they receive insights into local air quality and feedback on sensor reliability, fostering a community-driven approach to environmental monitoring.</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incorporating stringent security measures, AirWatcher ensures data integrity is paramount, allowing for the isolation and correction of unreliable inputs. The application is underpinned by a commitment to performance, with algorithms optimized for swift and precise execution, thus enhancing the agency's responsiveness to environmental changes.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AirWatcher stands as a beacon of environmental stewardship, a testament to the synergy between software engineering excellence and ecological conservation. The ensuing documentation maps out the development journey, detailing our structured approach to fulfilling the agency's ambitious vision for a comprehensive air quality monitoring system.</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