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816"/>
        <w:gridCol w:w="2146"/>
        <w:gridCol w:w="1879"/>
        <w:gridCol w:w="3797"/>
        <w:tblGridChange w:id="0">
          <w:tblGrid>
            <w:gridCol w:w="1816"/>
            <w:gridCol w:w="2146"/>
            <w:gridCol w:w="1879"/>
            <w:gridCol w:w="379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Intention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Contrôle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Action/Evt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Réponse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INITIALISATION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- Débloquer le bouton “Demander un Soutien” dans le menu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rFonts w:ascii="Carlito" w:cs="Carlito" w:eastAsia="Carlito" w:hAnsi="Carlito"/>
                <w:b w:val="1"/>
                <w:color w:val="800080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- Bloquer et griser le bouton de la page actuelle ”Historique de démandes” dans le menu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Afficher les éléments correspondants à cette fenêtre (Titre, case des historiques)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i w:val="1"/>
                <w:color w:val="800080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Carlito" w:cs="Carlito" w:eastAsia="Carlito" w:hAnsi="Carlito"/>
                <w:i w:val="1"/>
                <w:color w:val="800080"/>
                <w:sz w:val="20"/>
                <w:szCs w:val="20"/>
                <w:rtl w:val="0"/>
              </w:rPr>
              <w:t xml:space="preserve">ModeEtudiant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88" w:lineRule="auto"/>
              <w:rPr>
                <w:rFonts w:ascii="Carlito" w:cs="Carlito" w:eastAsia="Carlito" w:hAnsi="Carlito"/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i w:val="1"/>
                <w:color w:val="ff0000"/>
                <w:sz w:val="20"/>
                <w:szCs w:val="20"/>
                <w:rtl w:val="0"/>
              </w:rPr>
              <w:t xml:space="preserve">    -</w:t>
            </w:r>
            <w:r w:rsidDel="00000000" w:rsidR="00000000" w:rsidRPr="00000000">
              <w:rPr>
                <w:rFonts w:ascii="Carlito" w:cs="Carlito" w:eastAsia="Carlito" w:hAnsi="Carlito"/>
                <w:b w:val="1"/>
                <w:i w:val="1"/>
                <w:color w:val="ff0000"/>
                <w:sz w:val="20"/>
                <w:szCs w:val="20"/>
                <w:rtl w:val="0"/>
              </w:rPr>
              <w:t xml:space="preserve"> obtenirSoutiens(etudiantID)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88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sinon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88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   - </w:t>
            </w:r>
            <w:r w:rsidDel="00000000" w:rsidR="00000000" w:rsidRPr="00000000">
              <w:rPr>
                <w:rFonts w:ascii="Carlito" w:cs="Carlito" w:eastAsia="Carlito" w:hAnsi="Carlito"/>
                <w:b w:val="1"/>
                <w:i w:val="1"/>
                <w:color w:val="ff0000"/>
                <w:sz w:val="20"/>
                <w:szCs w:val="20"/>
                <w:rtl w:val="0"/>
              </w:rPr>
              <w:t xml:space="preserve">obtenirSoutiens(intervenantID)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Ouvrir un bilan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Bouton : voir le bilan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ff8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ff8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- Passer à la 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fenêtre </w:t>
            </w: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Bilan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Changer la fenêtre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Menu : Tableau de bord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Menu : Demander un soutien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ff8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ff8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color w:val="ff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color w:val="ff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rFonts w:ascii="Carlito" w:cs="Carlito" w:eastAsia="Carlito" w:hAnsi="Carlito"/>
                <w:color w:val="ff8000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color w:val="ff8000"/>
                <w:sz w:val="20"/>
                <w:szCs w:val="20"/>
                <w:rtl w:val="0"/>
              </w:rPr>
              <w:t xml:space="preserve">Clic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Passer à la 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fenêtre Tableau de bord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Passer à la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fenêtre Demander un soutien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Se déconnecter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Bouton: « Connexion »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color w:val="ff8000"/>
                <w:sz w:val="20"/>
                <w:szCs w:val="20"/>
                <w:rtl w:val="0"/>
              </w:rPr>
              <w:t xml:space="preserve">Clic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- Passer à la fenêtre Connexion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Modes</w:t>
            </w:r>
          </w:p>
        </w:tc>
      </w:tr>
      <w:tr>
        <w:trPr>
          <w:cantSplit w:val="0"/>
          <w:trHeight w:val="100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i w:val="1"/>
                <w:color w:val="800080"/>
                <w:sz w:val="20"/>
                <w:szCs w:val="20"/>
                <w:rtl w:val="0"/>
              </w:rPr>
              <w:t xml:space="preserve">ModeEtudiant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Afficher la colonne ‘Intervenant’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rFonts w:ascii="Carlito" w:cs="Carlito" w:eastAsia="Carlito" w:hAnsi="Carlito"/>
                <w:i w:val="1"/>
                <w:color w:val="800080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i w:val="1"/>
                <w:color w:val="800080"/>
                <w:sz w:val="20"/>
                <w:szCs w:val="20"/>
                <w:rtl w:val="0"/>
              </w:rPr>
              <w:t xml:space="preserve">ModeIntervenant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Titre de colonne etudiant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Afficher la colonne ‘étudiants’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Afficher le bouton table de bord</w:t>
            </w:r>
          </w:p>
        </w:tc>
      </w:tr>
    </w:tbl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rl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13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lito-regular.ttf"/><Relationship Id="rId2" Type="http://schemas.openxmlformats.org/officeDocument/2006/relationships/font" Target="fonts/Carlito-bold.ttf"/><Relationship Id="rId3" Type="http://schemas.openxmlformats.org/officeDocument/2006/relationships/font" Target="fonts/Carlito-italic.ttf"/><Relationship Id="rId4" Type="http://schemas.openxmlformats.org/officeDocument/2006/relationships/font" Target="fonts/Carl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