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80" w:before="0" w:line="360"/>
        <w:jc w:val="center"/>
      </w:pPr>
      <w:r>
        <w:rPr>
          <w:rFonts w:ascii="Times New Roman" w:cs="Times New Roman" w:eastAsia="Times New Roman" w:hAnsi="Times New Roman"/>
          <w:b/>
          <w:bCs/>
          <w:i w:val="false"/>
          <w:iCs w:val="false"/>
          <w:sz w:val="32"/>
          <w:szCs w:val="32"/>
        </w:rPr>
        <w:t xml:space="preserve">HACKBIZ UAGRM</w:t>
      </w:r>
    </w:p>
    <w:p>
      <w:pPr>
        <w:spacing w:after="40" w:before="0" w:line="360"/>
        <w:jc w:val="center"/>
      </w:pPr>
      <w:r>
        <w:rPr>
          <w:rFonts w:ascii="Times New Roman" w:cs="Times New Roman" w:eastAsia="Times New Roman" w:hAnsi="Times New Roman"/>
          <w:b w:val="false"/>
          <w:bCs w:val="false"/>
          <w:i w:val="false"/>
          <w:iCs w:val="false"/>
          <w:sz w:val="22"/>
          <w:szCs w:val="22"/>
        </w:rPr>
        <w:t xml:space="preserve">Facultad de Ciencias Económicas y Empresariales</w:t>
      </w:r>
    </w:p>
    <w:p>
      <w:pPr>
        <w:spacing w:after="40" w:before="0" w:line="360"/>
        <w:jc w:val="center"/>
      </w:pPr>
      <w:r>
        <w:rPr>
          <w:rFonts w:ascii="Times New Roman" w:cs="Times New Roman" w:eastAsia="Times New Roman" w:hAnsi="Times New Roman"/>
          <w:b w:val="false"/>
          <w:bCs w:val="false"/>
          <w:i w:val="false"/>
          <w:iCs w:val="false"/>
          <w:sz w:val="22"/>
          <w:szCs w:val="22"/>
        </w:rPr>
        <w:t xml:space="preserve">Universidad Autónoma Gabriel René Moreno</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Centro de Innovación y Emprendimiento Universitario</w:t>
      </w:r>
    </w:p>
    <w:p>
      <w:pPr>
        <w:spacing w:after="120" w:before="0" w:line="360"/>
        <w:jc w:val="center"/>
      </w:pPr>
      <w:r>
        <w:rPr>
          <w:rFonts w:ascii="Times New Roman" w:cs="Times New Roman" w:eastAsia="Times New Roman" w:hAnsi="Times New Roman"/>
          <w:b/>
          <w:bCs/>
          <w:i w:val="false"/>
          <w:iCs w:val="false"/>
          <w:sz w:val="44"/>
          <w:szCs w:val="44"/>
        </w:rPr>
        <w:t xml:space="preserve">YAIS RED</w:t>
      </w:r>
    </w:p>
    <w:p>
      <w:pPr>
        <w:spacing w:after="400" w:before="0" w:line="360"/>
        <w:jc w:val="center"/>
      </w:pPr>
      <w:r>
        <w:rPr>
          <w:rFonts w:ascii="Times New Roman" w:cs="Times New Roman" w:eastAsia="Times New Roman" w:hAnsi="Times New Roman"/>
          <w:b/>
          <w:bCs/>
          <w:i w:val="false"/>
          <w:iCs w:val="false"/>
          <w:color w:val="C00000"/>
          <w:sz w:val="30"/>
          <w:szCs w:val="30"/>
        </w:rPr>
        <w:t xml:space="preserve">La Isla de los Acuerdos</w:t>
      </w:r>
    </w:p>
    <w:p>
      <w:pPr>
        <w:spacing w:after="80" w:before="0" w:line="360"/>
        <w:jc w:val="center"/>
      </w:pPr>
      <w:r>
        <w:rPr>
          <w:rFonts w:ascii="Times New Roman" w:cs="Times New Roman" w:eastAsia="Times New Roman" w:hAnsi="Times New Roman"/>
          <w:b/>
          <w:bCs/>
          <w:i w:val="false"/>
          <w:iCs w:val="false"/>
          <w:sz w:val="26"/>
          <w:szCs w:val="26"/>
        </w:rPr>
        <w:t xml:space="preserve">THE “B” CANVAS BUSINESS MODEL</w:t>
      </w:r>
    </w:p>
    <w:p>
      <w:pPr>
        <w:spacing w:after="500" w:before="0" w:line="360"/>
        <w:jc w:val="center"/>
      </w:pPr>
      <w:r>
        <w:rPr>
          <w:rFonts w:ascii="Times New Roman" w:cs="Times New Roman" w:eastAsia="Times New Roman" w:hAnsi="Times New Roman"/>
          <w:b w:val="false"/>
          <w:bCs w:val="false"/>
          <w:i/>
          <w:iCs/>
          <w:sz w:val="22"/>
          <w:szCs w:val="22"/>
        </w:rPr>
        <w:t xml:space="preserve">Comienza por el problema y el propósito no por el producto o el mercado</w:t>
      </w:r>
    </w:p>
    <w:p>
      <w:pPr>
        <w:spacing w:after="100" w:before="0" w:line="360"/>
        <w:jc w:val="center"/>
      </w:pPr>
      <w:r>
        <w:rPr>
          <w:rFonts w:ascii="Times New Roman" w:cs="Times New Roman" w:eastAsia="Times New Roman" w:hAnsi="Times New Roman"/>
          <w:b/>
          <w:bCs/>
          <w:i w:val="false"/>
          <w:iCs w:val="false"/>
          <w:sz w:val="24"/>
          <w:szCs w:val="24"/>
        </w:rPr>
        <w:t xml:space="preserve">Integrantes</w:t>
      </w:r>
    </w:p>
    <w:p>
      <w:pPr>
        <w:spacing w:after="40" w:before="0" w:line="360"/>
        <w:jc w:val="center"/>
      </w:pPr>
      <w:r>
        <w:rPr>
          <w:rFonts w:ascii="Times New Roman" w:cs="Times New Roman" w:eastAsia="Times New Roman" w:hAnsi="Times New Roman"/>
          <w:b w:val="false"/>
          <w:bCs w:val="false"/>
          <w:i w:val="false"/>
          <w:iCs w:val="false"/>
          <w:sz w:val="24"/>
          <w:szCs w:val="24"/>
        </w:rPr>
        <w:t xml:space="preserve">Arianna — Facultad de Humanidades (FH), Psicología</w:t>
      </w:r>
    </w:p>
    <w:p>
      <w:pPr>
        <w:spacing w:after="40" w:before="0" w:line="360"/>
        <w:jc w:val="center"/>
      </w:pPr>
      <w:r>
        <w:rPr>
          <w:rFonts w:ascii="Times New Roman" w:cs="Times New Roman" w:eastAsia="Times New Roman" w:hAnsi="Times New Roman"/>
          <w:b w:val="false"/>
          <w:bCs w:val="false"/>
          <w:i w:val="false"/>
          <w:iCs w:val="false"/>
          <w:sz w:val="24"/>
          <w:szCs w:val="24"/>
        </w:rPr>
        <w:t xml:space="preserve">Gabriel Mamani — FICCT, desarrollo fullstack</w:t>
      </w:r>
    </w:p>
    <w:p>
      <w:pPr>
        <w:spacing w:after="40" w:before="0" w:line="360"/>
        <w:jc w:val="center"/>
      </w:pPr>
      <w:r>
        <w:rPr>
          <w:rFonts w:ascii="Times New Roman" w:cs="Times New Roman" w:eastAsia="Times New Roman" w:hAnsi="Times New Roman"/>
          <w:b w:val="false"/>
          <w:bCs w:val="false"/>
          <w:i w:val="false"/>
          <w:iCs w:val="false"/>
          <w:sz w:val="24"/>
          <w:szCs w:val="24"/>
        </w:rPr>
        <w:t xml:space="preserve">Diego Saavedra — FICCT, desarrollo y arte 3D</w:t>
      </w:r>
    </w:p>
    <w:p>
      <w:pPr>
        <w:spacing w:after="400" w:before="0" w:line="360"/>
        <w:jc w:val="center"/>
      </w:pPr>
      <w:r>
        <w:rPr>
          <w:rFonts w:ascii="Times New Roman" w:cs="Times New Roman" w:eastAsia="Times New Roman" w:hAnsi="Times New Roman"/>
          <w:b w:val="false"/>
          <w:bCs w:val="false"/>
          <w:i w:val="false"/>
          <w:iCs w:val="false"/>
          <w:sz w:val="24"/>
          <w:szCs w:val="24"/>
        </w:rPr>
        <w:t xml:space="preserve">Mauricio Núñez — FICCT, negocios y marketing</w:t>
      </w:r>
    </w:p>
    <w:p>
      <w:pPr>
        <w:spacing w:after="120" w:before="0" w:line="360"/>
        <w:jc w:val="center"/>
      </w:pPr>
      <w:r>
        <w:rPr>
          <w:rFonts w:ascii="Times New Roman" w:cs="Times New Roman" w:eastAsia="Times New Roman" w:hAnsi="Times New Roman"/>
          <w:b w:val="false"/>
          <w:bCs w:val="false"/>
          <w:i w:val="false"/>
          <w:iCs w:val="false"/>
          <w:sz w:val="22"/>
          <w:szCs w:val="22"/>
        </w:rPr>
        <w:t xml:space="preserve">Santa Cruz de la Sierra, Bolivia — Septiembre de 2026</w:t>
      </w:r>
    </w:p>
    <w:p>
      <w:r>
        <w:br w:type="page"/>
      </w:r>
    </w:p>
    <w:p>
      <w:pPr>
        <w:pStyle w:val="Heading1"/>
        <w:spacing w:after="160" w:before="280" w:line="360"/>
      </w:pPr>
      <w:r>
        <w:t xml:space="preserve">Resumen Ejecutivo</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En 2025 Bolivia registró 2.313 denuncias por violación de infantes, niñas, niños y adolescentes, y Santa Cruz concentró la mayor cantidad de denuncias del país. Entre el 85 % y el 93 % de los casos de abuso sexual infantil son cometidos por una persona que la niña o el niño ya conoce, con frecuencia del entorno familiar cercano. La consecuencia práctica es incómoda pero clara: la red que debería proteger es, en muchos casos, la misma donde ocurre el daño.</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La Isla de los Acuerdos es una experiencia web 3D de prevención primaria donde niñas y niños de 6 a 12 años practican, jugando, tres habilidades concretas: reconocer y expresar sus límites corporales, distinguir un secreto que pesa de una sorpresa, y pedir ayuda a una persona adulta de confianza que puede estar en su casa, en su escuela o en su comunidad. No diagnostica, no conversa con el niño por chat y no almacena relatos de menores.</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No se vende software suelto: se vende un programa acompañado. Cada licencia incluye cuatro episodios jugables, guía de facilitación, capacitación docente, un panel de seguimiento para el facilitador, material para familias y un protocolo de derivación contextualizado a la normativa boliviana. La experiencia corre en un solo dispositivo proyectado, sin instalar nada, sobre el equipamiento que la escuela ya tiene.</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El modelo de ingresos combina licencia mensual por aula en colegios privados (US$ 9,99), contratos de beca con organizaciones no gubernamentales que financian el acceso de escuelas fiscales, capacitación e implementación, patrocinio empresarial y subvenciones destinadas exclusivamente a desarrollo y evaluación. El equipo fundador aporta su trabajo sin sueldo durante el primer año, de modo que el capital semilla de Bs 12.000 se destina íntegramente a herramientas, constitución legal básica y activación comercial.</w:t>
      </w:r>
    </w:p>
    <w:p>
      <w:pPr>
        <w:spacing w:after="120" w:line="360"/>
        <w:ind w:firstLine="720"/>
        <w:jc w:val="left"/>
      </w:pPr>
      <w:r>
        <w:rPr>
          <w:rFonts w:ascii="Times New Roman" w:cs="Times New Roman" w:eastAsia="Times New Roman" w:hAnsi="Times New Roman"/>
          <w:b w:val="false"/>
          <w:bCs w:val="false"/>
          <w:i w:val="false"/>
          <w:iCs w:val="false"/>
          <w:sz w:val="24"/>
          <w:szCs w:val="24"/>
        </w:rPr>
        <w:t xml:space="preserve">El punto de equilibrio operativo se alcanza con 35 aulas activas en el escenario de caja del primer año, y con 62 aulas cuando se valoriza la mano de obra a precio de mercado. La meta realista a doce meses (SOM) es de 80 aulas activas, lo que sitúa al proyecto por encima de su punto de equilibrio económico pleno al cierre del primer año.</w:t>
      </w:r>
    </w:p>
    <w:p>
      <w:r>
        <w:br w:type="page"/>
      </w:r>
    </w:p>
    <w:p>
      <w:pPr>
        <w:pStyle w:val="Heading1"/>
        <w:spacing w:after="160" w:before="280" w:line="360"/>
      </w:pPr>
      <w:r>
        <w:t xml:space="preserve">Índice</w:t>
      </w:r>
    </w:p>
    <w:sdt>
      <w:sdtPr>
        <w:alias w:val="Contenido"/>
      </w:sdtPr>
      <w:sdtContent>
        <w:p>
          <w:r>
            <w:fldChar w:fldCharType="begin" w:dirty="true"/>
            <w:instrText xml:space="preserve">TOC \h \o "1-3"</w:instrText>
            <w:fldChar w:fldCharType="separate"/>
          </w:r>
        </w:p>
        <w:p>
          <w:r>
            <w:fldChar w:fldCharType="end"/>
          </w:r>
        </w:p>
      </w:sdtContent>
    </w:sdt>
    <w:p>
      <w:pPr>
        <w:spacing w:after="0" w:before="0" w:line="360"/>
        <w:jc w:val="left"/>
      </w:pPr>
      <w:r>
        <w:rPr>
          <w:rFonts w:ascii="Times New Roman" w:cs="Times New Roman" w:eastAsia="Times New Roman" w:hAnsi="Times New Roman"/>
          <w:b w:val="false"/>
          <w:bCs w:val="false"/>
          <w:i w:val="false"/>
          <w:iCs w:val="false"/>
          <w:sz w:val="24"/>
          <w:szCs w:val="24"/>
        </w:rPr>
        <w:t xml:space="preserve"/>
      </w:r>
    </w:p>
    <w:p>
      <w:pPr>
        <w:spacing w:after="200" w:before="60" w:line="240"/>
      </w:pPr>
      <w:r>
        <w:rPr>
          <w:rFonts w:ascii="Times New Roman" w:cs="Times New Roman" w:eastAsia="Times New Roman" w:hAnsi="Times New Roman"/>
          <w:i/>
          <w:iCs/>
          <w:color w:val="595959"/>
          <w:sz w:val="18"/>
          <w:szCs w:val="18"/>
        </w:rPr>
        <w:t xml:space="preserve">Para actualizar el índice en Word: clic derecho sobre la tabla y seleccionar «Actualizar campos».</w:t>
      </w:r>
    </w:p>
    <w:p>
      <w:r>
        <w:br w:type="page"/>
      </w:r>
    </w:p>
    <w:p>
      <w:pPr>
        <w:pStyle w:val="Heading1"/>
        <w:spacing w:after="160" w:before="280" w:line="360"/>
      </w:pPr>
      <w:r>
        <w:t xml:space="preserve">1. Introducción</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Este documento presenta el modelo de negocio de La Isla de los Acuerdos, un producto de prevención primaria del abuso sexual infantil desarrollado por el equipo YAIS RED en el marco de HACKBIZ UAGRM 2026. Está organizado según el Método CANVAS y sus nueve bloques, e incorpora dos análisis exigidos para la evaluación: la cuantificación de la demanda mediante el embudo TAM-SAM-SOM y la estructura de costos con su punto de equilibrio.</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El proyecto parte de una decisión metodológica que conviene declarar desde el inicio: se trabaja sobre el eje de salud mental en su dimensión de promoción y prevención primaria, según la clasificación de la Organización Mundial de la Salud. Esto significa que el producto interviene antes de que exista daño, sobre toda la población de un aula, y no sobre casos identificados. No es diagnóstico, no es terapia y no sustituye a un profesional.</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Las cifras de este documento distinguen explícitamente entre dato con fuente citada, estimación propia del equipo e hipótesis pendiente de validación. El Anexo A detalla el nivel de evidencia de cada supuesto. Esa distinción no es un exceso de cautela académica: un producto que se presenta ante escuelas y organizaciones de protección infantil se sostiene sobre su credibilidad, y una cifra inflada descubierta en la mesa de negociación cuesta más de lo que suma en una presentación.</w:t>
      </w:r>
    </w:p>
    <w:p>
      <w:pPr>
        <w:pStyle w:val="Heading1"/>
        <w:spacing w:after="160" w:before="280" w:line="360"/>
      </w:pPr>
      <w:r>
        <w:t xml:space="preserve">2. Lienzo del Modelo CANVAS</w:t>
      </w:r>
    </w:p>
    <w:p>
      <w:pPr>
        <w:pStyle w:val="Heading2"/>
        <w:spacing w:after="160" w:before="280" w:line="360"/>
      </w:pPr>
      <w:r>
        <w:t xml:space="preserve">2.1 Bloque I: Segmento de Clientes</w:t>
      </w:r>
    </w:p>
    <w:p>
      <w:pPr>
        <w:spacing w:after="120" w:before="0" w:line="360"/>
        <w:jc w:val="left"/>
      </w:pPr>
      <w:r>
        <w:rPr>
          <w:rFonts w:ascii="Times New Roman" w:cs="Times New Roman" w:eastAsia="Times New Roman" w:hAnsi="Times New Roman"/>
          <w:b/>
          <w:bCs/>
          <w:i w:val="false"/>
          <w:iCs w:val="false"/>
          <w:sz w:val="24"/>
          <w:szCs w:val="24"/>
        </w:rPr>
        <w:t xml:space="preserve">2.1.1 Descripción de los segmentos</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El producto separa con claridad tres roles que habitualmente se confunden: quién usa, quién decide y quién paga.</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2400"/>
        <w:gridCol w:w="2400"/>
        <w:gridCol w:w="2400"/>
        <w:gridCol w:w="2160"/>
      </w:tblGrid>
      <w:tr>
        <w:trPr>
          <w:tblHeader/>
        </w:trPr>
        <w:tc>
          <w:tcPr>
            <w:tcW w:type="dxa" w:w="24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Segmento</w:t>
            </w:r>
          </w:p>
        </w:tc>
        <w:tc>
          <w:tcPr>
            <w:tcW w:type="dxa" w:w="24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Rol</w:t>
            </w:r>
          </w:p>
        </w:tc>
        <w:tc>
          <w:tcPr>
            <w:tcW w:type="dxa" w:w="24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Qué obtiene</w:t>
            </w:r>
          </w:p>
        </w:tc>
        <w:tc>
          <w:tcPr>
            <w:tcW w:type="dxa" w:w="216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Prioridad</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Niñas y niños de 6 a 12 años</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Beneficiario final</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Practica límites, red de confianza y pedir ayuda</w:t>
            </w:r>
          </w:p>
        </w:tc>
        <w:tc>
          <w:tcPr>
            <w:tcW w:type="dxa" w:w="2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Transversal</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Docente de primaria o facilitador de ONG</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Usuario operador</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Kit listo para conducir la sesión y protocolo de derivación</w:t>
            </w:r>
          </w:p>
        </w:tc>
        <w:tc>
          <w:tcPr>
            <w:tcW w:type="dxa" w:w="2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Transversal</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Colegios privados y de convenio de Santa Cruz</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Cliente y pagador</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Cumple su deber de protección con costo bajo y predecible</w:t>
            </w:r>
          </w:p>
        </w:tc>
        <w:tc>
          <w:tcPr>
            <w:tcW w:type="dxa" w:w="2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ONG con programa escolar de protección</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Cliente, pagador y aliado</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Herramienta alineada a su marco lógico, con indicadores reportables</w:t>
            </w:r>
          </w:p>
        </w:tc>
        <w:tc>
          <w:tcPr>
            <w:tcW w:type="dxa" w:w="2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Empresas con responsabilidad social</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Pagador patrocinador</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Impacto medible y reportable, sin exponer a menores</w:t>
            </w:r>
          </w:p>
        </w:tc>
        <w:tc>
          <w:tcPr>
            <w:tcW w:type="dxa" w:w="2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Gobierno Municipal y Defensoría de la Niñez</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Cliente B2G</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Cobertura de su mandato de prevención a bajo costo por niño</w:t>
            </w:r>
          </w:p>
        </w:tc>
        <w:tc>
          <w:tcPr>
            <w:tcW w:type="dxa" w:w="2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3 (año 2-3)</w:t>
            </w:r>
          </w:p>
        </w:tc>
      </w:tr>
    </w:tbl>
    <w:p>
      <w:pPr>
        <w:spacing w:after="200" w:before="60" w:line="240"/>
      </w:pPr>
      <w:r>
        <w:rPr>
          <w:rFonts w:ascii="Times New Roman" w:cs="Times New Roman" w:eastAsia="Times New Roman" w:hAnsi="Times New Roman"/>
          <w:i/>
          <w:iCs/>
          <w:color w:val="595959"/>
          <w:sz w:val="18"/>
          <w:szCs w:val="18"/>
        </w:rPr>
        <w:t xml:space="preserve">Tabla 1. Segmentos de clientes y su rol en el modelo.</w:t>
      </w:r>
    </w:p>
    <w:p>
      <w:pPr>
        <w:spacing w:after="120" w:before="0" w:line="360"/>
        <w:jc w:val="left"/>
      </w:pPr>
      <w:r>
        <w:rPr>
          <w:rFonts w:ascii="Times New Roman" w:cs="Times New Roman" w:eastAsia="Times New Roman" w:hAnsi="Times New Roman"/>
          <w:b/>
          <w:bCs/>
          <w:i w:val="false"/>
          <w:iCs w:val="false"/>
          <w:sz w:val="24"/>
          <w:szCs w:val="24"/>
        </w:rPr>
        <w:t xml:space="preserve">2.1.2 Criterios de segmentación</w:t>
      </w:r>
    </w:p>
    <w:p>
      <w:pPr>
        <w:pStyle w:val="ListParagraph"/>
        <w:numPr>
          <w:ilvl w:val="0"/>
          <w:numId w:val="2"/>
        </w:numPr>
        <w:spacing w:after="80" w:line="360"/>
      </w:pPr>
      <w:r>
        <w:rPr>
          <w:rFonts w:ascii="Times New Roman" w:cs="Times New Roman" w:eastAsia="Times New Roman" w:hAnsi="Times New Roman"/>
          <w:sz w:val="24"/>
          <w:szCs w:val="24"/>
        </w:rPr>
        <w:t xml:space="preserve">Geográfico: departamento de Santa Cruz, con foco inicial en el área metropolitana de Santa Cruz de la Sierra.</w:t>
      </w:r>
    </w:p>
    <w:p>
      <w:pPr>
        <w:pStyle w:val="ListParagraph"/>
        <w:numPr>
          <w:ilvl w:val="0"/>
          <w:numId w:val="2"/>
        </w:numPr>
        <w:spacing w:after="80" w:line="360"/>
      </w:pPr>
      <w:r>
        <w:rPr>
          <w:rFonts w:ascii="Times New Roman" w:cs="Times New Roman" w:eastAsia="Times New Roman" w:hAnsi="Times New Roman"/>
          <w:sz w:val="24"/>
          <w:szCs w:val="24"/>
        </w:rPr>
        <w:t xml:space="preserve">Institucional: unidades educativas de nivel primario, de dependencia privada, de convenio o fiscal.</w:t>
      </w:r>
    </w:p>
    <w:p>
      <w:pPr>
        <w:pStyle w:val="ListParagraph"/>
        <w:numPr>
          <w:ilvl w:val="0"/>
          <w:numId w:val="2"/>
        </w:numPr>
        <w:spacing w:after="80" w:line="360"/>
      </w:pPr>
      <w:r>
        <w:rPr>
          <w:rFonts w:ascii="Times New Roman" w:cs="Times New Roman" w:eastAsia="Times New Roman" w:hAnsi="Times New Roman"/>
          <w:sz w:val="24"/>
          <w:szCs w:val="24"/>
        </w:rPr>
        <w:t xml:space="preserve">Operativo: instituciones que cuentan con al menos un dispositivo proyectable y conexión a internet funcional, condición necesaria para la modalidad de aula.</w:t>
      </w:r>
    </w:p>
    <w:p>
      <w:pPr>
        <w:pStyle w:val="ListParagraph"/>
        <w:numPr>
          <w:ilvl w:val="0"/>
          <w:numId w:val="2"/>
        </w:numPr>
        <w:spacing w:after="80" w:line="360"/>
      </w:pPr>
      <w:r>
        <w:rPr>
          <w:rFonts w:ascii="Times New Roman" w:cs="Times New Roman" w:eastAsia="Times New Roman" w:hAnsi="Times New Roman"/>
          <w:sz w:val="24"/>
          <w:szCs w:val="24"/>
        </w:rPr>
        <w:t xml:space="preserve">De decisión: en el segmento privado decide la dirección o propiedad, con influencia del departamento psicopedagógico; en el segmento de ONG decide la coordinación de protección o de educación del programa.</w:t>
      </w:r>
    </w:p>
    <w:p>
      <w:pPr>
        <w:spacing w:after="120"/>
      </w:pPr>
    </w:p>
    <w:p>
      <w:pPr>
        <w:spacing w:after="120" w:before="0" w:line="360"/>
        <w:jc w:val="left"/>
      </w:pPr>
      <w:r>
        <w:rPr>
          <w:rFonts w:ascii="Times New Roman" w:cs="Times New Roman" w:eastAsia="Times New Roman" w:hAnsi="Times New Roman"/>
          <w:b/>
          <w:bCs/>
          <w:i w:val="false"/>
          <w:iCs w:val="false"/>
          <w:sz w:val="24"/>
          <w:szCs w:val="24"/>
        </w:rPr>
        <w:t xml:space="preserve">2.1.3 Cuantificación de la demanda: análisis TAM - SAM - SOM</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La unidad de cobro del modelo es el aula, no el usuario individual, porque la experiencia se ejecuta de manera grupal sobre un solo dispositivo proyectado. Por esa razón el embudo se expresa en aulas y, en paralelo, en cantidad de niñas y niños alcanzados, que es la unidad de impacto.</w:t>
      </w:r>
    </w:p>
    <w:p>
      <w:pPr>
        <w:spacing w:after="120" w:before="160" w:line="360"/>
        <w:jc w:val="left"/>
      </w:pPr>
      <w:r>
        <w:rPr>
          <w:rFonts w:ascii="Times New Roman" w:cs="Times New Roman" w:eastAsia="Times New Roman" w:hAnsi="Times New Roman"/>
          <w:b/>
          <w:bCs/>
          <w:i w:val="false"/>
          <w:iCs w:val="false"/>
          <w:sz w:val="24"/>
          <w:szCs w:val="24"/>
        </w:rPr>
        <w:t xml:space="preserve">Datos poblacionales de referencia</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4680"/>
        <w:gridCol w:w="4680"/>
      </w:tblGrid>
      <w:tr>
        <w:trPr>
          <w:tblHeader/>
        </w:trPr>
        <w:tc>
          <w:tcPr>
            <w:tcW w:type="dxa" w:w="46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Nivel geográfico</w:t>
            </w:r>
          </w:p>
        </w:tc>
        <w:tc>
          <w:tcPr>
            <w:tcW w:type="dxa" w:w="46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Población total (habitantes)</w:t>
            </w:r>
          </w:p>
        </w:tc>
      </w:tr>
      <w:tr>
        <w:tc>
          <w:tcPr>
            <w:tcW w:type="dxa" w:w="468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Total Bolivia</w:t>
            </w:r>
          </w:p>
        </w:tc>
        <w:tc>
          <w:tcPr>
            <w:tcW w:type="dxa" w:w="4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11.365.333</w:t>
            </w:r>
          </w:p>
        </w:tc>
      </w:tr>
      <w:tr>
        <w:tc>
          <w:tcPr>
            <w:tcW w:type="dxa" w:w="468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Santa Cruz</w:t>
            </w:r>
          </w:p>
        </w:tc>
        <w:tc>
          <w:tcPr>
            <w:tcW w:type="dxa" w:w="4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3.122.605</w:t>
            </w:r>
          </w:p>
        </w:tc>
      </w:tr>
      <w:tr>
        <w:tc>
          <w:tcPr>
            <w:tcW w:type="dxa" w:w="468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La Paz</w:t>
            </w:r>
          </w:p>
        </w:tc>
        <w:tc>
          <w:tcPr>
            <w:tcW w:type="dxa" w:w="4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3.030.917</w:t>
            </w:r>
          </w:p>
        </w:tc>
      </w:tr>
      <w:tr>
        <w:tc>
          <w:tcPr>
            <w:tcW w:type="dxa" w:w="468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Cochabamba</w:t>
            </w:r>
          </w:p>
        </w:tc>
        <w:tc>
          <w:tcPr>
            <w:tcW w:type="dxa" w:w="4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2.016.357</w:t>
            </w:r>
          </w:p>
        </w:tc>
      </w:tr>
      <w:tr>
        <w:tc>
          <w:tcPr>
            <w:tcW w:type="dxa" w:w="468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Potosí</w:t>
            </w:r>
          </w:p>
        </w:tc>
        <w:tc>
          <w:tcPr>
            <w:tcW w:type="dxa" w:w="4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856.419</w:t>
            </w:r>
          </w:p>
        </w:tc>
      </w:tr>
      <w:tr>
        <w:tc>
          <w:tcPr>
            <w:tcW w:type="dxa" w:w="468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Chuquisaca</w:t>
            </w:r>
          </w:p>
        </w:tc>
        <w:tc>
          <w:tcPr>
            <w:tcW w:type="dxa" w:w="4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606.027</w:t>
            </w:r>
          </w:p>
        </w:tc>
      </w:tr>
      <w:tr>
        <w:tc>
          <w:tcPr>
            <w:tcW w:type="dxa" w:w="468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Oruro</w:t>
            </w:r>
          </w:p>
        </w:tc>
        <w:tc>
          <w:tcPr>
            <w:tcW w:type="dxa" w:w="4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570.194</w:t>
            </w:r>
          </w:p>
        </w:tc>
      </w:tr>
      <w:tr>
        <w:tc>
          <w:tcPr>
            <w:tcW w:type="dxa" w:w="468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Tarija</w:t>
            </w:r>
          </w:p>
        </w:tc>
        <w:tc>
          <w:tcPr>
            <w:tcW w:type="dxa" w:w="4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534.210</w:t>
            </w:r>
          </w:p>
        </w:tc>
      </w:tr>
      <w:tr>
        <w:tc>
          <w:tcPr>
            <w:tcW w:type="dxa" w:w="468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Beni</w:t>
            </w:r>
          </w:p>
        </w:tc>
        <w:tc>
          <w:tcPr>
            <w:tcW w:type="dxa" w:w="4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488.260</w:t>
            </w:r>
          </w:p>
        </w:tc>
      </w:tr>
      <w:tr>
        <w:tc>
          <w:tcPr>
            <w:tcW w:type="dxa" w:w="468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Pando</w:t>
            </w:r>
          </w:p>
        </w:tc>
        <w:tc>
          <w:tcPr>
            <w:tcW w:type="dxa" w:w="4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134.194</w:t>
            </w:r>
          </w:p>
        </w:tc>
      </w:tr>
    </w:tbl>
    <w:p>
      <w:pPr>
        <w:spacing w:after="200" w:before="60" w:line="240"/>
      </w:pPr>
      <w:r>
        <w:rPr>
          <w:rFonts w:ascii="Times New Roman" w:cs="Times New Roman" w:eastAsia="Times New Roman" w:hAnsi="Times New Roman"/>
          <w:i/>
          <w:iCs/>
          <w:color w:val="595959"/>
          <w:sz w:val="18"/>
          <w:szCs w:val="18"/>
        </w:rPr>
        <w:t xml:space="preserve">Tabla 2. Población por departamento. Fuente: INE, Censo de Población y Vivienda 2024 (resultados finales).</w:t>
      </w:r>
    </w:p>
    <w:p>
      <w:pPr>
        <w:spacing w:after="120" w:before="160" w:line="360"/>
        <w:jc w:val="left"/>
      </w:pPr>
      <w:r>
        <w:rPr>
          <w:rFonts w:ascii="Times New Roman" w:cs="Times New Roman" w:eastAsia="Times New Roman" w:hAnsi="Times New Roman"/>
          <w:b/>
          <w:bCs/>
          <w:i w:val="false"/>
          <w:iCs w:val="false"/>
          <w:sz w:val="24"/>
          <w:szCs w:val="24"/>
        </w:rPr>
        <w:t xml:space="preserve">Paso 1. TAM — Universo máximo del proyecto</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3400"/>
        <w:gridCol w:w="3480"/>
        <w:gridCol w:w="2480"/>
      </w:tblGrid>
      <w:tr>
        <w:trPr>
          <w:tblHeader/>
        </w:trPr>
        <w:tc>
          <w:tcPr>
            <w:tcW w:type="dxa" w:w="34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Concepto</w:t>
            </w:r>
          </w:p>
        </w:tc>
        <w:tc>
          <w:tcPr>
            <w:tcW w:type="dxa" w:w="34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Detalle</w:t>
            </w:r>
          </w:p>
        </w:tc>
        <w:tc>
          <w:tcPr>
            <w:tcW w:type="dxa" w:w="24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Valor</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Población base</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Estudiantes de educación primaria en Bolivia (INE, Anuario 2024)</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1.372.800</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Filtro inicial</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Conversión a aulas, supuesto de 26 estudiantes por aula</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 26</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Total TAM (volumen)</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Aulas de primaria en todo el país</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52.800 aulas</w:t>
            </w:r>
          </w:p>
        </w:tc>
      </w:tr>
      <w:tr>
        <w:tc>
          <w:tcPr>
            <w:tcW w:type="dxa" w:w="3400"/>
            <w:shd w:fill="D9E2F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Total TAM (valor anual)</w:t>
            </w:r>
          </w:p>
        </w:tc>
        <w:tc>
          <w:tcPr>
            <w:tcW w:type="dxa" w:w="34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52.800 aulas × Bs 98,20 × 12 meses</w:t>
            </w:r>
          </w:p>
        </w:tc>
        <w:tc>
          <w:tcPr>
            <w:tcW w:type="dxa" w:w="24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Bs 62.219.520</w:t>
            </w:r>
          </w:p>
        </w:tc>
      </w:tr>
      <w:tr>
        <w:tc>
          <w:tcPr>
            <w:tcW w:type="dxa" w:w="3400"/>
            <w:shd w:fill="D9E2F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Equivalente en dólares</w:t>
            </w:r>
          </w:p>
        </w:tc>
        <w:tc>
          <w:tcPr>
            <w:tcW w:type="dxa" w:w="34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Tipo de cambio Bs 9,83 por USD (BCB, 17-09-2026)</w:t>
            </w:r>
          </w:p>
        </w:tc>
        <w:tc>
          <w:tcPr>
            <w:tcW w:type="dxa" w:w="24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US$ 6.329.554</w:t>
            </w:r>
          </w:p>
        </w:tc>
      </w:tr>
    </w:tbl>
    <w:p>
      <w:pPr>
        <w:spacing w:after="200" w:before="60" w:line="240"/>
      </w:pPr>
      <w:r>
        <w:rPr>
          <w:rFonts w:ascii="Times New Roman" w:cs="Times New Roman" w:eastAsia="Times New Roman" w:hAnsi="Times New Roman"/>
          <w:i/>
          <w:iCs/>
          <w:color w:val="595959"/>
          <w:sz w:val="18"/>
          <w:szCs w:val="18"/>
        </w:rPr>
        <w:t xml:space="preserve">Tabla 3. Mercado total direccionable. El precio de referencia es US$ 9,99 por aula al mes.</w:t>
      </w:r>
    </w:p>
    <w:p>
      <w:pPr>
        <w:spacing w:after="120" w:before="160" w:line="360"/>
        <w:jc w:val="left"/>
      </w:pPr>
      <w:r>
        <w:rPr>
          <w:rFonts w:ascii="Times New Roman" w:cs="Times New Roman" w:eastAsia="Times New Roman" w:hAnsi="Times New Roman"/>
          <w:b/>
          <w:bCs/>
          <w:i w:val="false"/>
          <w:iCs w:val="false"/>
          <w:sz w:val="24"/>
          <w:szCs w:val="24"/>
        </w:rPr>
        <w:t xml:space="preserve">Paso 2. SAM — Segmento objetivo del proyecto</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3400"/>
        <w:gridCol w:w="3480"/>
        <w:gridCol w:w="2480"/>
      </w:tblGrid>
      <w:tr>
        <w:trPr>
          <w:tblHeader/>
        </w:trPr>
        <w:tc>
          <w:tcPr>
            <w:tcW w:type="dxa" w:w="34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Concepto</w:t>
            </w:r>
          </w:p>
        </w:tc>
        <w:tc>
          <w:tcPr>
            <w:tcW w:type="dxa" w:w="34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Detalle</w:t>
            </w:r>
          </w:p>
        </w:tc>
        <w:tc>
          <w:tcPr>
            <w:tcW w:type="dxa" w:w="24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Valor</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Base geográfica</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Estudiantes de primaria en el departamento de Santa Cruz</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405.700</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Desagregación</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Dependencia fiscal 360.400 / dependencia privada 45.300</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Aulas equivalentes</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405.700 ÷ 27 estudiantes por aula</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15.026 aulas</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Filtro 1 (perfil de usuario)</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Instituciones con dispositivo proyectable y conexión operativa: 50 % (estimación)</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 50 %</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Filtro 2 (problema / nicho)</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Nivel primario completo, cubierto por los dos modos de edad del producto: 100 %</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 100 %</w:t>
            </w:r>
          </w:p>
        </w:tc>
      </w:tr>
      <w:tr>
        <w:tc>
          <w:tcPr>
            <w:tcW w:type="dxa" w:w="3400"/>
            <w:shd w:fill="D9E2F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Total SAM (volumen)</w:t>
            </w:r>
          </w:p>
        </w:tc>
        <w:tc>
          <w:tcPr>
            <w:tcW w:type="dxa" w:w="34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Aulas servibles en Santa Cruz (≈ 195.000 niñas y niños)</w:t>
            </w:r>
          </w:p>
        </w:tc>
        <w:tc>
          <w:tcPr>
            <w:tcW w:type="dxa" w:w="24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7.500 aulas</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Composición del SAM</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 900 aulas de pago directo (privadas y de convenio) y ≈ 6.600 vía beca</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w:t>
            </w:r>
          </w:p>
        </w:tc>
      </w:tr>
      <w:tr>
        <w:tc>
          <w:tcPr>
            <w:tcW w:type="dxa" w:w="3400"/>
            <w:shd w:fill="D9E2F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Total SAM (valor anual)</w:t>
            </w:r>
          </w:p>
        </w:tc>
        <w:tc>
          <w:tcPr>
            <w:tcW w:type="dxa" w:w="34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7.500 aulas × Bs 98,20 × 12 meses</w:t>
            </w:r>
          </w:p>
        </w:tc>
        <w:tc>
          <w:tcPr>
            <w:tcW w:type="dxa" w:w="24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Bs 8.838.000</w:t>
            </w:r>
          </w:p>
        </w:tc>
      </w:tr>
      <w:tr>
        <w:tc>
          <w:tcPr>
            <w:tcW w:type="dxa" w:w="3400"/>
            <w:shd w:fill="D9E2F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Equivalente en dólares</w:t>
            </w:r>
          </w:p>
        </w:tc>
        <w:tc>
          <w:tcPr>
            <w:tcW w:type="dxa" w:w="34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Tipo de cambio Bs 9,83 por USD</w:t>
            </w:r>
          </w:p>
        </w:tc>
        <w:tc>
          <w:tcPr>
            <w:tcW w:type="dxa" w:w="24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US$ 899.085</w:t>
            </w:r>
          </w:p>
        </w:tc>
      </w:tr>
    </w:tbl>
    <w:p>
      <w:pPr>
        <w:spacing w:after="200" w:before="60" w:line="240"/>
      </w:pPr>
      <w:r>
        <w:rPr>
          <w:rFonts w:ascii="Times New Roman" w:cs="Times New Roman" w:eastAsia="Times New Roman" w:hAnsi="Times New Roman"/>
          <w:i/>
          <w:iCs/>
          <w:color w:val="595959"/>
          <w:sz w:val="18"/>
          <w:szCs w:val="18"/>
        </w:rPr>
        <w:t xml:space="preserve">Tabla 4. Mercado servible disponible. El filtro de conectividad es una estimación pendiente de validar con la Dirección Departamental de Educación.</w:t>
      </w:r>
    </w:p>
    <w:p>
      <w:pPr>
        <w:spacing w:after="120" w:before="160" w:line="360"/>
        <w:jc w:val="left"/>
      </w:pPr>
      <w:r>
        <w:rPr>
          <w:rFonts w:ascii="Times New Roman" w:cs="Times New Roman" w:eastAsia="Times New Roman" w:hAnsi="Times New Roman"/>
          <w:b/>
          <w:bCs/>
          <w:i w:val="false"/>
          <w:iCs w:val="false"/>
          <w:sz w:val="24"/>
          <w:szCs w:val="24"/>
        </w:rPr>
        <w:t xml:space="preserve">Paso 3. SOM — Meta realista a corto plazo</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3400"/>
        <w:gridCol w:w="3480"/>
        <w:gridCol w:w="2480"/>
      </w:tblGrid>
      <w:tr>
        <w:trPr>
          <w:tblHeader/>
        </w:trPr>
        <w:tc>
          <w:tcPr>
            <w:tcW w:type="dxa" w:w="34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Concepto</w:t>
            </w:r>
          </w:p>
        </w:tc>
        <w:tc>
          <w:tcPr>
            <w:tcW w:type="dxa" w:w="34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Detalle</w:t>
            </w:r>
          </w:p>
        </w:tc>
        <w:tc>
          <w:tcPr>
            <w:tcW w:type="dxa" w:w="24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Valor</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Capacidad de adquisición</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Venta relacional de cuatro fundadores a tiempo parcial, con Bs 6.940 de activación en los primeros tres meses</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5 a 8 instituciones contactadas por mes</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Cohorte gratuita de validación</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Lanzamiento sin costo hasta 1.000 usuarios</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 40 aulas</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Tasa de conversión estimada</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1,07 % del SAM. Referencia sectorial de conversión freemium en EdTech: 2,6 %</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 1 %</w:t>
            </w:r>
          </w:p>
        </w:tc>
      </w:tr>
      <w:tr>
        <w:tc>
          <w:tcPr>
            <w:tcW w:type="dxa" w:w="3400"/>
            <w:shd w:fill="D9E2F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Total SOM (volumen)</w:t>
            </w:r>
          </w:p>
        </w:tc>
        <w:tc>
          <w:tcPr>
            <w:tcW w:type="dxa" w:w="34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Aulas activas al mes 12 (≈ 2.000 niñas y niños)</w:t>
            </w:r>
          </w:p>
        </w:tc>
        <w:tc>
          <w:tcPr>
            <w:tcW w:type="dxa" w:w="24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80 aulas</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Composición del SOM</w:t>
            </w:r>
          </w:p>
        </w:tc>
        <w:tc>
          <w:tcPr>
            <w:tcW w:type="dxa" w:w="3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25 aulas con licencia privada pagada y 55 aulas fiscales cubiertas por beca de ONG</w:t>
            </w:r>
          </w:p>
        </w:tc>
        <w:tc>
          <w:tcPr>
            <w:tcW w:type="dxa" w:w="24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w:t>
            </w:r>
          </w:p>
        </w:tc>
      </w:tr>
    </w:tbl>
    <w:p>
      <w:pPr>
        <w:spacing w:after="200" w:before="60" w:line="240"/>
      </w:pPr>
      <w:r>
        <w:rPr>
          <w:rFonts w:ascii="Times New Roman" w:cs="Times New Roman" w:eastAsia="Times New Roman" w:hAnsi="Times New Roman"/>
          <w:i/>
          <w:iCs/>
          <w:color w:val="595959"/>
          <w:sz w:val="18"/>
          <w:szCs w:val="18"/>
        </w:rPr>
        <w:t xml:space="preserve">Tabla 5. Mercado obtenible a doce meses. El ciclo de decisión escolar en Bolivia se concentra entre noviembre y febrero, lo que condiciona el calendario comercial.</w:t>
      </w:r>
    </w:p>
    <w:p>
      <w:pPr>
        <w:spacing w:after="120" w:before="160" w:line="360"/>
        <w:jc w:val="left"/>
      </w:pPr>
      <w:r>
        <w:rPr>
          <w:rFonts w:ascii="Times New Roman" w:cs="Times New Roman" w:eastAsia="Times New Roman" w:hAnsi="Times New Roman"/>
          <w:b/>
          <w:bCs/>
          <w:i w:val="false"/>
          <w:iCs w:val="false"/>
          <w:sz w:val="24"/>
          <w:szCs w:val="24"/>
        </w:rPr>
        <w:t xml:space="preserve">Paso 4. Proyección de ingresos</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3120"/>
        <w:gridCol w:w="2080"/>
        <w:gridCol w:w="2080"/>
        <w:gridCol w:w="2080"/>
      </w:tblGrid>
      <w:tr>
        <w:trPr>
          <w:tblHeader/>
        </w:trPr>
        <w:tc>
          <w:tcPr>
            <w:tcW w:type="dxa" w:w="312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Fuente de ingreso</w:t>
            </w:r>
          </w:p>
        </w:tc>
        <w:tc>
          <w:tcPr>
            <w:tcW w:type="dxa" w:w="20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Unidades</w:t>
            </w:r>
          </w:p>
        </w:tc>
        <w:tc>
          <w:tcPr>
            <w:tcW w:type="dxa" w:w="20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Ingreso mensual (Bs)</w:t>
            </w:r>
          </w:p>
        </w:tc>
        <w:tc>
          <w:tcPr>
            <w:tcW w:type="dxa" w:w="20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Ingreso anual (Bs)</w:t>
            </w:r>
          </w:p>
        </w:tc>
      </w:tr>
      <w:tr>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Licencia privada por aula</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25 aulas</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2.455</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29.460</w:t>
            </w:r>
          </w:p>
        </w:tc>
      </w:tr>
      <w:tr>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Beca vía ONG por aula fiscal</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55 aulas</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5.401</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64.812</w:t>
            </w:r>
          </w:p>
        </w:tc>
      </w:tr>
      <w:tr>
        <w:tc>
          <w:tcPr>
            <w:tcW w:type="dxa" w:w="312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Capacitación e implementación</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4 talleres al año</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833</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10.000</w:t>
            </w:r>
          </w:p>
        </w:tc>
      </w:tr>
      <w:tr>
        <w:tc>
          <w:tcPr>
            <w:tcW w:type="dxa" w:w="3120"/>
            <w:shd w:fill="F4B18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Total a régimen (mes 12)</w:t>
            </w:r>
          </w:p>
        </w:tc>
        <w:tc>
          <w:tcPr>
            <w:tcW w:type="dxa" w:w="208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80 aulas</w:t>
            </w:r>
          </w:p>
        </w:tc>
        <w:tc>
          <w:tcPr>
            <w:tcW w:type="dxa" w:w="208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8.689</w:t>
            </w:r>
          </w:p>
        </w:tc>
        <w:tc>
          <w:tcPr>
            <w:tcW w:type="dxa" w:w="208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104.272</w:t>
            </w:r>
          </w:p>
        </w:tc>
      </w:tr>
      <w:tr>
        <w:tc>
          <w:tcPr>
            <w:tcW w:type="dxa" w:w="3120"/>
            <w:shd w:fill="D9E2F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Año 1 con rampa de adopción</w:t>
            </w:r>
          </w:p>
        </w:tc>
        <w:tc>
          <w:tcPr>
            <w:tcW w:type="dxa" w:w="20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40 aulas promedio</w:t>
            </w:r>
          </w:p>
        </w:tc>
        <w:tc>
          <w:tcPr>
            <w:tcW w:type="dxa" w:w="20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4.761</w:t>
            </w:r>
          </w:p>
        </w:tc>
        <w:tc>
          <w:tcPr>
            <w:tcW w:type="dxa" w:w="208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57.136</w:t>
            </w:r>
          </w:p>
        </w:tc>
      </w:tr>
    </w:tbl>
    <w:p>
      <w:pPr>
        <w:spacing w:after="200" w:before="60" w:line="240"/>
      </w:pPr>
      <w:r>
        <w:rPr>
          <w:rFonts w:ascii="Times New Roman" w:cs="Times New Roman" w:eastAsia="Times New Roman" w:hAnsi="Times New Roman"/>
          <w:i/>
          <w:iCs/>
          <w:color w:val="595959"/>
          <w:sz w:val="18"/>
          <w:szCs w:val="18"/>
        </w:rPr>
        <w:t xml:space="preserve">Tabla 6. Proyección de ingresos. La fila «a régimen» supone el nivel del mes 12 sostenido doce meses; la fila «con rampa» refleja la adopción progresiva real del primer año y es la cifra que debe usarse para planificar caja.</w:t>
      </w:r>
    </w:p>
    <w:p>
      <w:pPr>
        <w:pStyle w:val="Heading2"/>
        <w:spacing w:after="160" w:before="280" w:line="360"/>
      </w:pPr>
      <w:r>
        <w:t xml:space="preserve">2.2 Bloque II: Propuesta de Valor</w:t>
      </w:r>
    </w:p>
    <w:p>
      <w:pPr>
        <w:spacing w:after="120" w:before="0" w:line="360"/>
        <w:jc w:val="left"/>
      </w:pPr>
      <w:r>
        <w:rPr>
          <w:rFonts w:ascii="Times New Roman" w:cs="Times New Roman" w:eastAsia="Times New Roman" w:hAnsi="Times New Roman"/>
          <w:b/>
          <w:bCs/>
          <w:i w:val="false"/>
          <w:iCs w:val="false"/>
          <w:sz w:val="24"/>
          <w:szCs w:val="24"/>
        </w:rPr>
        <w:t xml:space="preserve">2.2.1 El problema</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Niñas y niños de 6 a 12 años en Santa Cruz no cuentan, antes de que exista daño, con un lenguaje simple para reconocer una situación de riesgo ni con una red de personas adultas de confianza que sepa escuchar y derivar. La escuela y la familia suelen llegar tarde, minimizar el hecho o carecer de un procedimiento claro. Cuando el agresor pertenece al entorno familiar, la familia deja de ser la vía de protección disponible y el personal docente puede ser la única persona adulta a la que el niño se atreva a contar.</w:t>
      </w:r>
    </w:p>
    <w:p>
      <w:pPr>
        <w:spacing w:after="120" w:before="0" w:line="360"/>
        <w:jc w:val="left"/>
      </w:pPr>
      <w:r>
        <w:rPr>
          <w:rFonts w:ascii="Times New Roman" w:cs="Times New Roman" w:eastAsia="Times New Roman" w:hAnsi="Times New Roman"/>
          <w:b/>
          <w:bCs/>
          <w:i w:val="false"/>
          <w:iCs w:val="false"/>
          <w:sz w:val="24"/>
          <w:szCs w:val="24"/>
        </w:rPr>
        <w:t xml:space="preserve">2.2.2 La propuesta por segmento</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2200"/>
        <w:gridCol w:w="7160"/>
      </w:tblGrid>
      <w:tr>
        <w:trPr>
          <w:tblHeader/>
        </w:trPr>
        <w:tc>
          <w:tcPr>
            <w:tcW w:type="dxa" w:w="22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Segmento</w:t>
            </w:r>
          </w:p>
        </w:tc>
        <w:tc>
          <w:tcPr>
            <w:tcW w:type="dxa" w:w="716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Propuesta de valor</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Niña o niño</w:t>
            </w:r>
          </w:p>
        </w:tc>
        <w:tc>
          <w:tcPr>
            <w:tcW w:type="dxa" w:w="7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Practicar jugando, en un entorno cerrado y sin personas desconocidas, saludos que se pueden rechazar, la diferencia entre un secreto que pesa y una sorpresa, y a quién acudir cuando algo no está bien.</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Docente o facilitador</w:t>
            </w:r>
          </w:p>
        </w:tc>
        <w:tc>
          <w:tcPr>
            <w:tcW w:type="dxa" w:w="7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Un kit listo para tres o cuatro sesiones de 20 a 40 minutos, con guion, cierre conversado, panel de seguimiento y un protocolo claro de qué hacer ante una revelación, repetible sin necesidad de un tallerista externo.</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Familias</w:t>
            </w:r>
          </w:p>
        </w:tc>
        <w:tc>
          <w:tcPr>
            <w:tcW w:type="dxa" w:w="7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Una guía breve sobre cómo escuchar sin culpar y a dónde derivar, con las rutas oficiales bolivianas.</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Institución</w:t>
            </w:r>
          </w:p>
        </w:tc>
        <w:tc>
          <w:tcPr>
            <w:tcW w:type="dxa" w:w="7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Cumplimiento del deber de prevención con un costo por aula bajo y predecible, indicadores agregados reportables y material contextualizado a la normativa nacional.</w:t>
            </w:r>
          </w:p>
        </w:tc>
      </w:tr>
    </w:tbl>
    <w:p>
      <w:pPr>
        <w:spacing w:after="200" w:before="60" w:line="240"/>
      </w:pPr>
      <w:r>
        <w:rPr>
          <w:rFonts w:ascii="Times New Roman" w:cs="Times New Roman" w:eastAsia="Times New Roman" w:hAnsi="Times New Roman"/>
          <w:i/>
          <w:iCs/>
          <w:color w:val="595959"/>
          <w:sz w:val="18"/>
          <w:szCs w:val="18"/>
        </w:rPr>
        <w:t xml:space="preserve">Tabla 7. Propuesta de valor diferenciada por segmento.</w:t>
      </w:r>
    </w:p>
    <w:p>
      <w:pPr>
        <w:spacing w:after="120" w:before="0" w:line="360"/>
        <w:jc w:val="left"/>
      </w:pPr>
      <w:r>
        <w:rPr>
          <w:rFonts w:ascii="Times New Roman" w:cs="Times New Roman" w:eastAsia="Times New Roman" w:hAnsi="Times New Roman"/>
          <w:b/>
          <w:bCs/>
          <w:i w:val="false"/>
          <w:iCs w:val="false"/>
          <w:sz w:val="24"/>
          <w:szCs w:val="24"/>
        </w:rPr>
        <w:t xml:space="preserve">2.2.3 Descripción del prototipo</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La experiencia consta de cuatro episodios y un cierre integrador, construidos sobre una isla que se reconstruye a medida que el aula practica cada acuerdo. Los episodios son: «Saludo que puedo elegir», «Mi círculo de 3», «Secreto que pesa o sorpresa» y «A quién le cuento». El progreso se guarda únicamente como marca de episodio completado, asociada al aula y nunca a una niña o un niño en particular.</w:t>
      </w:r>
    </w:p>
    <w:p>
      <w:pPr>
        <w:spacing w:after="120" w:before="0" w:line="360"/>
        <w:jc w:val="left"/>
      </w:pPr>
      <w:r>
        <w:rPr>
          <w:rFonts w:ascii="Times New Roman" w:cs="Times New Roman" w:eastAsia="Times New Roman" w:hAnsi="Times New Roman"/>
          <w:b/>
          <w:bCs/>
          <w:i w:val="false"/>
          <w:iCs w:val="false"/>
          <w:sz w:val="24"/>
          <w:szCs w:val="24"/>
        </w:rPr>
        <w:t xml:space="preserve">2.2.4 Lo que el producto explícitamente no hace</w:t>
      </w:r>
    </w:p>
    <w:p>
      <w:pPr>
        <w:pStyle w:val="ListParagraph"/>
        <w:numPr>
          <w:ilvl w:val="0"/>
          <w:numId w:val="2"/>
        </w:numPr>
        <w:spacing w:after="80" w:line="360"/>
      </w:pPr>
      <w:r>
        <w:rPr>
          <w:rFonts w:ascii="Times New Roman" w:cs="Times New Roman" w:eastAsia="Times New Roman" w:hAnsi="Times New Roman"/>
          <w:sz w:val="24"/>
          <w:szCs w:val="24"/>
        </w:rPr>
        <w:t xml:space="preserve">No diagnostica ni clasifica a ningún niño según nivel de riesgo.</w:t>
      </w:r>
    </w:p>
    <w:p>
      <w:pPr>
        <w:pStyle w:val="ListParagraph"/>
        <w:numPr>
          <w:ilvl w:val="0"/>
          <w:numId w:val="2"/>
        </w:numPr>
        <w:spacing w:after="80" w:line="360"/>
      </w:pPr>
      <w:r>
        <w:rPr>
          <w:rFonts w:ascii="Times New Roman" w:cs="Times New Roman" w:eastAsia="Times New Roman" w:hAnsi="Times New Roman"/>
          <w:sz w:val="24"/>
          <w:szCs w:val="24"/>
        </w:rPr>
        <w:t xml:space="preserve">No incorpora chat, diario ni ningún espacio donde un menor escriba lo que le ocurrió.</w:t>
      </w:r>
    </w:p>
    <w:p>
      <w:pPr>
        <w:pStyle w:val="ListParagraph"/>
        <w:numPr>
          <w:ilvl w:val="0"/>
          <w:numId w:val="2"/>
        </w:numPr>
        <w:spacing w:after="80" w:line="360"/>
      </w:pPr>
      <w:r>
        <w:rPr>
          <w:rFonts w:ascii="Times New Roman" w:cs="Times New Roman" w:eastAsia="Times New Roman" w:hAnsi="Times New Roman"/>
          <w:sz w:val="24"/>
          <w:szCs w:val="24"/>
        </w:rPr>
        <w:t xml:space="preserve">No almacena relatos, nombres, fotografías ni voz de menores.</w:t>
      </w:r>
    </w:p>
    <w:p>
      <w:pPr>
        <w:pStyle w:val="ListParagraph"/>
        <w:numPr>
          <w:ilvl w:val="0"/>
          <w:numId w:val="2"/>
        </w:numPr>
        <w:spacing w:after="80" w:line="360"/>
      </w:pPr>
      <w:r>
        <w:rPr>
          <w:rFonts w:ascii="Times New Roman" w:cs="Times New Roman" w:eastAsia="Times New Roman" w:hAnsi="Times New Roman"/>
          <w:sz w:val="24"/>
          <w:szCs w:val="24"/>
        </w:rPr>
        <w:t xml:space="preserve">No reemplaza el protocolo humano de la institución: deriva hacia él.</w:t>
      </w:r>
    </w:p>
    <w:p>
      <w:pPr>
        <w:spacing w:after="120"/>
      </w:pPr>
    </w:p>
    <w:p>
      <w:pPr>
        <w:pStyle w:val="Heading2"/>
        <w:spacing w:after="160" w:before="280" w:line="360"/>
      </w:pPr>
      <w:r>
        <w:t xml:space="preserve">2.3 Bloque III: Canales de Distribución y Comunicación</w:t>
      </w:r>
    </w:p>
    <w:p>
      <w:pPr>
        <w:spacing w:after="120" w:before="0" w:line="360"/>
        <w:jc w:val="left"/>
      </w:pPr>
      <w:r>
        <w:rPr>
          <w:rFonts w:ascii="Times New Roman" w:cs="Times New Roman" w:eastAsia="Times New Roman" w:hAnsi="Times New Roman"/>
          <w:b/>
          <w:bCs/>
          <w:i w:val="false"/>
          <w:iCs w:val="false"/>
          <w:sz w:val="24"/>
          <w:szCs w:val="24"/>
        </w:rPr>
        <w:t xml:space="preserve">2.3.1 Descripción de canales</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2600"/>
        <w:gridCol w:w="4160"/>
        <w:gridCol w:w="2600"/>
      </w:tblGrid>
      <w:tr>
        <w:trPr>
          <w:tblHeader/>
        </w:trPr>
        <w:tc>
          <w:tcPr>
            <w:tcW w:type="dxa" w:w="26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Canal</w:t>
            </w:r>
          </w:p>
        </w:tc>
        <w:tc>
          <w:tcPr>
            <w:tcW w:type="dxa" w:w="416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Descripción</w:t>
            </w:r>
          </w:p>
        </w:tc>
        <w:tc>
          <w:tcPr>
            <w:tcW w:type="dxa" w:w="26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Tipo</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Venta directa institucional</w:t>
            </w:r>
          </w:p>
        </w:tc>
        <w:tc>
          <w:tcPr>
            <w:tcW w:type="dxa" w:w="4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Reuniones con dirección y coordinación de primaria en colegios privados y de convenio de Santa Cruz</w:t>
            </w:r>
          </w:p>
        </w:tc>
        <w:tc>
          <w:tcPr>
            <w:tcW w:type="dxa" w:w="26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Propio, directo</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Alianza con ONG</w:t>
            </w:r>
          </w:p>
        </w:tc>
        <w:tc>
          <w:tcPr>
            <w:tcW w:type="dxa" w:w="4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Organizaciones con programas escolares ya instalados en escuelas fiscales incorporan el kit a su marco lógico</w:t>
            </w:r>
          </w:p>
        </w:tc>
        <w:tc>
          <w:tcPr>
            <w:tcW w:type="dxa" w:w="26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Socio, indirecto</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Programa de aliados en salud</w:t>
            </w:r>
          </w:p>
        </w:tc>
        <w:tc>
          <w:tcPr>
            <w:tcW w:type="dxa" w:w="4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Consultorios psicológicos, pediatría y seguros de salud recomiendan la herramienta a familias que ya buscan ayuda</w:t>
            </w:r>
          </w:p>
        </w:tc>
        <w:tc>
          <w:tcPr>
            <w:tcW w:type="dxa" w:w="26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Socio, indirecto</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Mesas municipales de protección</w:t>
            </w:r>
          </w:p>
        </w:tc>
        <w:tc>
          <w:tcPr>
            <w:tcW w:type="dxa" w:w="4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Espacios de articulación del Gobierno Municipal y la Defensoría de la Niñez</w:t>
            </w:r>
          </w:p>
        </w:tc>
        <w:tc>
          <w:tcPr>
            <w:tcW w:type="dxa" w:w="26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Institucional</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Entrega del producto</w:t>
            </w:r>
          </w:p>
        </w:tc>
        <w:tc>
          <w:tcPr>
            <w:tcW w:type="dxa" w:w="4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Aplicación web progresiva, sin instalador, en modalidad de aula proyectada con un solo dispositivo</w:t>
            </w:r>
          </w:p>
        </w:tc>
        <w:tc>
          <w:tcPr>
            <w:tcW w:type="dxa" w:w="26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Propio, digital</w:t>
            </w:r>
          </w:p>
        </w:tc>
      </w:tr>
    </w:tbl>
    <w:p>
      <w:pPr>
        <w:spacing w:after="200" w:before="60" w:line="240"/>
      </w:pPr>
      <w:r>
        <w:rPr>
          <w:rFonts w:ascii="Times New Roman" w:cs="Times New Roman" w:eastAsia="Times New Roman" w:hAnsi="Times New Roman"/>
          <w:i/>
          <w:iCs/>
          <w:color w:val="595959"/>
          <w:sz w:val="18"/>
          <w:szCs w:val="18"/>
        </w:rPr>
        <w:t xml:space="preserve">Tabla 8. Canales de distribución y comunicación.</w:t>
      </w:r>
    </w:p>
    <w:p>
      <w:pPr>
        <w:spacing w:after="120" w:before="0" w:line="360"/>
        <w:jc w:val="left"/>
      </w:pPr>
      <w:r>
        <w:rPr>
          <w:rFonts w:ascii="Times New Roman" w:cs="Times New Roman" w:eastAsia="Times New Roman" w:hAnsi="Times New Roman"/>
          <w:b/>
          <w:bCs/>
          <w:i w:val="false"/>
          <w:iCs w:val="false"/>
          <w:sz w:val="24"/>
          <w:szCs w:val="24"/>
        </w:rPr>
        <w:t xml:space="preserve">2.3.2 Flujograma del canal principal</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1100"/>
        <w:gridCol w:w="3600"/>
        <w:gridCol w:w="2330"/>
        <w:gridCol w:w="2330"/>
      </w:tblGrid>
      <w:tr>
        <w:trPr>
          <w:tblHeader/>
        </w:trPr>
        <w:tc>
          <w:tcPr>
            <w:tcW w:type="dxa" w:w="11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Fase</w:t>
            </w:r>
          </w:p>
        </w:tc>
        <w:tc>
          <w:tcPr>
            <w:tcW w:type="dxa" w:w="36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Actividad</w:t>
            </w:r>
          </w:p>
        </w:tc>
        <w:tc>
          <w:tcPr>
            <w:tcW w:type="dxa" w:w="233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Responsable</w:t>
            </w:r>
          </w:p>
        </w:tc>
        <w:tc>
          <w:tcPr>
            <w:tcW w:type="dxa" w:w="233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Resultado esperado</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36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Identificación y contacto de la institución</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Negocios y marketing</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Reunión agendada</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36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Demostración del episodio 1 en vivo</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Negocios y desarrollo</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Interés validado</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36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Revisión del protocolo y aval psicológico</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Psicología</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Confianza institucional</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36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Acuerdo de implementación y consentimiento institucional</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Dirección del colegio</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Contrato firmado</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36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Capacitación de docentes (4 horas, agrupada)</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Psicología y negocios</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Docentes habilitados</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36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Ejecución del ciclo en aula y cierre conversado</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Docente</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Aula activa</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7</w:t>
            </w:r>
          </w:p>
        </w:tc>
        <w:tc>
          <w:tcPr>
            <w:tcW w:type="dxa" w:w="36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Informe agregado y renovación</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Negocios</w:t>
            </w:r>
          </w:p>
        </w:tc>
        <w:tc>
          <w:tcPr>
            <w:tcW w:type="dxa" w:w="233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Renovación anual</w:t>
            </w:r>
          </w:p>
        </w:tc>
      </w:tr>
    </w:tbl>
    <w:p>
      <w:pPr>
        <w:spacing w:after="200" w:before="60" w:line="240"/>
      </w:pPr>
      <w:r>
        <w:rPr>
          <w:rFonts w:ascii="Times New Roman" w:cs="Times New Roman" w:eastAsia="Times New Roman" w:hAnsi="Times New Roman"/>
          <w:i/>
          <w:iCs/>
          <w:color w:val="595959"/>
          <w:sz w:val="18"/>
          <w:szCs w:val="18"/>
        </w:rPr>
        <w:t xml:space="preserve">Tabla 9. Flujograma del canal de venta directa institucional.</w:t>
      </w:r>
    </w:p>
    <w:p>
      <w:pPr>
        <w:spacing w:after="120" w:before="0" w:line="360"/>
        <w:jc w:val="left"/>
      </w:pPr>
      <w:r>
        <w:rPr>
          <w:rFonts w:ascii="Times New Roman" w:cs="Times New Roman" w:eastAsia="Times New Roman" w:hAnsi="Times New Roman"/>
          <w:b/>
          <w:bCs/>
          <w:i w:val="false"/>
          <w:iCs w:val="false"/>
          <w:sz w:val="24"/>
          <w:szCs w:val="24"/>
        </w:rPr>
        <w:t xml:space="preserve">2.3.3 Costos del canal</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El canal está diseñado para minimizar tanto el costo como la huella ambiental. La capacitación es híbrida: la parte teórica se dicta en línea y la práctica se agrupa por sede reuniendo docentes de varios colegios, lo que reduce desplazamientos. El material para familias se envía en formato digital liviano a través del colegio y solo se imprime bajo demanda. El costo comercial se concentra en los Bs 6.940 de activación de los tres primeros meses, detallados en el Bloque IX.</w:t>
      </w:r>
    </w:p>
    <w:p>
      <w:pPr>
        <w:pStyle w:val="Heading2"/>
        <w:spacing w:after="160" w:before="280" w:line="360"/>
      </w:pPr>
      <w:r>
        <w:t xml:space="preserve">2.4 Bloque IV: Relación con el Cliente</w:t>
      </w:r>
    </w:p>
    <w:p>
      <w:pPr>
        <w:spacing w:after="120" w:before="0" w:line="360"/>
        <w:jc w:val="left"/>
      </w:pPr>
      <w:r>
        <w:rPr>
          <w:rFonts w:ascii="Times New Roman" w:cs="Times New Roman" w:eastAsia="Times New Roman" w:hAnsi="Times New Roman"/>
          <w:b/>
          <w:bCs/>
          <w:i w:val="false"/>
          <w:iCs w:val="false"/>
          <w:sz w:val="24"/>
          <w:szCs w:val="24"/>
        </w:rPr>
        <w:t xml:space="preserve">2.4.1 Estrategia de relacionamiento</w:t>
      </w:r>
    </w:p>
    <w:p>
      <w:pPr>
        <w:pStyle w:val="ListParagraph"/>
        <w:numPr>
          <w:ilvl w:val="0"/>
          <w:numId w:val="2"/>
        </w:numPr>
        <w:spacing w:after="80" w:line="360"/>
      </w:pPr>
      <w:r>
        <w:rPr>
          <w:rFonts w:ascii="Times New Roman" w:cs="Times New Roman" w:eastAsia="Times New Roman" w:hAnsi="Times New Roman"/>
          <w:sz w:val="24"/>
          <w:szCs w:val="24"/>
        </w:rPr>
        <w:t xml:space="preserve">Con la niña o el niño: la relación es siempre mediada por la persona adulta facilitadora. No existe vínculo directo entre el producto y el menor.</w:t>
      </w:r>
    </w:p>
    <w:p>
      <w:pPr>
        <w:pStyle w:val="ListParagraph"/>
        <w:numPr>
          <w:ilvl w:val="0"/>
          <w:numId w:val="2"/>
        </w:numPr>
        <w:spacing w:after="80" w:line="360"/>
      </w:pPr>
      <w:r>
        <w:rPr>
          <w:rFonts w:ascii="Times New Roman" w:cs="Times New Roman" w:eastAsia="Times New Roman" w:hAnsi="Times New Roman"/>
          <w:sz w:val="24"/>
          <w:szCs w:val="24"/>
        </w:rPr>
        <w:t xml:space="preserve">Con el docente: capacitación inicial, soporte continuo y una comunidad de práctica entre facilitadores de distintas instituciones.</w:t>
      </w:r>
    </w:p>
    <w:p>
      <w:pPr>
        <w:pStyle w:val="ListParagraph"/>
        <w:numPr>
          <w:ilvl w:val="0"/>
          <w:numId w:val="2"/>
        </w:numPr>
        <w:spacing w:after="80" w:line="360"/>
      </w:pPr>
      <w:r>
        <w:rPr>
          <w:rFonts w:ascii="Times New Roman" w:cs="Times New Roman" w:eastAsia="Times New Roman" w:hAnsi="Times New Roman"/>
          <w:sz w:val="24"/>
          <w:szCs w:val="24"/>
        </w:rPr>
        <w:t xml:space="preserve">Con la familia: aviso previo al ciclo y guía breve. No hay vigilancia ni seguimiento individual.</w:t>
      </w:r>
    </w:p>
    <w:p>
      <w:pPr>
        <w:pStyle w:val="ListParagraph"/>
        <w:numPr>
          <w:ilvl w:val="0"/>
          <w:numId w:val="2"/>
        </w:numPr>
        <w:spacing w:after="80" w:line="360"/>
      </w:pPr>
      <w:r>
        <w:rPr>
          <w:rFonts w:ascii="Times New Roman" w:cs="Times New Roman" w:eastAsia="Times New Roman" w:hAnsi="Times New Roman"/>
          <w:sz w:val="24"/>
          <w:szCs w:val="24"/>
        </w:rPr>
        <w:t xml:space="preserve">Con la institución: acuerdo de implementación, protocolo de salvaguarda e informe agregado al cierre de cada ciclo.</w:t>
      </w:r>
    </w:p>
    <w:p>
      <w:pPr>
        <w:pStyle w:val="ListParagraph"/>
        <w:numPr>
          <w:ilvl w:val="0"/>
          <w:numId w:val="2"/>
        </w:numPr>
        <w:spacing w:after="80" w:line="360"/>
      </w:pPr>
      <w:r>
        <w:rPr>
          <w:rFonts w:ascii="Times New Roman" w:cs="Times New Roman" w:eastAsia="Times New Roman" w:hAnsi="Times New Roman"/>
          <w:sz w:val="24"/>
          <w:szCs w:val="24"/>
        </w:rPr>
        <w:t xml:space="preserve">Ante una revelación: se activa el protocolo humano de la institución. El producto deriva y nunca custodia la información.</w:t>
      </w:r>
    </w:p>
    <w:p>
      <w:pPr>
        <w:spacing w:after="120"/>
      </w:pPr>
    </w:p>
    <w:p>
      <w:pPr>
        <w:spacing w:after="120" w:before="0" w:line="360"/>
        <w:jc w:val="left"/>
      </w:pPr>
      <w:r>
        <w:rPr>
          <w:rFonts w:ascii="Times New Roman" w:cs="Times New Roman" w:eastAsia="Times New Roman" w:hAnsi="Times New Roman"/>
          <w:b/>
          <w:bCs/>
          <w:i w:val="false"/>
          <w:iCs w:val="false"/>
          <w:sz w:val="24"/>
          <w:szCs w:val="24"/>
        </w:rPr>
        <w:t xml:space="preserve">2.4.2 Modelo de consentimiento</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El acceso se autoriza mediante consentimiento institucional del colegio, con aviso previo a las familias y opción de no participar, en lugar de un permiso individual firmado por cada familia. La razón es de protección y no de conveniencia administrativa: dado que el agresor suele pertenecer al entorno cercano, un permiso caso por caso otorgaría a un posible agresor la capacidad de bloquear, sin que nadie lo advierta, el acceso de esa niña o ese niño precisamente a la herramienta que busca protegerlo.</w:t>
      </w:r>
    </w:p>
    <w:p>
      <w:pPr>
        <w:spacing w:after="120" w:before="0" w:line="360"/>
        <w:jc w:val="left"/>
      </w:pPr>
      <w:r>
        <w:rPr>
          <w:rFonts w:ascii="Times New Roman" w:cs="Times New Roman" w:eastAsia="Times New Roman" w:hAnsi="Times New Roman"/>
          <w:b/>
          <w:bCs/>
          <w:i w:val="false"/>
          <w:iCs w:val="false"/>
          <w:sz w:val="24"/>
          <w:szCs w:val="24"/>
        </w:rPr>
        <w:t xml:space="preserve">2.4.3 Costos de relacionamiento</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El costo de mantener la relación está incorporado en el costo variable por aula: Bs 13,33 mensuales de soporte y acompañamiento, y Bs 16,67 mensuales de supervisión psicológica prorrateada. En conjunto representan Bs 360 anuales por aula.</w:t>
      </w:r>
    </w:p>
    <w:p>
      <w:pPr>
        <w:pStyle w:val="Heading2"/>
        <w:spacing w:after="160" w:before="280" w:line="360"/>
      </w:pPr>
      <w:r>
        <w:t xml:space="preserve">2.5 Bloque V: Flujo de Ingresos</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2600"/>
        <w:gridCol w:w="2200"/>
        <w:gridCol w:w="2280"/>
        <w:gridCol w:w="2280"/>
      </w:tblGrid>
      <w:tr>
        <w:trPr>
          <w:tblHeader/>
        </w:trPr>
        <w:tc>
          <w:tcPr>
            <w:tcW w:type="dxa" w:w="26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Fuente</w:t>
            </w:r>
          </w:p>
        </w:tc>
        <w:tc>
          <w:tcPr>
            <w:tcW w:type="dxa" w:w="22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Segmento que paga</w:t>
            </w:r>
          </w:p>
        </w:tc>
        <w:tc>
          <w:tcPr>
            <w:tcW w:type="dxa" w:w="22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Precio</w:t>
            </w:r>
          </w:p>
        </w:tc>
        <w:tc>
          <w:tcPr>
            <w:tcW w:type="dxa" w:w="22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Modalidad de pago</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Licencia por aula</w:t>
            </w:r>
          </w:p>
        </w:tc>
        <w:tc>
          <w:tcPr>
            <w:tcW w:type="dxa" w:w="22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Colegio privado o de convenio</w:t>
            </w:r>
          </w:p>
        </w:tc>
        <w:tc>
          <w:tcPr>
            <w:tcW w:type="dxa" w:w="22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US$ 9,99 por aula al mes</w:t>
            </w:r>
          </w:p>
        </w:tc>
        <w:tc>
          <w:tcPr>
            <w:tcW w:type="dxa" w:w="22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Suscripción mensual o anual anticipada</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Contrato de beca</w:t>
            </w:r>
          </w:p>
        </w:tc>
        <w:tc>
          <w:tcPr>
            <w:tcW w:type="dxa" w:w="22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ONG con programa escolar</w:t>
            </w:r>
          </w:p>
        </w:tc>
        <w:tc>
          <w:tcPr>
            <w:tcW w:type="dxa" w:w="22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Negociado por volumen de aulas</w:t>
            </w:r>
          </w:p>
        </w:tc>
        <w:tc>
          <w:tcPr>
            <w:tcW w:type="dxa" w:w="22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Por proyecto, contra convenio</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Capacitación e implementación</w:t>
            </w:r>
          </w:p>
        </w:tc>
        <w:tc>
          <w:tcPr>
            <w:tcW w:type="dxa" w:w="22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Colegio, ONG o empresa</w:t>
            </w:r>
          </w:p>
        </w:tc>
        <w:tc>
          <w:tcPr>
            <w:tcW w:type="dxa" w:w="22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Bs 2.500 por taller de 4 horas</w:t>
            </w:r>
          </w:p>
        </w:tc>
        <w:tc>
          <w:tcPr>
            <w:tcW w:type="dxa" w:w="22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Contra entrega del taller</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Patrocinio</w:t>
            </w:r>
          </w:p>
        </w:tc>
        <w:tc>
          <w:tcPr>
            <w:tcW w:type="dxa" w:w="22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Empresa con responsabilidad social</w:t>
            </w:r>
          </w:p>
        </w:tc>
        <w:tc>
          <w:tcPr>
            <w:tcW w:type="dxa" w:w="22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Por escuela o distrito adoptado</w:t>
            </w:r>
          </w:p>
        </w:tc>
        <w:tc>
          <w:tcPr>
            <w:tcW w:type="dxa" w:w="22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Convenio anual</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Subvenciones</w:t>
            </w:r>
          </w:p>
        </w:tc>
        <w:tc>
          <w:tcPr>
            <w:tcW w:type="dxa" w:w="22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Fondos y cooperación</w:t>
            </w:r>
          </w:p>
        </w:tc>
        <w:tc>
          <w:tcPr>
            <w:tcW w:type="dxa" w:w="22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Por convocatoria</w:t>
            </w:r>
          </w:p>
        </w:tc>
        <w:tc>
          <w:tcPr>
            <w:tcW w:type="dxa" w:w="22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Solo desarrollo y evaluación</w:t>
            </w:r>
          </w:p>
        </w:tc>
      </w:tr>
    </w:tbl>
    <w:p>
      <w:pPr>
        <w:spacing w:after="200" w:before="60" w:line="240"/>
      </w:pPr>
      <w:r>
        <w:rPr>
          <w:rFonts w:ascii="Times New Roman" w:cs="Times New Roman" w:eastAsia="Times New Roman" w:hAnsi="Times New Roman"/>
          <w:i/>
          <w:iCs/>
          <w:color w:val="595959"/>
          <w:sz w:val="18"/>
          <w:szCs w:val="18"/>
        </w:rPr>
        <w:t xml:space="preserve">Tabla 10. Fuentes de ingreso, precios y modalidades de pago.</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Quedan excluidas de manera permanente tres fuentes: el cobro directo a niñas, niños o familias; la publicidad dentro del producto; y cualquier forma de venta o aprovechamiento de datos de menores. La exclusión no responde solo a un criterio ético: un producto de protección infantil que monetiza la atención de los menores pierde la confianza institucional que constituye su principal activo comercial.</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La política de precios incorpora un subsidio cruzado: el margen de contribución de cada aula privada permite financiar el costo variable de aproximadamente tres aulas fiscales, lo que hace viable el compromiso de gratuidad para escuelas públicas sin depender exclusivamente de subvenciones.</w:t>
      </w:r>
    </w:p>
    <w:p>
      <w:pPr>
        <w:pStyle w:val="Heading2"/>
        <w:spacing w:after="160" w:before="280" w:line="360"/>
      </w:pPr>
      <w:r>
        <w:t xml:space="preserve">2.6 Bloque VI: Recursos Clave</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2400"/>
        <w:gridCol w:w="6960"/>
      </w:tblGrid>
      <w:tr>
        <w:trPr>
          <w:tblHeader/>
        </w:trPr>
        <w:tc>
          <w:tcPr>
            <w:tcW w:type="dxa" w:w="24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Tipo</w:t>
            </w:r>
          </w:p>
        </w:tc>
        <w:tc>
          <w:tcPr>
            <w:tcW w:type="dxa" w:w="696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Recurso</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Humanos</w:t>
            </w:r>
          </w:p>
        </w:tc>
        <w:tc>
          <w:tcPr>
            <w:tcW w:type="dxa" w:w="69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Equipo fundador sin costo de nómina: Arianna (psicología, diseño y aval de contenido), Gabriel Mamani (desarrollo fullstack), Diego Saavedra (desarrollo y arte 3D), Mauricio Núñez (negocios y marketing).</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Tecnológicos</w:t>
            </w:r>
          </w:p>
        </w:tc>
        <w:tc>
          <w:tcPr>
            <w:tcW w:type="dxa" w:w="69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Blender como herramienta principal de creación 3D; aplicación web construida sobre React con React Three Fiber; Supabase como servicio de datos en plan gratuito hasta alcanzar tracción; repositorio versionado.</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Intelectuales</w:t>
            </w:r>
          </w:p>
        </w:tc>
        <w:tc>
          <w:tcPr>
            <w:tcW w:type="dxa" w:w="69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Guiones de los cuatro episodios, guía docente, material para familias, protocolo de derivación contextualizado a Bolivia, y biblioteca propia de modelos 3D.</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Institucionales</w:t>
            </w:r>
          </w:p>
        </w:tc>
        <w:tc>
          <w:tcPr>
            <w:tcW w:type="dxa" w:w="69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Cartas de aval de organizaciones de protección, Defensoría de la Niñez, UAGRM y Colegio de Psicólogos de Bolivia.</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Financieros</w:t>
            </w:r>
          </w:p>
        </w:tc>
        <w:tc>
          <w:tcPr>
            <w:tcW w:type="dxa" w:w="69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Capital semilla de HACKBIZ por Bs 12.000 en efectivo.</w:t>
            </w:r>
          </w:p>
        </w:tc>
      </w:tr>
      <w:t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Del cliente</w:t>
            </w:r>
          </w:p>
        </w:tc>
        <w:tc>
          <w:tcPr>
            <w:tcW w:type="dxa" w:w="69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Proyector o computadora y conexión a internet de la propia unidad educativa. El modelo no exige compra de equipamiento.</w:t>
            </w:r>
          </w:p>
        </w:tc>
      </w:tr>
    </w:tbl>
    <w:p>
      <w:pPr>
        <w:spacing w:after="200" w:before="60" w:line="240"/>
      </w:pPr>
      <w:r>
        <w:rPr>
          <w:rFonts w:ascii="Times New Roman" w:cs="Times New Roman" w:eastAsia="Times New Roman" w:hAnsi="Times New Roman"/>
          <w:i/>
          <w:iCs/>
          <w:color w:val="595959"/>
          <w:sz w:val="18"/>
          <w:szCs w:val="18"/>
        </w:rPr>
        <w:t xml:space="preserve">Tabla 11. Recursos clave.</w:t>
      </w:r>
    </w:p>
    <w:p>
      <w:pPr>
        <w:pStyle w:val="Heading2"/>
        <w:spacing w:after="160" w:before="280" w:line="360"/>
      </w:pPr>
      <w:r>
        <w:t xml:space="preserve">2.7 Bloque VII: Actividades Clave</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3200"/>
        <w:gridCol w:w="4000"/>
        <w:gridCol w:w="2160"/>
      </w:tblGrid>
      <w:tr>
        <w:trPr>
          <w:tblHeader/>
        </w:trPr>
        <w:tc>
          <w:tcPr>
            <w:tcW w:type="dxa" w:w="32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Actividad</w:t>
            </w:r>
          </w:p>
        </w:tc>
        <w:tc>
          <w:tcPr>
            <w:tcW w:type="dxa" w:w="40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Descripción</w:t>
            </w:r>
          </w:p>
        </w:tc>
        <w:tc>
          <w:tcPr>
            <w:tcW w:type="dxa" w:w="216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Vínculo con la propuesta de valor</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Diseño pedagógico y revisión psicológica</w:t>
            </w:r>
          </w:p>
        </w:tc>
        <w:tc>
          <w:tcPr>
            <w:tcW w:type="dxa" w:w="4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Guion, decisiones, retroalimentación y cierre conversado de cada episodio</w:t>
            </w:r>
          </w:p>
        </w:tc>
        <w:tc>
          <w:tcPr>
            <w:tcW w:type="dxa" w:w="2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Sustenta la credibilidad y la seguridad del contenido</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Desarrollo de la experiencia web 3D</w:t>
            </w:r>
          </w:p>
        </w:tc>
        <w:tc>
          <w:tcPr>
            <w:tcW w:type="dxa" w:w="4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Aplicación ligera, modalidad proyector, bajo consumo de ancho de banda</w:t>
            </w:r>
          </w:p>
        </w:tc>
        <w:tc>
          <w:tcPr>
            <w:tcW w:type="dxa" w:w="2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Permite operar en el aula real sin hardware nuevo</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Elaboración de guía y protocolo</w:t>
            </w:r>
          </w:p>
        </w:tc>
        <w:tc>
          <w:tcPr>
            <w:tcW w:type="dxa" w:w="4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Material para docentes y familias, rutas de derivación bolivianas</w:t>
            </w:r>
          </w:p>
        </w:tc>
        <w:tc>
          <w:tcPr>
            <w:tcW w:type="dxa" w:w="2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Convierte el software en programa acompañado</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Capacitación de facilitadores</w:t>
            </w:r>
          </w:p>
        </w:tc>
        <w:tc>
          <w:tcPr>
            <w:tcW w:type="dxa" w:w="4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Taller de cuatro horas y acompañamiento del primer ciclo</w:t>
            </w:r>
          </w:p>
        </w:tc>
        <w:tc>
          <w:tcPr>
            <w:tcW w:type="dxa" w:w="2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Es el factor que más influye en la fidelidad de implementación</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Medición de impacto agregada</w:t>
            </w:r>
          </w:p>
        </w:tc>
        <w:tc>
          <w:tcPr>
            <w:tcW w:type="dxa" w:w="4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Instrumentos anónimos, sin datos personales de menores</w:t>
            </w:r>
          </w:p>
        </w:tc>
        <w:tc>
          <w:tcPr>
            <w:tcW w:type="dxa" w:w="2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Genera los indicadores que exigen ONG y patrocinadores</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Alianzas institucionales</w:t>
            </w:r>
          </w:p>
        </w:tc>
        <w:tc>
          <w:tcPr>
            <w:tcW w:type="dxa" w:w="4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Colegios, ONG, salud y sector público</w:t>
            </w:r>
          </w:p>
        </w:tc>
        <w:tc>
          <w:tcPr>
            <w:tcW w:type="dxa" w:w="21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Es el canal principal de crecimiento</w:t>
            </w:r>
          </w:p>
        </w:tc>
      </w:tr>
    </w:tbl>
    <w:p>
      <w:pPr>
        <w:spacing w:after="200" w:before="60" w:line="240"/>
      </w:pPr>
      <w:r>
        <w:rPr>
          <w:rFonts w:ascii="Times New Roman" w:cs="Times New Roman" w:eastAsia="Times New Roman" w:hAnsi="Times New Roman"/>
          <w:i/>
          <w:iCs/>
          <w:color w:val="595959"/>
          <w:sz w:val="18"/>
          <w:szCs w:val="18"/>
        </w:rPr>
        <w:t xml:space="preserve">Tabla 12. Actividades clave y su relación con la propuesta de valor.</w:t>
      </w:r>
    </w:p>
    <w:p>
      <w:pPr>
        <w:pStyle w:val="Heading2"/>
        <w:spacing w:after="160" w:before="280" w:line="360"/>
      </w:pPr>
      <w:r>
        <w:t xml:space="preserve">2.8 Bloque VIII: Asociaciones Clave</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2600"/>
        <w:gridCol w:w="2400"/>
        <w:gridCol w:w="4360"/>
      </w:tblGrid>
      <w:tr>
        <w:trPr>
          <w:tblHeader/>
        </w:trPr>
        <w:tc>
          <w:tcPr>
            <w:tcW w:type="dxa" w:w="26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Socio</w:t>
            </w:r>
          </w:p>
        </w:tc>
        <w:tc>
          <w:tcPr>
            <w:tcW w:type="dxa" w:w="24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Ubicación</w:t>
            </w:r>
          </w:p>
        </w:tc>
        <w:tc>
          <w:tcPr>
            <w:tcW w:type="dxa" w:w="436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Aporte a la alianza</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CEMSE y ChildFund Bolivia</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La Paz y Santa Cruz</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Ejecutan el proyecto Escuelas Seguras y Comunidades Protectoras para la Niñez en Santa Cruz (2026-2027); aportan acceso a escuelas y legitimidad institucional</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Visión Mundial Bolivia</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8 departamentos, sede en La Paz</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Red de facilitadores jóvenes y presencia en 50 gobiernos municipales</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Save the Children Bolivia</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La Paz y Santa Cruz</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Incidencia normativa y protocolo interinstitucional en Santa Cruz</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Educo Bolivia</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7 municipios</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Experiencia en rutas de actuación y denuncia en unidades educativas</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Defensoría de la Niñez y Adolescencia</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Municipal, Santa Cruz de la Sierra</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Ruta oficial de derivación y validación del protocolo</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Colegio de Psicólogos de Bolivia</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Nacional, fundado en La Paz</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Aval institucional y acceso a la red profesional</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UAGRM (FH y FICCT)</w:t>
            </w:r>
          </w:p>
        </w:tc>
        <w:tc>
          <w:tcPr>
            <w:tcW w:type="dxa" w:w="2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Santa Cruz de la Sierra</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Marco académico, mentoría y respaldo institucional del equipo</w:t>
            </w:r>
          </w:p>
        </w:tc>
      </w:tr>
    </w:tbl>
    <w:p>
      <w:pPr>
        <w:spacing w:after="200" w:before="60" w:line="240"/>
      </w:pPr>
      <w:r>
        <w:rPr>
          <w:rFonts w:ascii="Times New Roman" w:cs="Times New Roman" w:eastAsia="Times New Roman" w:hAnsi="Times New Roman"/>
          <w:i/>
          <w:iCs/>
          <w:color w:val="595959"/>
          <w:sz w:val="18"/>
          <w:szCs w:val="18"/>
        </w:rPr>
        <w:t xml:space="preserve">Tabla 13. Asociaciones clave con nombre y ubicación.</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Los proveedores de infraestructura tecnológica, Supabase y los servicios de alojamiento, se consideran proveedores y no socios de misión: aportan capacidad técnica, no propósito compartido.</w:t>
      </w:r>
    </w:p>
    <w:p>
      <w:pPr>
        <w:pStyle w:val="Heading2"/>
        <w:spacing w:after="160" w:before="280" w:line="360"/>
      </w:pPr>
      <w:r>
        <w:t xml:space="preserve">2.9 Bloque IX: Estructura de Costos</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La estructura se presenta según el formato requerido, separando costos variables por uso, costos variables de mano de obra directa y costos fijos. La unidad de costeo es un aula activa durante un mes.</w:t>
      </w:r>
    </w:p>
    <w:p>
      <w:pPr>
        <w:spacing w:after="120" w:before="160" w:line="360"/>
        <w:jc w:val="left"/>
      </w:pPr>
      <w:r>
        <w:rPr>
          <w:rFonts w:ascii="Times New Roman" w:cs="Times New Roman" w:eastAsia="Times New Roman" w:hAnsi="Times New Roman"/>
          <w:b/>
          <w:bCs/>
          <w:i w:val="false"/>
          <w:iCs w:val="false"/>
          <w:sz w:val="24"/>
          <w:szCs w:val="24"/>
        </w:rPr>
        <w:t xml:space="preserve">2.9.1 Costos variables (por uso)</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2800"/>
        <w:gridCol w:w="1400"/>
        <w:gridCol w:w="1400"/>
        <w:gridCol w:w="1760"/>
        <w:gridCol w:w="2000"/>
      </w:tblGrid>
      <w:tr>
        <w:trPr>
          <w:tblHeader/>
        </w:trPr>
        <w:tc>
          <w:tcPr>
            <w:tcW w:type="dxa" w:w="28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Ítem</w:t>
            </w:r>
          </w:p>
        </w:tc>
        <w:tc>
          <w:tcPr>
            <w:tcW w:type="dxa" w:w="14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Unidad</w:t>
            </w:r>
          </w:p>
        </w:tc>
        <w:tc>
          <w:tcPr>
            <w:tcW w:type="dxa" w:w="14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Cantidad</w:t>
            </w:r>
          </w:p>
        </w:tc>
        <w:tc>
          <w:tcPr>
            <w:tcW w:type="dxa" w:w="176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Costo unit. (Bs)</w:t>
            </w:r>
          </w:p>
        </w:tc>
        <w:tc>
          <w:tcPr>
            <w:tcW w:type="dxa" w:w="20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Costo mensual (Bs)</w:t>
            </w:r>
          </w:p>
        </w:tc>
      </w:tr>
      <w:tr>
        <w:tc>
          <w:tcPr>
            <w:tcW w:type="dxa" w:w="2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Guía impresa del docente</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unidad/año</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w:t>
            </w:r>
          </w:p>
        </w:tc>
        <w:tc>
          <w:tcPr>
            <w:tcW w:type="dxa" w:w="17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20,00</w:t>
            </w:r>
          </w:p>
        </w:tc>
        <w:tc>
          <w:tcPr>
            <w:tcW w:type="dxa" w:w="2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1,67</w:t>
            </w:r>
          </w:p>
        </w:tc>
      </w:tr>
      <w:tr>
        <w:tc>
          <w:tcPr>
            <w:tcW w:type="dxa" w:w="2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Volantes para familias</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unidad/año</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25</w:t>
            </w:r>
          </w:p>
        </w:tc>
        <w:tc>
          <w:tcPr>
            <w:tcW w:type="dxa" w:w="17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0,30</w:t>
            </w:r>
          </w:p>
        </w:tc>
        <w:tc>
          <w:tcPr>
            <w:tcW w:type="dxa" w:w="2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0,63</w:t>
            </w:r>
          </w:p>
        </w:tc>
      </w:tr>
      <w:tr>
        <w:tc>
          <w:tcPr>
            <w:tcW w:type="dxa" w:w="2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Hosting y ancho de banda marginal</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aula/año</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w:t>
            </w:r>
          </w:p>
        </w:tc>
        <w:tc>
          <w:tcPr>
            <w:tcW w:type="dxa" w:w="17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10,00</w:t>
            </w:r>
          </w:p>
        </w:tc>
        <w:tc>
          <w:tcPr>
            <w:tcW w:type="dxa" w:w="2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0,83</w:t>
            </w:r>
          </w:p>
        </w:tc>
      </w:tr>
      <w:tr>
        <w:tc>
          <w:tcPr>
            <w:tcW w:type="dxa" w:w="2800"/>
            <w:shd w:fill="F4B18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TOTAL por aula</w:t>
            </w:r>
          </w:p>
        </w:tc>
        <w:tc>
          <w:tcPr>
            <w:tcW w:type="dxa" w:w="14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
            </w:r>
          </w:p>
        </w:tc>
        <w:tc>
          <w:tcPr>
            <w:tcW w:type="dxa" w:w="14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
            </w:r>
          </w:p>
        </w:tc>
        <w:tc>
          <w:tcPr>
            <w:tcW w:type="dxa" w:w="176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
            </w:r>
          </w:p>
        </w:tc>
        <w:tc>
          <w:tcPr>
            <w:tcW w:type="dxa" w:w="20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3,13</w:t>
            </w:r>
          </w:p>
        </w:tc>
      </w:tr>
    </w:tbl>
    <w:p>
      <w:pPr>
        <w:spacing w:after="200" w:before="60" w:line="240"/>
      </w:pPr>
      <w:r>
        <w:rPr>
          <w:rFonts w:ascii="Times New Roman" w:cs="Times New Roman" w:eastAsia="Times New Roman" w:hAnsi="Times New Roman"/>
          <w:i/>
          <w:iCs/>
          <w:color w:val="595959"/>
          <w:sz w:val="18"/>
          <w:szCs w:val="18"/>
        </w:rPr>
        <w:t xml:space="preserve">Tabla 14. Costos variables por uso, expresados por aula y por mes.</w:t>
      </w:r>
    </w:p>
    <w:p>
      <w:pPr>
        <w:spacing w:after="120" w:before="160" w:line="360"/>
        <w:jc w:val="left"/>
      </w:pPr>
      <w:r>
        <w:rPr>
          <w:rFonts w:ascii="Times New Roman" w:cs="Times New Roman" w:eastAsia="Times New Roman" w:hAnsi="Times New Roman"/>
          <w:b/>
          <w:bCs/>
          <w:i w:val="false"/>
          <w:iCs w:val="false"/>
          <w:sz w:val="24"/>
          <w:szCs w:val="24"/>
        </w:rPr>
        <w:t xml:space="preserve">2.9.2 Costo variable (mano de obra directa)</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2600"/>
        <w:gridCol w:w="1500"/>
        <w:gridCol w:w="1300"/>
        <w:gridCol w:w="1400"/>
        <w:gridCol w:w="1360"/>
        <w:gridCol w:w="1200"/>
      </w:tblGrid>
      <w:tr>
        <w:trPr>
          <w:tblHeader/>
        </w:trPr>
        <w:tc>
          <w:tcPr>
            <w:tcW w:type="dxa" w:w="26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Rol</w:t>
            </w:r>
          </w:p>
        </w:tc>
        <w:tc>
          <w:tcPr>
            <w:tcW w:type="dxa" w:w="15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Horas por unidad</w:t>
            </w:r>
          </w:p>
        </w:tc>
        <w:tc>
          <w:tcPr>
            <w:tcW w:type="dxa" w:w="13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Cantidad</w:t>
            </w:r>
          </w:p>
        </w:tc>
        <w:tc>
          <w:tcPr>
            <w:tcW w:type="dxa" w:w="14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Costo unit. (Bs/h)</w:t>
            </w:r>
          </w:p>
        </w:tc>
        <w:tc>
          <w:tcPr>
            <w:tcW w:type="dxa" w:w="136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Costo mensual (Bs)</w:t>
            </w:r>
          </w:p>
        </w:tc>
        <w:tc>
          <w:tcPr>
            <w:tcW w:type="dxa" w:w="12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Costo anual (Bs)</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Capacitación de docentes</w:t>
            </w:r>
          </w:p>
        </w:tc>
        <w:tc>
          <w:tcPr>
            <w:tcW w:type="dxa" w:w="15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0,25</w:t>
            </w:r>
          </w:p>
        </w:tc>
        <w:tc>
          <w:tcPr>
            <w:tcW w:type="dxa" w:w="13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 aula</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50,00</w:t>
            </w:r>
          </w:p>
        </w:tc>
        <w:tc>
          <w:tcPr>
            <w:tcW w:type="dxa" w:w="1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12,50</w:t>
            </w:r>
          </w:p>
        </w:tc>
        <w:tc>
          <w:tcPr>
            <w:tcW w:type="dxa" w:w="12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150,00</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Soporte y acompañamiento</w:t>
            </w:r>
          </w:p>
        </w:tc>
        <w:tc>
          <w:tcPr>
            <w:tcW w:type="dxa" w:w="15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0,33</w:t>
            </w:r>
          </w:p>
        </w:tc>
        <w:tc>
          <w:tcPr>
            <w:tcW w:type="dxa" w:w="13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 aula</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40,00</w:t>
            </w:r>
          </w:p>
        </w:tc>
        <w:tc>
          <w:tcPr>
            <w:tcW w:type="dxa" w:w="1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13,33</w:t>
            </w:r>
          </w:p>
        </w:tc>
        <w:tc>
          <w:tcPr>
            <w:tcW w:type="dxa" w:w="12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160,00</w:t>
            </w:r>
          </w:p>
        </w:tc>
      </w:tr>
      <w:t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Supervisión psicológica</w:t>
            </w:r>
          </w:p>
        </w:tc>
        <w:tc>
          <w:tcPr>
            <w:tcW w:type="dxa" w:w="15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0,08</w:t>
            </w:r>
          </w:p>
        </w:tc>
        <w:tc>
          <w:tcPr>
            <w:tcW w:type="dxa" w:w="13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 aula</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200,00</w:t>
            </w:r>
          </w:p>
        </w:tc>
        <w:tc>
          <w:tcPr>
            <w:tcW w:type="dxa" w:w="1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16,67</w:t>
            </w:r>
          </w:p>
        </w:tc>
        <w:tc>
          <w:tcPr>
            <w:tcW w:type="dxa" w:w="12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200,00</w:t>
            </w:r>
          </w:p>
        </w:tc>
      </w:tr>
      <w:tr>
        <w:tc>
          <w:tcPr>
            <w:tcW w:type="dxa" w:w="2600"/>
            <w:shd w:fill="F4B18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TOTAL por aula</w:t>
            </w:r>
          </w:p>
        </w:tc>
        <w:tc>
          <w:tcPr>
            <w:tcW w:type="dxa" w:w="15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0,66</w:t>
            </w:r>
          </w:p>
        </w:tc>
        <w:tc>
          <w:tcPr>
            <w:tcW w:type="dxa" w:w="13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
            </w:r>
          </w:p>
        </w:tc>
        <w:tc>
          <w:tcPr>
            <w:tcW w:type="dxa" w:w="14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
            </w:r>
          </w:p>
        </w:tc>
        <w:tc>
          <w:tcPr>
            <w:tcW w:type="dxa" w:w="136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42,50</w:t>
            </w:r>
          </w:p>
        </w:tc>
        <w:tc>
          <w:tcPr>
            <w:tcW w:type="dxa" w:w="12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510,00</w:t>
            </w:r>
          </w:p>
        </w:tc>
      </w:tr>
    </w:tbl>
    <w:p>
      <w:pPr>
        <w:spacing w:after="200" w:before="60" w:line="240"/>
      </w:pPr>
      <w:r>
        <w:rPr>
          <w:rFonts w:ascii="Times New Roman" w:cs="Times New Roman" w:eastAsia="Times New Roman" w:hAnsi="Times New Roman"/>
          <w:i/>
          <w:iCs/>
          <w:color w:val="595959"/>
          <w:sz w:val="18"/>
          <w:szCs w:val="18"/>
        </w:rPr>
        <w:t xml:space="preserve">Tabla 15. Mano de obra directa por aula y por mes, valorizada a precio de mercado.</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Durante el primer año esta mano de obra la aportan los cuatro fundadores sin remuneración, de modo que el desembolso efectivo de caja es de Bs 0. Se valoriza igualmente a precio de mercado por dos razones: permite calcular un punto de equilibrio económico honesto y evita que el modelo parezca rentable únicamente porque alguien no está cobrando.</w:t>
      </w:r>
    </w:p>
    <w:p>
      <w:pPr>
        <w:spacing w:after="120" w:before="160" w:line="360"/>
        <w:jc w:val="left"/>
      </w:pPr>
      <w:r>
        <w:rPr>
          <w:rFonts w:ascii="Times New Roman" w:cs="Times New Roman" w:eastAsia="Times New Roman" w:hAnsi="Times New Roman"/>
          <w:b/>
          <w:bCs/>
          <w:i w:val="false"/>
          <w:iCs w:val="false"/>
          <w:sz w:val="24"/>
          <w:szCs w:val="24"/>
        </w:rPr>
        <w:t xml:space="preserve">2.9.3 Costos fijos</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3000"/>
        <w:gridCol w:w="1400"/>
        <w:gridCol w:w="1300"/>
        <w:gridCol w:w="1660"/>
        <w:gridCol w:w="2000"/>
      </w:tblGrid>
      <w:tr>
        <w:trPr>
          <w:tblHeader/>
        </w:trPr>
        <w:tc>
          <w:tcPr>
            <w:tcW w:type="dxa" w:w="30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Ítem</w:t>
            </w:r>
          </w:p>
        </w:tc>
        <w:tc>
          <w:tcPr>
            <w:tcW w:type="dxa" w:w="14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Unidad</w:t>
            </w:r>
          </w:p>
        </w:tc>
        <w:tc>
          <w:tcPr>
            <w:tcW w:type="dxa" w:w="13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Cantidad</w:t>
            </w:r>
          </w:p>
        </w:tc>
        <w:tc>
          <w:tcPr>
            <w:tcW w:type="dxa" w:w="166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Costo unit. (Bs)</w:t>
            </w:r>
          </w:p>
        </w:tc>
        <w:tc>
          <w:tcPr>
            <w:tcW w:type="dxa" w:w="2000"/>
            <w:shd w:fill="C00000"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Costo mensual (Bs)</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Licencias de IA y desarrollo</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mes</w:t>
            </w:r>
          </w:p>
        </w:tc>
        <w:tc>
          <w:tcPr>
            <w:tcW w:type="dxa" w:w="13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w:t>
            </w:r>
          </w:p>
        </w:tc>
        <w:tc>
          <w:tcPr>
            <w:tcW w:type="dxa" w:w="16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820,00</w:t>
            </w:r>
          </w:p>
        </w:tc>
        <w:tc>
          <w:tcPr>
            <w:tcW w:type="dxa" w:w="2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820,00</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Marketing y activaciones</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mes</w:t>
            </w:r>
          </w:p>
        </w:tc>
        <w:tc>
          <w:tcPr>
            <w:tcW w:type="dxa" w:w="13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w:t>
            </w:r>
          </w:p>
        </w:tc>
        <w:tc>
          <w:tcPr>
            <w:tcW w:type="dxa" w:w="16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2.313,33</w:t>
            </w:r>
          </w:p>
        </w:tc>
        <w:tc>
          <w:tcPr>
            <w:tcW w:type="dxa" w:w="2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2.313,33</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Legal básico (amortizado a 12 meses)</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mes</w:t>
            </w:r>
          </w:p>
        </w:tc>
        <w:tc>
          <w:tcPr>
            <w:tcW w:type="dxa" w:w="13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w:t>
            </w:r>
          </w:p>
        </w:tc>
        <w:tc>
          <w:tcPr>
            <w:tcW w:type="dxa" w:w="16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125,00</w:t>
            </w:r>
          </w:p>
        </w:tc>
        <w:tc>
          <w:tcPr>
            <w:tcW w:type="dxa" w:w="2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125,00</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Dominio (amortizado a 12 meses)</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mes</w:t>
            </w:r>
          </w:p>
        </w:tc>
        <w:tc>
          <w:tcPr>
            <w:tcW w:type="dxa" w:w="13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w:t>
            </w:r>
          </w:p>
        </w:tc>
        <w:tc>
          <w:tcPr>
            <w:tcW w:type="dxa" w:w="16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8,33</w:t>
            </w:r>
          </w:p>
        </w:tc>
        <w:tc>
          <w:tcPr>
            <w:tcW w:type="dxa" w:w="2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8,33</w:t>
            </w:r>
          </w:p>
        </w:tc>
      </w:tr>
      <w:t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Servicios en la nube (plan gratuito)</w:t>
            </w:r>
          </w:p>
        </w:tc>
        <w:tc>
          <w:tcPr>
            <w:tcW w:type="dxa" w:w="14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mes</w:t>
            </w:r>
          </w:p>
        </w:tc>
        <w:tc>
          <w:tcPr>
            <w:tcW w:type="dxa" w:w="13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w:t>
            </w:r>
          </w:p>
        </w:tc>
        <w:tc>
          <w:tcPr>
            <w:tcW w:type="dxa" w:w="16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0,00</w:t>
            </w:r>
          </w:p>
        </w:tc>
        <w:tc>
          <w:tcPr>
            <w:tcW w:type="dxa" w:w="2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0,00</w:t>
            </w:r>
          </w:p>
        </w:tc>
      </w:tr>
      <w:tr>
        <w:tc>
          <w:tcPr>
            <w:tcW w:type="dxa" w:w="3000"/>
            <w:shd w:fill="F4B18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TOTAL</w:t>
            </w:r>
          </w:p>
        </w:tc>
        <w:tc>
          <w:tcPr>
            <w:tcW w:type="dxa" w:w="14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
            </w:r>
          </w:p>
        </w:tc>
        <w:tc>
          <w:tcPr>
            <w:tcW w:type="dxa" w:w="13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
            </w:r>
          </w:p>
        </w:tc>
        <w:tc>
          <w:tcPr>
            <w:tcW w:type="dxa" w:w="166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
            </w:r>
          </w:p>
        </w:tc>
        <w:tc>
          <w:tcPr>
            <w:tcW w:type="dxa" w:w="20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3.266,66</w:t>
            </w:r>
          </w:p>
        </w:tc>
      </w:tr>
    </w:tbl>
    <w:p>
      <w:pPr>
        <w:spacing w:after="200" w:before="60" w:line="240"/>
      </w:pPr>
      <w:r>
        <w:rPr>
          <w:rFonts w:ascii="Times New Roman" w:cs="Times New Roman" w:eastAsia="Times New Roman" w:hAnsi="Times New Roman"/>
          <w:i/>
          <w:iCs/>
          <w:color w:val="595959"/>
          <w:sz w:val="18"/>
          <w:szCs w:val="18"/>
        </w:rPr>
        <w:t xml:space="preserve">Tabla 16. Costos fijos mensuales durante la fase semilla (meses 1 a 3). A partir del mes 4, al agotarse el presupuesto de activación, los costos fijos bajan a Bs 953,33 mensuales.</w:t>
      </w:r>
    </w:p>
    <w:p>
      <w:pPr>
        <w:spacing w:after="120" w:before="160" w:line="360"/>
        <w:jc w:val="left"/>
      </w:pPr>
      <w:r>
        <w:rPr>
          <w:rFonts w:ascii="Times New Roman" w:cs="Times New Roman" w:eastAsia="Times New Roman" w:hAnsi="Times New Roman"/>
          <w:b/>
          <w:bCs/>
          <w:i w:val="false"/>
          <w:iCs w:val="false"/>
          <w:sz w:val="24"/>
          <w:szCs w:val="24"/>
        </w:rPr>
        <w:t xml:space="preserve">2.9.4 Destino del capital semilla</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3400"/>
        <w:gridCol w:w="1800"/>
        <w:gridCol w:w="2080"/>
        <w:gridCol w:w="2080"/>
      </w:tblGrid>
      <w:tr>
        <w:trPr>
          <w:tblHeader/>
        </w:trPr>
        <w:tc>
          <w:tcPr>
            <w:tcW w:type="dxa" w:w="34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Rubro</w:t>
            </w:r>
          </w:p>
        </w:tc>
        <w:tc>
          <w:tcPr>
            <w:tcW w:type="dxa" w:w="18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Porcentaje</w:t>
            </w:r>
          </w:p>
        </w:tc>
        <w:tc>
          <w:tcPr>
            <w:tcW w:type="dxa" w:w="20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Monto (Bs)</w:t>
            </w:r>
          </w:p>
        </w:tc>
        <w:tc>
          <w:tcPr>
            <w:tcW w:type="dxa" w:w="20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Monto (US$)</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Marketing y activaciones</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58 %</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6.940</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706</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Herramientas y licencias de desarrollo</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20 %</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2.460</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250</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Legal básico</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13 %</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1.500</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153</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Reserva para imprevistos</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8 %</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1.000</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102</w:t>
            </w:r>
          </w:p>
        </w:tc>
      </w:tr>
      <w:t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Dominio</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1 %</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100</w:t>
            </w:r>
          </w:p>
        </w:tc>
        <w:tc>
          <w:tcPr>
            <w:tcW w:type="dxa" w:w="20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10</w:t>
            </w:r>
          </w:p>
        </w:tc>
      </w:tr>
      <w:tr>
        <w:tc>
          <w:tcPr>
            <w:tcW w:type="dxa" w:w="3400"/>
            <w:shd w:fill="F4B18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TOTAL</w:t>
            </w:r>
          </w:p>
        </w:tc>
        <w:tc>
          <w:tcPr>
            <w:tcW w:type="dxa" w:w="18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100 %</w:t>
            </w:r>
          </w:p>
        </w:tc>
        <w:tc>
          <w:tcPr>
            <w:tcW w:type="dxa" w:w="208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12.000</w:t>
            </w:r>
          </w:p>
        </w:tc>
        <w:tc>
          <w:tcPr>
            <w:tcW w:type="dxa" w:w="208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1.221</w:t>
            </w:r>
          </w:p>
        </w:tc>
      </w:tr>
    </w:tbl>
    <w:p>
      <w:pPr>
        <w:spacing w:after="200" w:before="60" w:line="240"/>
      </w:pPr>
      <w:r>
        <w:rPr>
          <w:rFonts w:ascii="Times New Roman" w:cs="Times New Roman" w:eastAsia="Times New Roman" w:hAnsi="Times New Roman"/>
          <w:i/>
          <w:iCs/>
          <w:color w:val="595959"/>
          <w:sz w:val="18"/>
          <w:szCs w:val="18"/>
        </w:rPr>
        <w:t xml:space="preserve">Tabla 17. Asignación del capital semilla de HACKBIZ. No se destina monto alguno a remuneración del equipo ni a infraestructura en la nube, por decisión explícita.</w:t>
      </w:r>
    </w:p>
    <w:p>
      <w:pPr>
        <w:spacing w:after="120" w:before="160" w:line="360"/>
        <w:jc w:val="left"/>
      </w:pPr>
      <w:r>
        <w:rPr>
          <w:rFonts w:ascii="Times New Roman" w:cs="Times New Roman" w:eastAsia="Times New Roman" w:hAnsi="Times New Roman"/>
          <w:b/>
          <w:bCs/>
          <w:i w:val="false"/>
          <w:iCs w:val="false"/>
          <w:sz w:val="24"/>
          <w:szCs w:val="24"/>
        </w:rPr>
        <w:t xml:space="preserve">2.9.5 Total de costos</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5360"/>
        <w:gridCol w:w="4000"/>
      </w:tblGrid>
      <w:tr>
        <w:trPr>
          <w:tblHeader/>
        </w:trPr>
        <w:tc>
          <w:tcPr>
            <w:tcW w:type="dxa" w:w="536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Concepto</w:t>
            </w:r>
          </w:p>
        </w:tc>
        <w:tc>
          <w:tcPr>
            <w:tcW w:type="dxa" w:w="40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Total mensual (Bs)</w:t>
            </w:r>
          </w:p>
        </w:tc>
      </w:tr>
      <w:tr>
        <w:tc>
          <w:tcPr>
            <w:tcW w:type="dxa" w:w="53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Costo variable (por uso) — 40 aulas</w:t>
            </w:r>
          </w:p>
        </w:tc>
        <w:tc>
          <w:tcPr>
            <w:tcW w:type="dxa" w:w="4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125,20</w:t>
            </w:r>
          </w:p>
        </w:tc>
      </w:tr>
      <w:tr>
        <w:tc>
          <w:tcPr>
            <w:tcW w:type="dxa" w:w="53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Costo variable (mano de obra directa) — 40 aulas</w:t>
            </w:r>
          </w:p>
        </w:tc>
        <w:tc>
          <w:tcPr>
            <w:tcW w:type="dxa" w:w="4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1.700,00</w:t>
            </w:r>
          </w:p>
        </w:tc>
      </w:tr>
      <w:tr>
        <w:tc>
          <w:tcPr>
            <w:tcW w:type="dxa" w:w="53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Costos fijos</w:t>
            </w:r>
          </w:p>
        </w:tc>
        <w:tc>
          <w:tcPr>
            <w:tcW w:type="dxa" w:w="4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3.266,66</w:t>
            </w:r>
          </w:p>
        </w:tc>
      </w:tr>
      <w:tr>
        <w:tc>
          <w:tcPr>
            <w:tcW w:type="dxa" w:w="5360"/>
            <w:shd w:fill="FBE4D5"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COSTO TOTAL</w:t>
            </w:r>
          </w:p>
        </w:tc>
        <w:tc>
          <w:tcPr>
            <w:tcW w:type="dxa" w:w="4000"/>
            <w:shd w:fill="FBE4D5"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5.091,86</w:t>
            </w:r>
          </w:p>
        </w:tc>
      </w:tr>
      <w:tr>
        <w:tc>
          <w:tcPr>
            <w:tcW w:type="dxa" w:w="53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Margen de utilidad objetivo (20 %)</w:t>
            </w:r>
          </w:p>
        </w:tc>
        <w:tc>
          <w:tcPr>
            <w:tcW w:type="dxa" w:w="40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1.018,37</w:t>
            </w:r>
          </w:p>
        </w:tc>
      </w:tr>
      <w:tr>
        <w:tc>
          <w:tcPr>
            <w:tcW w:type="dxa" w:w="5360"/>
            <w:shd w:fill="F4B18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TOTAL</w:t>
            </w:r>
          </w:p>
        </w:tc>
        <w:tc>
          <w:tcPr>
            <w:tcW w:type="dxa" w:w="40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6.110,23</w:t>
            </w:r>
          </w:p>
        </w:tc>
      </w:tr>
    </w:tbl>
    <w:p>
      <w:pPr>
        <w:spacing w:after="200" w:before="60" w:line="240"/>
      </w:pPr>
      <w:r>
        <w:rPr>
          <w:rFonts w:ascii="Times New Roman" w:cs="Times New Roman" w:eastAsia="Times New Roman" w:hAnsi="Times New Roman"/>
          <w:i/>
          <w:iCs/>
          <w:color w:val="595959"/>
          <w:sz w:val="18"/>
          <w:szCs w:val="18"/>
        </w:rPr>
        <w:t xml:space="preserve">Tabla 18. Total de costos mensuales al nivel promedio de operación del primer año (40 aulas activas). El margen objetivo se reinvierte en gratuidad para escuelas fiscales.</w:t>
      </w:r>
    </w:p>
    <w:p>
      <w:pPr>
        <w:pStyle w:val="Heading1"/>
        <w:spacing w:after="160" w:before="280" w:line="360"/>
      </w:pPr>
      <w:r>
        <w:t xml:space="preserve">3. Punto de Equilibrio</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El punto de equilibrio monetario se calcula con la fórmula requerida:</w:t>
      </w:r>
    </w:p>
    <w:p>
      <w:pPr>
        <w:spacing w:after="160" w:before="120" w:line="360"/>
        <w:jc w:val="center"/>
      </w:pPr>
      <w:r>
        <w:rPr>
          <w:rFonts w:ascii="Times New Roman" w:cs="Times New Roman" w:eastAsia="Times New Roman" w:hAnsi="Times New Roman"/>
          <w:b/>
          <w:bCs/>
          <w:i w:val="false"/>
          <w:iCs w:val="false"/>
          <w:sz w:val="24"/>
          <w:szCs w:val="24"/>
        </w:rPr>
        <w:t xml:space="preserve">PEs = Costos Fijos ÷ [ 1 − ( Costos Variables Totales ÷ Ventas Proyectadas ) ]</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El modelo arroja dos puntos de equilibrio distintos, y la diferencia entre ambos es relevante para quien evalúa la inversión.</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3560"/>
        <w:gridCol w:w="2900"/>
        <w:gridCol w:w="2900"/>
      </w:tblGrid>
      <w:tr>
        <w:trPr>
          <w:tblHeader/>
        </w:trPr>
        <w:tc>
          <w:tcPr>
            <w:tcW w:type="dxa" w:w="356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Concepto</w:t>
            </w:r>
          </w:p>
        </w:tc>
        <w:tc>
          <w:tcPr>
            <w:tcW w:type="dxa" w:w="29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Escenario de caja (año 1)</w:t>
            </w:r>
          </w:p>
        </w:tc>
        <w:tc>
          <w:tcPr>
            <w:tcW w:type="dxa" w:w="29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Escenario económico pleno</w:t>
            </w:r>
          </w:p>
        </w:tc>
      </w:tr>
      <w:tr>
        <w:tc>
          <w:tcPr>
            <w:tcW w:type="dxa" w:w="35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Precio por aula al mes</w:t>
            </w:r>
          </w:p>
        </w:tc>
        <w:tc>
          <w:tcPr>
            <w:tcW w:type="dxa" w:w="29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Bs 98,20</w:t>
            </w:r>
          </w:p>
        </w:tc>
        <w:tc>
          <w:tcPr>
            <w:tcW w:type="dxa" w:w="29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Bs 98,20</w:t>
            </w:r>
          </w:p>
        </w:tc>
      </w:tr>
      <w:tr>
        <w:tc>
          <w:tcPr>
            <w:tcW w:type="dxa" w:w="35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Costo variable por aula</w:t>
            </w:r>
          </w:p>
        </w:tc>
        <w:tc>
          <w:tcPr>
            <w:tcW w:type="dxa" w:w="29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Bs 3,13</w:t>
            </w:r>
          </w:p>
        </w:tc>
        <w:tc>
          <w:tcPr>
            <w:tcW w:type="dxa" w:w="29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Bs 45,63</w:t>
            </w:r>
          </w:p>
        </w:tc>
      </w:tr>
      <w:tr>
        <w:tc>
          <w:tcPr>
            <w:tcW w:type="dxa" w:w="35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Margen de contribución</w:t>
            </w:r>
          </w:p>
        </w:tc>
        <w:tc>
          <w:tcPr>
            <w:tcW w:type="dxa" w:w="29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Bs 95,07</w:t>
            </w:r>
          </w:p>
        </w:tc>
        <w:tc>
          <w:tcPr>
            <w:tcW w:type="dxa" w:w="29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Bs 52,57</w:t>
            </w:r>
          </w:p>
        </w:tc>
      </w:tr>
      <w:tr>
        <w:tc>
          <w:tcPr>
            <w:tcW w:type="dxa" w:w="35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Costos fijos mensuales</w:t>
            </w:r>
          </w:p>
        </w:tc>
        <w:tc>
          <w:tcPr>
            <w:tcW w:type="dxa" w:w="29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Bs 3.266,66</w:t>
            </w:r>
          </w:p>
        </w:tc>
        <w:tc>
          <w:tcPr>
            <w:tcW w:type="dxa" w:w="29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Bs 3.266,66</w:t>
            </w:r>
          </w:p>
        </w:tc>
      </w:tr>
      <w:tr>
        <w:tc>
          <w:tcPr>
            <w:tcW w:type="dxa" w:w="3560"/>
            <w:shd w:fill="D9E2F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Punto de equilibrio en aulas</w:t>
            </w:r>
          </w:p>
        </w:tc>
        <w:tc>
          <w:tcPr>
            <w:tcW w:type="dxa" w:w="290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35 aulas</w:t>
            </w:r>
          </w:p>
        </w:tc>
        <w:tc>
          <w:tcPr>
            <w:tcW w:type="dxa" w:w="2900"/>
            <w:shd w:fill="D9E2F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62 aulas</w:t>
            </w:r>
          </w:p>
        </w:tc>
      </w:tr>
      <w:tr>
        <w:tc>
          <w:tcPr>
            <w:tcW w:type="dxa" w:w="3560"/>
            <w:shd w:fill="F4B183"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20"/>
                <w:szCs w:val="20"/>
              </w:rPr>
              <w:t xml:space="preserve">Punto de equilibrio monetario</w:t>
            </w:r>
          </w:p>
        </w:tc>
        <w:tc>
          <w:tcPr>
            <w:tcW w:type="dxa" w:w="29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Bs 3.437 al mes</w:t>
            </w:r>
          </w:p>
        </w:tc>
        <w:tc>
          <w:tcPr>
            <w:tcW w:type="dxa" w:w="2900"/>
            <w:shd w:fill="F4B183" w:color="auto" w:val="clear"/>
            <w:tcMar>
              <w:top w:type="dxa" w:w="60"/>
              <w:left w:type="dxa" w:w="90"/>
              <w:bottom w:type="dxa" w:w="60"/>
              <w:right w:type="dxa" w:w="90"/>
            </w:tcMar>
          </w:tcPr>
          <w:p>
            <w:pPr>
              <w:spacing w:after="0" w:line="240"/>
              <w:jc w:val="right"/>
            </w:pPr>
            <w:r>
              <w:rPr>
                <w:rFonts w:ascii="Times New Roman" w:cs="Times New Roman" w:eastAsia="Times New Roman" w:hAnsi="Times New Roman"/>
                <w:b/>
                <w:bCs/>
                <w:sz w:val="20"/>
                <w:szCs w:val="20"/>
              </w:rPr>
              <w:t xml:space="preserve">Bs 6.102 al mes</w:t>
            </w:r>
          </w:p>
        </w:tc>
      </w:tr>
    </w:tbl>
    <w:p>
      <w:pPr>
        <w:spacing w:after="200" w:before="60" w:line="240"/>
      </w:pPr>
      <w:r>
        <w:rPr>
          <w:rFonts w:ascii="Times New Roman" w:cs="Times New Roman" w:eastAsia="Times New Roman" w:hAnsi="Times New Roman"/>
          <w:i/>
          <w:iCs/>
          <w:color w:val="595959"/>
          <w:sz w:val="18"/>
          <w:szCs w:val="18"/>
        </w:rPr>
        <w:t xml:space="preserve">Tabla 19. Punto de equilibrio. El escenario de caja refleja el primer año, con el equipo fundador aportando su trabajo; el escenario económico pleno valoriza esa mano de obra a precio de mercado.</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La lectura es la siguiente: con 35 aulas activas el proyecto cubre todos sus desembolsos reales del primer año. Con 62 aulas cubre además el valor de mercado del trabajo del equipo, lo que significa que a partir de ese nivel el modelo podría pagar sueldos y sostenerse sin depender del aporte fundador. La meta de 80 aulas al mes 12 sitúa al proyecto por encima de ambos umbrales al cierre del primer año.</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El riesgo principal de esta proyección no está en el costo sino en el ingreso: la disposición a pagar de los colegios privados de Santa Cruz no ha sido validada todavía mediante entrevistas. El plan de validación contempla entre 45 y 54 entrevistas antes de comprometer cifras de venta.</w:t>
      </w:r>
    </w:p>
    <w:p>
      <w:pPr>
        <w:pStyle w:val="Heading1"/>
        <w:spacing w:after="160" w:before="280" w:line="360"/>
      </w:pPr>
      <w:r>
        <w:t xml:space="preserve">4. Triple Impacto y Métricas</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2000"/>
        <w:gridCol w:w="3680"/>
        <w:gridCol w:w="3680"/>
      </w:tblGrid>
      <w:tr>
        <w:trPr>
          <w:tblHeader/>
        </w:trPr>
        <w:tc>
          <w:tcPr>
            <w:tcW w:type="dxa" w:w="20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Dimensión</w:t>
            </w:r>
          </w:p>
        </w:tc>
        <w:tc>
          <w:tcPr>
            <w:tcW w:type="dxa" w:w="36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Indicador</w:t>
            </w:r>
          </w:p>
        </w:tc>
        <w:tc>
          <w:tcPr>
            <w:tcW w:type="dxa" w:w="368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Método de medición</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Social</w:t>
            </w:r>
          </w:p>
        </w:tc>
        <w:tc>
          <w:tcPr>
            <w:tcW w:type="dxa" w:w="3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Aulas y estudiantes alcanzados; porcentaje que identifica correctamente situaciones seguras e inseguras; porcentaje que reconoce al menos tres personas adultas de confianza válidas</w:t>
            </w:r>
          </w:p>
        </w:tc>
        <w:tc>
          <w:tcPr>
            <w:tcW w:type="dxa" w:w="3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Cuestionario anónimo antes y después, agregado por aula, validado por psicología. Nunca se registran nombres.</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Social</w:t>
            </w:r>
          </w:p>
        </w:tc>
        <w:tc>
          <w:tcPr>
            <w:tcW w:type="dxa" w:w="3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Docentes capacitados y confianza declarada para responder ante una revelación</w:t>
            </w:r>
          </w:p>
        </w:tc>
        <w:tc>
          <w:tcPr>
            <w:tcW w:type="dxa" w:w="3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Encuesta anónima a docentes, antes y después de la capacitación</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Económico</w:t>
            </w:r>
          </w:p>
        </w:tc>
        <w:tc>
          <w:tcPr>
            <w:tcW w:type="dxa" w:w="3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Costo por aula y por estudiante; porcentaje de ingresos no dependiente de subvenciones</w:t>
            </w:r>
          </w:p>
        </w:tc>
        <w:tc>
          <w:tcPr>
            <w:tcW w:type="dxa" w:w="3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Contabilidad de costos por ciclo y estados financieros anuales</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Ambiental</w:t>
            </w:r>
          </w:p>
        </w:tc>
        <w:tc>
          <w:tcPr>
            <w:tcW w:type="dxa" w:w="3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Impresos evitados frente a una línea base contada; megabytes por sesión convertidos a CO₂ equivalente; dispositivos nuevos adquiridos, con meta de cero</w:t>
            </w:r>
          </w:p>
        </w:tc>
        <w:tc>
          <w:tcPr>
            <w:tcW w:type="dxa" w:w="368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Conteo con la institución, medición de transferencia real y registro por implementación</w:t>
            </w:r>
          </w:p>
        </w:tc>
      </w:tr>
    </w:tbl>
    <w:p>
      <w:pPr>
        <w:spacing w:after="200" w:before="60" w:line="240"/>
      </w:pPr>
      <w:r>
        <w:rPr>
          <w:rFonts w:ascii="Times New Roman" w:cs="Times New Roman" w:eastAsia="Times New Roman" w:hAnsi="Times New Roman"/>
          <w:i/>
          <w:iCs/>
          <w:color w:val="595959"/>
          <w:sz w:val="18"/>
          <w:szCs w:val="18"/>
        </w:rPr>
        <w:t xml:space="preserve">Tabla 20. Indicadores de triple impacto.</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Sobre la dimensión ambiental conviene una precisión honesta: el ahorro de emisiones de un producto digital de este tamaño es modesto, y presentarlo como un gran impacto sería inexacto. Lo que sí se sostiene es un diseño deliberadamente liviano, la ausencia de compra de hardware nuevo y la reducción de impresos y desplazamientos de capacitación.</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Sobre la dimensión social también corresponde una advertencia metodológica: el conocimiento autoinformado por los estudiantes no equivale a una reducción de la victimización. Medir el impacto real exigiría estudios controlados con aval ético, fuera del alcance actual del equipo. Por esa razón el proyecto no promete reducir casos, sino fortalecer capacidades verificables antes de que exista daño.</w:t>
      </w:r>
    </w:p>
    <w:p>
      <w:pPr>
        <w:pStyle w:val="Heading1"/>
        <w:spacing w:after="160" w:before="280" w:line="360"/>
      </w:pPr>
      <w:r>
        <w:t xml:space="preserve">5. Conclusiones y Recomendaciones</w:t>
      </w:r>
    </w:p>
    <w:p>
      <w:pPr>
        <w:spacing w:after="120" w:before="0" w:line="360"/>
        <w:jc w:val="left"/>
      </w:pPr>
      <w:r>
        <w:rPr>
          <w:rFonts w:ascii="Times New Roman" w:cs="Times New Roman" w:eastAsia="Times New Roman" w:hAnsi="Times New Roman"/>
          <w:b/>
          <w:bCs/>
          <w:i w:val="false"/>
          <w:iCs w:val="false"/>
          <w:sz w:val="24"/>
          <w:szCs w:val="24"/>
        </w:rPr>
        <w:t xml:space="preserve">5.1 Conclusiones</w:t>
      </w:r>
    </w:p>
    <w:p>
      <w:pPr>
        <w:pStyle w:val="ListParagraph"/>
        <w:numPr>
          <w:ilvl w:val="0"/>
          <w:numId w:val="2"/>
        </w:numPr>
        <w:spacing w:after="80" w:line="360"/>
      </w:pPr>
      <w:r>
        <w:rPr>
          <w:rFonts w:ascii="Times New Roman" w:cs="Times New Roman" w:eastAsia="Times New Roman" w:hAnsi="Times New Roman"/>
          <w:sz w:val="24"/>
          <w:szCs w:val="24"/>
        </w:rPr>
        <w:t xml:space="preserve">El problema tiene magnitud documentada y concentración geográfica en Santa Cruz, pero no existe hoy una partida presupuestaria claramente destinada a comprar herramientas de prevención: los recursos disponibles se gastan en talleres presenciales y campañas.</w:t>
      </w:r>
    </w:p>
    <w:p>
      <w:pPr>
        <w:pStyle w:val="ListParagraph"/>
        <w:numPr>
          <w:ilvl w:val="0"/>
          <w:numId w:val="2"/>
        </w:numPr>
        <w:spacing w:after="80" w:line="360"/>
      </w:pPr>
      <w:r>
        <w:rPr>
          <w:rFonts w:ascii="Times New Roman" w:cs="Times New Roman" w:eastAsia="Times New Roman" w:hAnsi="Times New Roman"/>
          <w:sz w:val="24"/>
          <w:szCs w:val="24"/>
        </w:rPr>
        <w:t xml:space="preserve">El modelo alcanza su punto de equilibrio de caja con 35 aulas activas, una meta alcanzable dentro del primer año con la capacidad comercial actual del equipo.</w:t>
      </w:r>
    </w:p>
    <w:p>
      <w:pPr>
        <w:pStyle w:val="ListParagraph"/>
        <w:numPr>
          <w:ilvl w:val="0"/>
          <w:numId w:val="2"/>
        </w:numPr>
        <w:spacing w:after="80" w:line="360"/>
      </w:pPr>
      <w:r>
        <w:rPr>
          <w:rFonts w:ascii="Times New Roman" w:cs="Times New Roman" w:eastAsia="Times New Roman" w:hAnsi="Times New Roman"/>
          <w:sz w:val="24"/>
          <w:szCs w:val="24"/>
        </w:rPr>
        <w:t xml:space="preserve">La estructura de costos es intensiva en personal, no en tecnología: el 93 % del costo variable corresponde a mano de obra de acompañamiento. Esto coincide con la evidencia internacional, donde el personal representa el 72 % del costo de programas equivalentes.</w:t>
      </w:r>
    </w:p>
    <w:p>
      <w:pPr>
        <w:pStyle w:val="ListParagraph"/>
        <w:numPr>
          <w:ilvl w:val="0"/>
          <w:numId w:val="2"/>
        </w:numPr>
        <w:spacing w:after="80" w:line="360"/>
      </w:pPr>
      <w:r>
        <w:rPr>
          <w:rFonts w:ascii="Times New Roman" w:cs="Times New Roman" w:eastAsia="Times New Roman" w:hAnsi="Times New Roman"/>
          <w:sz w:val="24"/>
          <w:szCs w:val="24"/>
        </w:rPr>
        <w:t xml:space="preserve">La ventaja competitiva no es tecnológica sino de confianza institucional: aval profesional, protocolo alineado a la normativa boliviana y una arquitectura que no recolecta datos de menores.</w:t>
      </w:r>
    </w:p>
    <w:p>
      <w:pPr>
        <w:spacing w:after="120"/>
      </w:pPr>
    </w:p>
    <w:p>
      <w:pPr>
        <w:spacing w:after="120" w:before="0" w:line="360"/>
        <w:jc w:val="left"/>
      </w:pPr>
      <w:r>
        <w:rPr>
          <w:rFonts w:ascii="Times New Roman" w:cs="Times New Roman" w:eastAsia="Times New Roman" w:hAnsi="Times New Roman"/>
          <w:b/>
          <w:bCs/>
          <w:i w:val="false"/>
          <w:iCs w:val="false"/>
          <w:sz w:val="24"/>
          <w:szCs w:val="24"/>
        </w:rPr>
        <w:t xml:space="preserve">5.2 Recomendaciones</w:t>
      </w:r>
    </w:p>
    <w:p>
      <w:pPr>
        <w:pStyle w:val="ListParagraph"/>
        <w:numPr>
          <w:ilvl w:val="0"/>
          <w:numId w:val="2"/>
        </w:numPr>
        <w:spacing w:after="80" w:line="360"/>
      </w:pPr>
      <w:r>
        <w:rPr>
          <w:rFonts w:ascii="Times New Roman" w:cs="Times New Roman" w:eastAsia="Times New Roman" w:hAnsi="Times New Roman"/>
          <w:sz w:val="24"/>
          <w:szCs w:val="24"/>
        </w:rPr>
        <w:t xml:space="preserve">Ejecutar el plan de entrevistas antes de comprometer precios en una propuesta formal: la disposición a pagar sigue siendo la hipótesis más frágil del modelo.</w:t>
      </w:r>
    </w:p>
    <w:p>
      <w:pPr>
        <w:pStyle w:val="ListParagraph"/>
        <w:numPr>
          <w:ilvl w:val="0"/>
          <w:numId w:val="2"/>
        </w:numPr>
        <w:spacing w:after="80" w:line="360"/>
      </w:pPr>
      <w:r>
        <w:rPr>
          <w:rFonts w:ascii="Times New Roman" w:cs="Times New Roman" w:eastAsia="Times New Roman" w:hAnsi="Times New Roman"/>
          <w:sz w:val="24"/>
          <w:szCs w:val="24"/>
        </w:rPr>
        <w:t xml:space="preserve">Priorizar el contrato con una ONG aliada por encima de la venta individual a colegios: concentra más aulas por unidad de esfuerzo comercial y aporta legitimidad.</w:t>
      </w:r>
    </w:p>
    <w:p>
      <w:pPr>
        <w:pStyle w:val="ListParagraph"/>
        <w:numPr>
          <w:ilvl w:val="0"/>
          <w:numId w:val="2"/>
        </w:numPr>
        <w:spacing w:after="80" w:line="360"/>
      </w:pPr>
      <w:r>
        <w:rPr>
          <w:rFonts w:ascii="Times New Roman" w:cs="Times New Roman" w:eastAsia="Times New Roman" w:hAnsi="Times New Roman"/>
          <w:sz w:val="24"/>
          <w:szCs w:val="24"/>
        </w:rPr>
        <w:t xml:space="preserve">Mantener la regla de destinar las subvenciones exclusivamente a desarrollo y evaluación, y no a operación, para evitar una dependencia que ya se observa en organizaciones comparables de la región.</w:t>
      </w:r>
    </w:p>
    <w:p>
      <w:pPr>
        <w:pStyle w:val="ListParagraph"/>
        <w:numPr>
          <w:ilvl w:val="0"/>
          <w:numId w:val="2"/>
        </w:numPr>
        <w:spacing w:after="80" w:line="360"/>
      </w:pPr>
      <w:r>
        <w:rPr>
          <w:rFonts w:ascii="Times New Roman" w:cs="Times New Roman" w:eastAsia="Times New Roman" w:hAnsi="Times New Roman"/>
          <w:sz w:val="24"/>
          <w:szCs w:val="24"/>
        </w:rPr>
        <w:t xml:space="preserve">Completar la validación psicológica del contenido antes de cualquier despliegue con niñas y niños reales. Ningún argumento comercial justifica adelantarse a ese paso.</w:t>
      </w:r>
    </w:p>
    <w:p>
      <w:pPr>
        <w:spacing w:after="120"/>
      </w:pPr>
    </w:p>
    <w:p>
      <w:pPr>
        <w:pStyle w:val="Heading1"/>
        <w:spacing w:after="160" w:before="280" w:line="360"/>
      </w:pPr>
      <w:r>
        <w:t xml:space="preserve">6. Bibliografía</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Instituto Nacional de Estadística de Bolivia. (2025). Censo de Población y Vivienda 2024: resultados finales. https://cpv2024.ine.gob.bo/</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Instituto Nacional de Estadística de Bolivia. (2024). Anuario Estadístico 2024, capítulo 3: Educación, cuadros 3.02.02.01 y 3.02.02.06. https://anuario.ine.gob.bo/2024/paginas/cap03.html</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Correo del Sur. (10 de agosto de 2026). Bolivia registra 965 casos de violencia sexual contra niños. https://correodelsur.com/seguridad/20260810/</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Opinión. (16 de septiembre de 2025). Bolivia registra más de 180 violaciones infantiles cada mes. https://www.opinion.com.bo/</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Estado Plurinacional de Bolivia. (2014). Ley N.º 548, Código Niña, Niño y Adolescente, artículos 106 y 159.</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Estado Plurinacional de Bolivia. (2025). Ley N.º 1636, de Protección de la Integridad Sexual de Niñas, Niños y Adolescentes en Entornos Digitales.</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Shipe, S. L., et al. (2022). Taking a School-Based Child Sexual Abuse Prevention Program to Scale: a Cost Analysis. Prevention Science, 23(8). https://pmc.ncbi.nlm.nih.gov/articles/PMC11318369/</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Journal of Prevention. (2025). School-Based Prevention Programmes for Sexual Abuse: A Meta-Analysis Study. https://link.springer.com/article/10.1007/s10935-025-00885-4</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Durlak, J. A., et al. (2011). The Impact of Enhancing Students' Social and Emotional Learning: A Meta-Analysis of School-Based Universal Interventions. Child Development, 82(1), 405-432.</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UNICEF. Procedure on Ethical Standards in Research, Evaluation, Data Collection and Analysis.</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Banco Central de Bolivia. (17 de septiembre de 2026). Tabla de cotizaciones oficiales. https://www.bcb.gob.bo/</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First Page Sage. (2026). Freemium to paid conversion rate benchmarks by industry.</w:t>
      </w:r>
    </w:p>
    <w:p>
      <w:pPr>
        <w:spacing w:after="100" w:before="0" w:line="360"/>
        <w:jc w:val="left"/>
      </w:pPr>
      <w:r>
        <w:rPr>
          <w:rFonts w:ascii="Times New Roman" w:cs="Times New Roman" w:eastAsia="Times New Roman" w:hAnsi="Times New Roman"/>
          <w:b w:val="false"/>
          <w:bCs w:val="false"/>
          <w:i w:val="false"/>
          <w:iCs w:val="false"/>
          <w:sz w:val="24"/>
          <w:szCs w:val="24"/>
        </w:rPr>
        <w:t xml:space="preserve">CEMSE. (29 de junio de 2026). Santa Cruz fortalece la prevención de la violencia con el proyecto Escuelas Seguras y Comunidades Protectoras para la Niñez.</w:t>
      </w:r>
    </w:p>
    <w:p>
      <w:r>
        <w:br w:type="page"/>
      </w:r>
    </w:p>
    <w:p>
      <w:pPr>
        <w:pStyle w:val="Heading1"/>
        <w:spacing w:after="160" w:before="280" w:line="360"/>
      </w:pPr>
      <w:r>
        <w:t xml:space="preserve">Anexo A. Supuestos y nivel de evidencia</w:t>
      </w:r>
    </w:p>
    <w:p>
      <w:pPr>
        <w:spacing w:after="120" w:before="0" w:line="360"/>
        <w:ind w:firstLine="720"/>
        <w:jc w:val="left"/>
      </w:pPr>
      <w:r>
        <w:rPr>
          <w:rFonts w:ascii="Times New Roman" w:cs="Times New Roman" w:eastAsia="Times New Roman" w:hAnsi="Times New Roman"/>
          <w:b w:val="false"/>
          <w:bCs w:val="false"/>
          <w:i w:val="false"/>
          <w:iCs w:val="false"/>
          <w:sz w:val="24"/>
          <w:szCs w:val="24"/>
        </w:rPr>
        <w:t xml:space="preserve">Esta sección declara el origen de cada cifra utilizada, para que quien evalúe el proyecto pueda distinguir lo verificado de lo estimado.</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3200"/>
        <w:gridCol w:w="1800"/>
        <w:gridCol w:w="4360"/>
      </w:tblGrid>
      <w:tr>
        <w:trPr>
          <w:tblHeader/>
        </w:trPr>
        <w:tc>
          <w:tcPr>
            <w:tcW w:type="dxa" w:w="32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Supuesto o cifra</w:t>
            </w:r>
          </w:p>
        </w:tc>
        <w:tc>
          <w:tcPr>
            <w:tcW w:type="dxa" w:w="18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Nivel</w:t>
            </w:r>
          </w:p>
        </w:tc>
        <w:tc>
          <w:tcPr>
            <w:tcW w:type="dxa" w:w="436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Origen y observación</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Población de Bolivia y por departamento</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Dato oficial</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INE, Censo 2024, resultados finales</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Estudiantes de primaria en Bolivia y Santa Cruz</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Dato oficial</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INE, Anuario Estadístico 2024, con datos del Ministerio de Educación</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Denuncias por violación de NNA en 2025</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Dato de prensa</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Ministerio Público citado por prensa nacional; son denuncias, no prevalencia</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26 a 27 estudiantes por aula</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Estimación</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Supuesto del equipo. No se halló dato oficial reciente de tamaño de aula</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50 % de instituciones con dispositivo y conexión</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Estimación</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Pendiente de validar con la Dirección Departamental de Educación</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Precio de US$ 9,99 por aula al mes</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Decisión del equipo</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No validado con entrevistas a colegios. Es la hipótesis más frágil del modelo</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Costo variable de Bs 550 por aula al año</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Estimación</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Construida por componentes; referencia internacional comparable: US$ 859 por aula</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SOM de 80 aulas al mes 12</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Hipótesis</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Construida de abajo hacia arriba según capacidad comercial, no como porcentaje del SAM</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Tipo de cambio Bs 9,83 por USD</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Dato oficial</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BCB, 17-09-2026. El mercado paralelo operaba entre Bs 10,9 y 11,9 en la misma semana</w:t>
            </w:r>
          </w:p>
        </w:tc>
      </w:tr>
      <w:tr>
        <w:tc>
          <w:tcPr>
            <w:tcW w:type="dxa" w:w="3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20"/>
                <w:szCs w:val="20"/>
              </w:rPr>
              <w:t xml:space="preserve">Capital semilla de Bs 12.000 en efectivo</w:t>
            </w:r>
          </w:p>
        </w:tc>
        <w:tc>
          <w:tcPr>
            <w:tcW w:type="dxa" w:w="180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Por confirmar</w:t>
            </w:r>
          </w:p>
        </w:tc>
        <w:tc>
          <w:tcPr>
            <w:tcW w:type="dxa" w:w="4360"/>
            <w:tcMar>
              <w:top w:type="dxa" w:w="60"/>
              <w:left w:type="dxa" w:w="90"/>
              <w:bottom w:type="dxa" w:w="60"/>
              <w:right w:type="dxa" w:w="90"/>
            </w:tcMar>
          </w:tcPr>
          <w:p>
            <w:pPr>
              <w:spacing w:after="0" w:line="240"/>
              <w:jc w:val="right"/>
            </w:pPr>
            <w:r>
              <w:rPr>
                <w:rFonts w:ascii="Times New Roman" w:cs="Times New Roman" w:eastAsia="Times New Roman" w:hAnsi="Times New Roman"/>
                <w:b w:val="false"/>
                <w:bCs w:val="false"/>
                <w:sz w:val="20"/>
                <w:szCs w:val="20"/>
              </w:rPr>
              <w:t xml:space="preserve">Confirmar con la organización de HACKBIZ la modalidad de entrega</w:t>
            </w:r>
          </w:p>
        </w:tc>
      </w:tr>
    </w:tbl>
    <w:p>
      <w:pPr>
        <w:spacing w:after="200" w:before="60" w:line="240"/>
      </w:pPr>
      <w:r>
        <w:rPr>
          <w:rFonts w:ascii="Times New Roman" w:cs="Times New Roman" w:eastAsia="Times New Roman" w:hAnsi="Times New Roman"/>
          <w:i/>
          <w:iCs/>
          <w:color w:val="595959"/>
          <w:sz w:val="18"/>
          <w:szCs w:val="18"/>
        </w:rPr>
        <w:t xml:space="preserve">Tabla A1. Trazabilidad de supuestos.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line="3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40" w:before="260" w:line="36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Isla de los Acuerdos — Modelo de Negocio</dc:title>
  <dc:creator>YAIS-RED</dc:creator>
  <dc:description>Documento de modelo de negocio para HACKBIZ UAGRM 2026</dc:description>
  <cp:lastModifiedBy>Un-named</cp:lastModifiedBy>
  <cp:revision>1</cp:revision>
  <dcterms:created xsi:type="dcterms:W3CDTF">2026-09-17T18:34:22.082Z</dcterms:created>
  <dcterms:modified xsi:type="dcterms:W3CDTF">2026-09-17T18:34:22.083Z</dcterms:modified>
</cp:coreProperties>
</file>

<file path=docProps/custom.xml><?xml version="1.0" encoding="utf-8"?>
<Properties xmlns="http://schemas.openxmlformats.org/officeDocument/2006/custom-properties" xmlns:vt="http://schemas.openxmlformats.org/officeDocument/2006/docPropsVTypes"/>
</file>