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300"/>
        <w:jc w:val="center"/>
      </w:pPr>
      <w:r>
        <w:rPr>
          <w:rFonts w:ascii="Calibri" w:cs="Calibri" w:eastAsia="Calibri" w:hAnsi="Calibri"/>
          <w:b/>
          <w:bCs/>
          <w:i w:val="false"/>
          <w:iCs w:val="false"/>
          <w:color w:val="1F5C66"/>
          <w:sz w:val="20"/>
          <w:szCs w:val="20"/>
        </w:rPr>
        <w:t xml:space="preserve">YAIS RED · LA ISLA DE LOS ACUERDOS</w:t>
      </w:r>
    </w:p>
    <w:p>
      <w:pPr>
        <w:spacing w:after="100" w:before="40" w:line="300"/>
        <w:jc w:val="center"/>
      </w:pPr>
      <w:r>
        <w:rPr>
          <w:rFonts w:ascii="Calibri" w:cs="Calibri" w:eastAsia="Calibri" w:hAnsi="Calibri"/>
          <w:b/>
          <w:bCs/>
          <w:i w:val="false"/>
          <w:iCs w:val="false"/>
          <w:sz w:val="38"/>
          <w:szCs w:val="38"/>
        </w:rPr>
        <w:t xml:space="preserve">Por qué cada bloque del Canvas es así</w:t>
      </w:r>
    </w:p>
    <w:p>
      <w:pPr>
        <w:spacing w:after="220" w:before="0" w:line="300"/>
        <w:jc w:val="center"/>
      </w:pPr>
      <w:r>
        <w:rPr>
          <w:rFonts w:ascii="Calibri" w:cs="Calibri" w:eastAsia="Calibri" w:hAnsi="Calibri"/>
          <w:b w:val="false"/>
          <w:bCs w:val="false"/>
          <w:i/>
          <w:iCs/>
          <w:color w:val="595959"/>
          <w:sz w:val="20"/>
          <w:szCs w:val="20"/>
        </w:rPr>
        <w:t xml:space="preserve">El porqué estratégico detrás de cada casilla — para defenderla, no solo leerla</w:t>
      </w:r>
    </w:p>
    <w:p>
      <w:pPr>
        <w:spacing w:after="140" w:before="0" w:line="300"/>
        <w:jc w:val="center"/>
      </w:pPr>
      <w:r>
        <w:rPr>
          <w:rFonts w:ascii="Calibri" w:cs="Calibri" w:eastAsia="Calibri" w:hAnsi="Calibri"/>
          <w:b w:val="false"/>
          <w:bCs w:val="false"/>
          <w:i w:val="false"/>
          <w:iCs w:val="false"/>
          <w:sz w:val="20"/>
          <w:szCs w:val="20"/>
        </w:rPr>
        <w:t xml:space="preserve">El documento formal dice QUÉ hay en cada bloque del Canvas. Este documento explica POR QUÉ se eligió llenarlo así y no de otra forma. Es lo que un jurado en realidad pregunta: no “¿qué pusieron?” sino “¿por qué esto y no otra cosa?”. Cada bloque trae, al final, una respuesta corta para cuando te lo pregunten directo.</w:t>
      </w:r>
    </w:p>
    <w:p>
      <w:pPr>
        <w:spacing w:after="140" w:before="160" w:line="300"/>
        <w:jc w:val="center"/>
      </w:pPr>
      <w:r>
        <w:rPr>
          <w:rFonts w:ascii="Calibri" w:cs="Calibri" w:eastAsia="Calibri" w:hAnsi="Calibri"/>
          <w:b w:val="false"/>
          <w:bCs w:val="false"/>
          <w:i/>
          <w:iCs/>
          <w:color w:val="666666"/>
          <w:sz w:val="18"/>
          <w:szCs w:val="18"/>
        </w:rPr>
        <w:t xml:space="preserve">Complementa a “Cómo defender el modelo” — ahí está el detalle de precios, costos y sostenibilidad; acá está el porqué de cada bloque del lienzo.</w:t>
      </w:r>
    </w:p>
    <w:p>
      <w:r>
        <w:br w:type="page"/>
      </w:r>
    </w:p>
    <w:tbl>
      <w:tblPr>
        <w:tblW w:type="dxa" w:w="10080"/>
        <w:tblBorders>
          <w:top w:val="none"/>
          <w:left w:val="none"/>
          <w:bottom w:val="single" w:color="1F5C66" w:sz="12"/>
          <w:right w:val="none"/>
          <w:insideH w:val="none"/>
          <w:insideV w:val="none"/>
        </w:tblBorders>
      </w:tblPr>
      <w:tblGrid>
        <w:gridCol w:w="700"/>
        <w:gridCol w:w="9380"/>
      </w:tblGrid>
      <w:tr>
        <w:tc>
          <w:tcPr>
            <w:tcW w:type="dxa" w:w="700"/>
            <w:shd w:fill="1F5C66" w:color="auto" w:val="clear"/>
            <w:tcMar>
              <w:top w:type="dxa" w:w="60"/>
              <w:left w:type="dxa" w:w="0"/>
              <w:bottom w:type="dxa" w:w="60"/>
              <w:right w:type="dxa" w:w="0"/>
            </w:tcMar>
          </w:tcPr>
          <w:p>
            <w:pPr>
              <w:spacing w:after="0"/>
              <w:jc w:val="center"/>
            </w:pPr>
            <w:r>
              <w:rPr>
                <w:rFonts w:ascii="Calibri" w:cs="Calibri" w:eastAsia="Calibri" w:hAnsi="Calibri"/>
                <w:b/>
                <w:bCs/>
                <w:color w:val="FFFFFF"/>
                <w:sz w:val="26"/>
                <w:szCs w:val="26"/>
              </w:rPr>
              <w:t xml:space="preserve">1</w:t>
            </w:r>
          </w:p>
        </w:tc>
        <w:tc>
          <w:tcPr>
            <w:tcW w:type="dxa" w:w="9380"/>
            <w:tcMar>
              <w:top w:type="dxa" w:w="60"/>
              <w:left w:type="dxa" w:w="160"/>
              <w:bottom w:type="dxa" w:w="60"/>
              <w:right w:type="dxa" w:w="0"/>
            </w:tcMar>
          </w:tcPr>
          <w:p>
            <w:pPr>
              <w:spacing w:after="0"/>
            </w:pPr>
            <w:r>
              <w:rPr>
                <w:rFonts w:ascii="Calibri" w:cs="Calibri" w:eastAsia="Calibri" w:hAnsi="Calibri"/>
                <w:b/>
                <w:bCs/>
                <w:color w:val="20282A"/>
                <w:sz w:val="26"/>
                <w:szCs w:val="26"/>
              </w:rPr>
              <w:t xml:space="preserve">SOCIOS CLAVE</w:t>
            </w:r>
          </w:p>
        </w:tc>
      </w:tr>
    </w:tbl>
    <w:p>
      <w:pPr>
        <w:spacing w:after="40" w:before="140" w:line="300"/>
        <w:jc w:val="left"/>
      </w:pPr>
      <w:r>
        <w:rPr>
          <w:rFonts w:ascii="Calibri" w:cs="Calibri" w:eastAsia="Calibri" w:hAnsi="Calibri"/>
          <w:b/>
          <w:bCs/>
          <w:i w:val="false"/>
          <w:iCs w:val="false"/>
          <w:sz w:val="22"/>
          <w:szCs w:val="22"/>
        </w:rPr>
        <w:t xml:space="preserve">Qué hay ahí:</w:t>
      </w:r>
    </w:p>
    <w:p>
      <w:pPr>
        <w:spacing w:after="140" w:before="0" w:line="300"/>
        <w:jc w:val="left"/>
      </w:pPr>
      <w:r>
        <w:rPr>
          <w:rFonts w:ascii="Calibri" w:cs="Calibri" w:eastAsia="Calibri" w:hAnsi="Calibri"/>
          <w:b w:val="false"/>
          <w:bCs w:val="false"/>
          <w:i w:val="false"/>
          <w:iCs w:val="false"/>
          <w:sz w:val="22"/>
          <w:szCs w:val="22"/>
        </w:rPr>
        <w:t xml:space="preserve">CEMSE / ChildFund, Visión Mundial, Save the Children, Educo, la Defensoría de la Niñez y Adolescencia, el Colegio de Psicólogos de Bolivia y la UAGRM.</w:t>
      </w:r>
    </w:p>
    <w:tbl>
      <w:tblPr>
        <w:tblW w:type="dxa" w:w="10080"/>
        <w:tblBorders>
          <w:top w:val="single" w:color="2E6B4C" w:sz="4"/>
          <w:left w:val="single" w:color="2E6B4C" w:sz="24"/>
          <w:bottom w:val="single" w:color="2E6B4C" w:sz="4"/>
          <w:right w:val="single" w:color="2E6B4C" w:sz="4"/>
          <w:insideH w:val="single" w:color="auto" w:sz="4"/>
          <w:insideV w:val="single" w:color="auto" w:sz="4"/>
        </w:tblBorders>
      </w:tblPr>
      <w:tblGrid>
        <w:gridCol w:w="10080"/>
      </w:tblGrid>
      <w:tr>
        <w:tc>
          <w:tcPr>
            <w:tcW w:type="dxa" w:w="10080"/>
            <w:shd w:fill="E1EEE6"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2E6B4C"/>
                <w:sz w:val="17"/>
                <w:szCs w:val="17"/>
              </w:rPr>
              <w:t xml:space="preserve">LA ESTRATEGIA</w:t>
            </w:r>
          </w:p>
          <w:p>
            <w:pPr>
              <w:spacing w:after="100" w:before="0" w:line="300"/>
              <w:jc w:val="left"/>
            </w:pPr>
            <w:r>
              <w:rPr>
                <w:rFonts w:ascii="Calibri" w:cs="Calibri" w:eastAsia="Calibri" w:hAnsi="Calibri"/>
                <w:b w:val="false"/>
                <w:bCs w:val="false"/>
                <w:i w:val="false"/>
                <w:iCs w:val="false"/>
                <w:sz w:val="22"/>
                <w:szCs w:val="22"/>
              </w:rPr>
              <w:t xml:space="preserve">Ninguno está ahí por su tamaño ni por su nombre — cada uno resuelve un problema puntual que el equipo no puede resolver solo:</w:t>
            </w:r>
          </w:p>
          <w:p>
            <w:pPr>
              <w:pStyle w:val="ListParagraph"/>
              <w:numPr>
                <w:ilvl w:val="0"/>
                <w:numId w:val="2"/>
              </w:numPr>
              <w:spacing w:after="90" w:line="300"/>
            </w:pPr>
            <w:r>
              <w:rPr>
                <w:rFonts w:ascii="Calibri" w:cs="Calibri" w:eastAsia="Calibri" w:hAnsi="Calibri"/>
                <w:sz w:val="22"/>
                <w:szCs w:val="22"/>
              </w:rPr>
              <w:t xml:space="preserve">Las ONG (CEMSE/ChildFund, Visión Mundial, Save the Children, Educo) dan acceso a escuelas fiscales y legitimidad. Sin ellas, un equipo nuevo sin trayectoria prácticamente no puede entrar a una escuela pública boliviana.</w:t>
            </w:r>
          </w:p>
          <w:p>
            <w:pPr>
              <w:pStyle w:val="ListParagraph"/>
              <w:numPr>
                <w:ilvl w:val="0"/>
                <w:numId w:val="2"/>
              </w:numPr>
              <w:spacing w:after="90" w:line="300"/>
            </w:pPr>
            <w:r>
              <w:rPr>
                <w:rFonts w:ascii="Calibri" w:cs="Calibri" w:eastAsia="Calibri" w:hAnsi="Calibri"/>
                <w:sz w:val="22"/>
                <w:szCs w:val="22"/>
              </w:rPr>
              <w:t xml:space="preserve">La Defensoría de la Niñez no es un socio de marketing: es la ruta legal de derivación. No se inventa un protocolo propio — hay que enchufarse al que ya existe y ya tiene autoridad.</w:t>
            </w:r>
          </w:p>
          <w:p>
            <w:pPr>
              <w:pStyle w:val="ListParagraph"/>
              <w:numPr>
                <w:ilvl w:val="0"/>
                <w:numId w:val="2"/>
              </w:numPr>
              <w:spacing w:after="90" w:line="300"/>
            </w:pPr>
            <w:r>
              <w:rPr>
                <w:rFonts w:ascii="Calibri" w:cs="Calibri" w:eastAsia="Calibri" w:hAnsi="Calibri"/>
                <w:sz w:val="22"/>
                <w:szCs w:val="22"/>
              </w:rPr>
              <w:t xml:space="preserve">El Colegio de Psicólogos de Bolivia da un aval institucional que escala. La alternativa que se descartó fue pagar comisión a psicólogos individuales por cada familia referida — eso es un conflicto de interés ético para un profesional de la salud, y se decidió no hacerlo.</w:t>
            </w:r>
          </w:p>
          <w:p>
            <w:pPr>
              <w:pStyle w:val="ListParagraph"/>
              <w:numPr>
                <w:ilvl w:val="0"/>
                <w:numId w:val="2"/>
              </w:numPr>
              <w:spacing w:after="90" w:line="300"/>
            </w:pPr>
            <w:r>
              <w:rPr>
                <w:rFonts w:ascii="Calibri" w:cs="Calibri" w:eastAsia="Calibri" w:hAnsi="Calibri"/>
                <w:sz w:val="22"/>
                <w:szCs w:val="22"/>
              </w:rPr>
              <w:t xml:space="preserve">La UAGRM aporta marco académico y mentoría: ese sello importa para la credibilidad frente a un colegio que nunca oyó hablar de YAIS RED.</w:t>
            </w:r>
          </w:p>
          <w:p>
            <w:pPr>
              <w:spacing w:after="140" w:before="100" w:line="300"/>
              <w:jc w:val="left"/>
            </w:pPr>
            <w:r>
              <w:rPr>
                <w:rFonts w:ascii="Calibri" w:cs="Calibri" w:eastAsia="Calibri" w:hAnsi="Calibri"/>
                <w:b/>
                <w:bCs/>
                <w:i w:val="false"/>
                <w:iCs w:val="false"/>
                <w:sz w:val="22"/>
                <w:szCs w:val="22"/>
              </w:rPr>
              <w:t xml:space="preserve">En un producto de protección infantil, la confianza institucional es tan parte del producto como el software. Por eso los socios se eligieron por credibilidad prestada, no por alcance o visibilidad.</w:t>
            </w:r>
          </w:p>
        </w:tc>
      </w:tr>
    </w:tbl>
    <w:p>
      <w:pPr>
        <w:spacing w:after="80"/>
      </w:pP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DCEEEF" w:color="auto" w:val="clear"/>
            <w:tcMar>
              <w:top w:type="dxa" w:w="120"/>
              <w:left w:type="dxa" w:w="200"/>
              <w:bottom w:type="dxa" w:w="120"/>
              <w:right w:type="dxa" w:w="200"/>
            </w:tcMar>
          </w:tcPr>
          <w:p>
            <w:pPr>
              <w:spacing w:after="40" w:before="0" w:line="300"/>
              <w:jc w:val="left"/>
            </w:pPr>
            <w:r>
              <w:rPr>
                <w:rFonts w:ascii="Calibri" w:cs="Calibri" w:eastAsia="Calibri" w:hAnsi="Calibri"/>
                <w:b/>
                <w:bCs/>
                <w:i w:val="false"/>
                <w:iCs w:val="false"/>
                <w:color w:val="1F5C66"/>
                <w:sz w:val="17"/>
                <w:szCs w:val="17"/>
              </w:rPr>
              <w:t xml:space="preserve">SI TE PREGUNTAN...</w:t>
            </w:r>
          </w:p>
          <w:p>
            <w:pPr>
              <w:spacing w:after="0" w:before="0" w:line="300"/>
              <w:jc w:val="left"/>
            </w:pPr>
            <w:r>
              <w:rPr>
                <w:rFonts w:ascii="Calibri" w:cs="Calibri" w:eastAsia="Calibri" w:hAnsi="Calibri"/>
                <w:b w:val="false"/>
                <w:bCs w:val="false"/>
                <w:i w:val="false"/>
                <w:iCs w:val="false"/>
                <w:sz w:val="22"/>
                <w:szCs w:val="22"/>
              </w:rPr>
              <w:t xml:space="preserve">¿Por qué esos socios y no, por ejemplo, una empresa de tecnología grande? Porque el cuello de botella de este negocio no es técnico, es de confianza — y la confianza se pide prestada de quien ya la tiene con las escuelas y las familias, no de quien tiene más presupuesto.</w:t>
            </w:r>
          </w:p>
        </w:tc>
      </w:tr>
    </w:tbl>
    <w:p>
      <w:pPr>
        <w:spacing w:after="260"/>
      </w:pPr>
    </w:p>
    <w:tbl>
      <w:tblPr>
        <w:tblW w:type="dxa" w:w="10080"/>
        <w:tblBorders>
          <w:top w:val="none"/>
          <w:left w:val="none"/>
          <w:bottom w:val="single" w:color="1F5C66" w:sz="12"/>
          <w:right w:val="none"/>
          <w:insideH w:val="none"/>
          <w:insideV w:val="none"/>
        </w:tblBorders>
      </w:tblPr>
      <w:tblGrid>
        <w:gridCol w:w="700"/>
        <w:gridCol w:w="9380"/>
      </w:tblGrid>
      <w:tr>
        <w:tc>
          <w:tcPr>
            <w:tcW w:type="dxa" w:w="700"/>
            <w:shd w:fill="1F5C66" w:color="auto" w:val="clear"/>
            <w:tcMar>
              <w:top w:type="dxa" w:w="60"/>
              <w:left w:type="dxa" w:w="0"/>
              <w:bottom w:type="dxa" w:w="60"/>
              <w:right w:type="dxa" w:w="0"/>
            </w:tcMar>
          </w:tcPr>
          <w:p>
            <w:pPr>
              <w:spacing w:after="0"/>
              <w:jc w:val="center"/>
            </w:pPr>
            <w:r>
              <w:rPr>
                <w:rFonts w:ascii="Calibri" w:cs="Calibri" w:eastAsia="Calibri" w:hAnsi="Calibri"/>
                <w:b/>
                <w:bCs/>
                <w:color w:val="FFFFFF"/>
                <w:sz w:val="26"/>
                <w:szCs w:val="26"/>
              </w:rPr>
              <w:t xml:space="preserve">2</w:t>
            </w:r>
          </w:p>
        </w:tc>
        <w:tc>
          <w:tcPr>
            <w:tcW w:type="dxa" w:w="9380"/>
            <w:tcMar>
              <w:top w:type="dxa" w:w="60"/>
              <w:left w:type="dxa" w:w="160"/>
              <w:bottom w:type="dxa" w:w="60"/>
              <w:right w:type="dxa" w:w="0"/>
            </w:tcMar>
          </w:tcPr>
          <w:p>
            <w:pPr>
              <w:spacing w:after="0"/>
            </w:pPr>
            <w:r>
              <w:rPr>
                <w:rFonts w:ascii="Calibri" w:cs="Calibri" w:eastAsia="Calibri" w:hAnsi="Calibri"/>
                <w:b/>
                <w:bCs/>
                <w:color w:val="20282A"/>
                <w:sz w:val="26"/>
                <w:szCs w:val="26"/>
              </w:rPr>
              <w:t xml:space="preserve">ACTIVIDADES CLAVE</w:t>
            </w:r>
          </w:p>
        </w:tc>
      </w:tr>
    </w:tbl>
    <w:p>
      <w:pPr>
        <w:spacing w:after="40" w:before="140" w:line="300"/>
        <w:jc w:val="left"/>
      </w:pPr>
      <w:r>
        <w:rPr>
          <w:rFonts w:ascii="Calibri" w:cs="Calibri" w:eastAsia="Calibri" w:hAnsi="Calibri"/>
          <w:b/>
          <w:bCs/>
          <w:i w:val="false"/>
          <w:iCs w:val="false"/>
          <w:sz w:val="22"/>
          <w:szCs w:val="22"/>
        </w:rPr>
        <w:t xml:space="preserve">Qué hay ahí:</w:t>
      </w:r>
    </w:p>
    <w:p>
      <w:pPr>
        <w:spacing w:after="140" w:before="0" w:line="300"/>
        <w:jc w:val="left"/>
      </w:pPr>
      <w:r>
        <w:rPr>
          <w:rFonts w:ascii="Calibri" w:cs="Calibri" w:eastAsia="Calibri" w:hAnsi="Calibri"/>
          <w:b w:val="false"/>
          <w:bCs w:val="false"/>
          <w:i w:val="false"/>
          <w:iCs w:val="false"/>
          <w:sz w:val="22"/>
          <w:szCs w:val="22"/>
        </w:rPr>
        <w:t xml:space="preserve">Diseño pedagógico y revisión psicológica de cada episodio, desarrollo de la experiencia web 3D, capacitación de facilitadores, alianzas institucionales, medición de impacto agregada.</w:t>
      </w:r>
    </w:p>
    <w:tbl>
      <w:tblPr>
        <w:tblW w:type="dxa" w:w="10080"/>
        <w:tblBorders>
          <w:top w:val="single" w:color="2E6B4C" w:sz="4"/>
          <w:left w:val="single" w:color="2E6B4C" w:sz="24"/>
          <w:bottom w:val="single" w:color="2E6B4C" w:sz="4"/>
          <w:right w:val="single" w:color="2E6B4C" w:sz="4"/>
          <w:insideH w:val="single" w:color="auto" w:sz="4"/>
          <w:insideV w:val="single" w:color="auto" w:sz="4"/>
        </w:tblBorders>
      </w:tblPr>
      <w:tblGrid>
        <w:gridCol w:w="10080"/>
      </w:tblGrid>
      <w:tr>
        <w:tc>
          <w:tcPr>
            <w:tcW w:type="dxa" w:w="10080"/>
            <w:shd w:fill="E1EEE6"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2E6B4C"/>
                <w:sz w:val="17"/>
                <w:szCs w:val="17"/>
              </w:rPr>
              <w:t xml:space="preserve">LA ESTRATEGIA</w:t>
            </w:r>
          </w:p>
          <w:p>
            <w:pPr>
              <w:spacing w:after="100" w:before="0" w:line="300"/>
              <w:jc w:val="left"/>
            </w:pPr>
            <w:r>
              <w:rPr>
                <w:rFonts w:ascii="Calibri" w:cs="Calibri" w:eastAsia="Calibri" w:hAnsi="Calibri"/>
                <w:b w:val="false"/>
                <w:bCs w:val="false"/>
                <w:i w:val="false"/>
                <w:iCs w:val="false"/>
                <w:sz w:val="22"/>
                <w:szCs w:val="22"/>
              </w:rPr>
              <w:t xml:space="preserve">“Capacitación de facilitadores” no es una actividad menor en la lista — la evidencia internacional (Safe Touches, EE. UU.) muestra que el personal que facilita representa el 72 % del costo de programas comparables, y es el factor que más determina si el programa realmente cambia algo. El juego 3D es una fracción del trabajo real; la mayoría del esfuerzo va a que el adulto que lo usa esté bien preparado.</w:t>
            </w:r>
          </w:p>
          <w:p>
            <w:pPr>
              <w:spacing w:after="140" w:before="0" w:line="300"/>
              <w:jc w:val="left"/>
            </w:pPr>
            <w:r>
              <w:rPr>
                <w:rFonts w:ascii="Calibri" w:cs="Calibri" w:eastAsia="Calibri" w:hAnsi="Calibri"/>
                <w:b w:val="false"/>
                <w:bCs w:val="false"/>
                <w:i w:val="false"/>
                <w:iCs w:val="false"/>
                <w:sz w:val="22"/>
                <w:szCs w:val="22"/>
              </w:rPr>
              <w:t xml:space="preserve">Por eso “desarrollo de la experiencia 3D” aparece en la misma lista que “capacitación” y no por encima — son socios de la misma importancia, no una actividad técnica seguida de una actividad secundaria.</w:t>
            </w:r>
          </w:p>
        </w:tc>
      </w:tr>
    </w:tbl>
    <w:p>
      <w:pPr>
        <w:spacing w:after="80"/>
      </w:pP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DCEEEF" w:color="auto" w:val="clear"/>
            <w:tcMar>
              <w:top w:type="dxa" w:w="120"/>
              <w:left w:type="dxa" w:w="200"/>
              <w:bottom w:type="dxa" w:w="120"/>
              <w:right w:type="dxa" w:w="200"/>
            </w:tcMar>
          </w:tcPr>
          <w:p>
            <w:pPr>
              <w:spacing w:after="40" w:before="0" w:line="300"/>
              <w:jc w:val="left"/>
            </w:pPr>
            <w:r>
              <w:rPr>
                <w:rFonts w:ascii="Calibri" w:cs="Calibri" w:eastAsia="Calibri" w:hAnsi="Calibri"/>
                <w:b/>
                <w:bCs/>
                <w:i w:val="false"/>
                <w:iCs w:val="false"/>
                <w:color w:val="1F5C66"/>
                <w:sz w:val="17"/>
                <w:szCs w:val="17"/>
              </w:rPr>
              <w:t xml:space="preserve">SI TE PREGUNTAN...</w:t>
            </w:r>
          </w:p>
          <w:p>
            <w:pPr>
              <w:spacing w:after="0" w:before="0" w:line="300"/>
              <w:jc w:val="left"/>
            </w:pPr>
            <w:r>
              <w:rPr>
                <w:rFonts w:ascii="Calibri" w:cs="Calibri" w:eastAsia="Calibri" w:hAnsi="Calibri"/>
                <w:b w:val="false"/>
                <w:bCs w:val="false"/>
                <w:i w:val="false"/>
                <w:iCs w:val="false"/>
                <w:sz w:val="22"/>
                <w:szCs w:val="22"/>
              </w:rPr>
              <w:t xml:space="preserve">¿Por qué no automatizan todo con inteligencia artificial y ahorran en capacitación? Porque la evidencia dice lo contrario: el docente capacitado es lo que hace que el programa funcione, no la tecnología por sí sola.</w:t>
            </w:r>
          </w:p>
        </w:tc>
      </w:tr>
    </w:tbl>
    <w:p>
      <w:pPr>
        <w:spacing w:after="260"/>
      </w:pPr>
    </w:p>
    <w:tbl>
      <w:tblPr>
        <w:tblW w:type="dxa" w:w="10080"/>
        <w:tblBorders>
          <w:top w:val="none"/>
          <w:left w:val="none"/>
          <w:bottom w:val="single" w:color="1F5C66" w:sz="12"/>
          <w:right w:val="none"/>
          <w:insideH w:val="none"/>
          <w:insideV w:val="none"/>
        </w:tblBorders>
      </w:tblPr>
      <w:tblGrid>
        <w:gridCol w:w="700"/>
        <w:gridCol w:w="9380"/>
      </w:tblGrid>
      <w:tr>
        <w:tc>
          <w:tcPr>
            <w:tcW w:type="dxa" w:w="700"/>
            <w:shd w:fill="1F5C66" w:color="auto" w:val="clear"/>
            <w:tcMar>
              <w:top w:type="dxa" w:w="60"/>
              <w:left w:type="dxa" w:w="0"/>
              <w:bottom w:type="dxa" w:w="60"/>
              <w:right w:type="dxa" w:w="0"/>
            </w:tcMar>
          </w:tcPr>
          <w:p>
            <w:pPr>
              <w:spacing w:after="0"/>
              <w:jc w:val="center"/>
            </w:pPr>
            <w:r>
              <w:rPr>
                <w:rFonts w:ascii="Calibri" w:cs="Calibri" w:eastAsia="Calibri" w:hAnsi="Calibri"/>
                <w:b/>
                <w:bCs/>
                <w:color w:val="FFFFFF"/>
                <w:sz w:val="26"/>
                <w:szCs w:val="26"/>
              </w:rPr>
              <w:t xml:space="preserve">3</w:t>
            </w:r>
          </w:p>
        </w:tc>
        <w:tc>
          <w:tcPr>
            <w:tcW w:type="dxa" w:w="9380"/>
            <w:tcMar>
              <w:top w:type="dxa" w:w="60"/>
              <w:left w:type="dxa" w:w="160"/>
              <w:bottom w:type="dxa" w:w="60"/>
              <w:right w:type="dxa" w:w="0"/>
            </w:tcMar>
          </w:tcPr>
          <w:p>
            <w:pPr>
              <w:spacing w:after="0"/>
            </w:pPr>
            <w:r>
              <w:rPr>
                <w:rFonts w:ascii="Calibri" w:cs="Calibri" w:eastAsia="Calibri" w:hAnsi="Calibri"/>
                <w:b/>
                <w:bCs/>
                <w:color w:val="20282A"/>
                <w:sz w:val="26"/>
                <w:szCs w:val="26"/>
              </w:rPr>
              <w:t xml:space="preserve">RECURSOS CLAVE</w:t>
            </w:r>
          </w:p>
        </w:tc>
      </w:tr>
    </w:tbl>
    <w:p>
      <w:pPr>
        <w:spacing w:after="40" w:before="140" w:line="300"/>
        <w:jc w:val="left"/>
      </w:pPr>
      <w:r>
        <w:rPr>
          <w:rFonts w:ascii="Calibri" w:cs="Calibri" w:eastAsia="Calibri" w:hAnsi="Calibri"/>
          <w:b/>
          <w:bCs/>
          <w:i w:val="false"/>
          <w:iCs w:val="false"/>
          <w:sz w:val="22"/>
          <w:szCs w:val="22"/>
        </w:rPr>
        <w:t xml:space="preserve">Qué hay ahí:</w:t>
      </w:r>
    </w:p>
    <w:p>
      <w:pPr>
        <w:spacing w:after="140" w:before="0" w:line="300"/>
        <w:jc w:val="left"/>
      </w:pPr>
      <w:r>
        <w:rPr>
          <w:rFonts w:ascii="Calibri" w:cs="Calibri" w:eastAsia="Calibri" w:hAnsi="Calibri"/>
          <w:b w:val="false"/>
          <w:bCs w:val="false"/>
          <w:i w:val="false"/>
          <w:iCs w:val="false"/>
          <w:sz w:val="22"/>
          <w:szCs w:val="22"/>
        </w:rPr>
        <w:t xml:space="preserve">El equipo fundador (sin costo de nómina), el stack tecnológico (Blender, React, React Three Fiber, Supabase), el contenido propio, las cartas de aval institucional y el capital semilla de HACKBIZ.</w:t>
      </w:r>
    </w:p>
    <w:tbl>
      <w:tblPr>
        <w:tblW w:type="dxa" w:w="10080"/>
        <w:tblBorders>
          <w:top w:val="single" w:color="2E6B4C" w:sz="4"/>
          <w:left w:val="single" w:color="2E6B4C" w:sz="24"/>
          <w:bottom w:val="single" w:color="2E6B4C" w:sz="4"/>
          <w:right w:val="single" w:color="2E6B4C" w:sz="4"/>
          <w:insideH w:val="single" w:color="auto" w:sz="4"/>
          <w:insideV w:val="single" w:color="auto" w:sz="4"/>
        </w:tblBorders>
      </w:tblPr>
      <w:tblGrid>
        <w:gridCol w:w="10080"/>
      </w:tblGrid>
      <w:tr>
        <w:tc>
          <w:tcPr>
            <w:tcW w:type="dxa" w:w="10080"/>
            <w:shd w:fill="E1EEE6"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2E6B4C"/>
                <w:sz w:val="17"/>
                <w:szCs w:val="17"/>
              </w:rPr>
              <w:t xml:space="preserve">LA ESTRATEGIA</w:t>
            </w:r>
          </w:p>
          <w:p>
            <w:pPr>
              <w:spacing w:after="100" w:before="0" w:line="300"/>
              <w:jc w:val="left"/>
            </w:pPr>
            <w:r>
              <w:rPr>
                <w:rFonts w:ascii="Calibri" w:cs="Calibri" w:eastAsia="Calibri" w:hAnsi="Calibri"/>
                <w:b w:val="false"/>
                <w:bCs w:val="false"/>
                <w:i w:val="false"/>
                <w:iCs w:val="false"/>
                <w:sz w:val="22"/>
                <w:szCs w:val="22"/>
              </w:rPr>
              <w:t xml:space="preserve">Tener al equipo de desarrollo adentro del equipo — no contratado — es la decisión que hace posible no gastar el capital semilla en sueldos. Si tuvieran que pagarle a un desarrollador externo, los Bs 12.000 se habrían ido en el primer mes. El recurso más valioso de esta lista no es la tecnología: es que Gabriel y Diego programan sin cobrar por ahora.</w:t>
            </w:r>
          </w:p>
          <w:p>
            <w:pPr>
              <w:spacing w:after="140" w:before="0" w:line="300"/>
              <w:jc w:val="left"/>
            </w:pPr>
            <w:r>
              <w:rPr>
                <w:rFonts w:ascii="Calibri" w:cs="Calibri" w:eastAsia="Calibri" w:hAnsi="Calibri"/>
                <w:b w:val="false"/>
                <w:bCs w:val="false"/>
                <w:i w:val="false"/>
                <w:iCs w:val="false"/>
                <w:sz w:val="22"/>
                <w:szCs w:val="22"/>
              </w:rPr>
              <w:t xml:space="preserve">Las cartas de aval institucional están listadas como recurso, no solo como resultado de tener socios, porque funcionan como un activo real: sin ellas, ningún colegio abriría la puerta a un producto que toca un tema tan sensible.</w:t>
            </w:r>
          </w:p>
        </w:tc>
      </w:tr>
    </w:tbl>
    <w:p>
      <w:pPr>
        <w:spacing w:after="80"/>
      </w:pP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DCEEEF" w:color="auto" w:val="clear"/>
            <w:tcMar>
              <w:top w:type="dxa" w:w="120"/>
              <w:left w:type="dxa" w:w="200"/>
              <w:bottom w:type="dxa" w:w="120"/>
              <w:right w:type="dxa" w:w="200"/>
            </w:tcMar>
          </w:tcPr>
          <w:p>
            <w:pPr>
              <w:spacing w:after="40" w:before="0" w:line="300"/>
              <w:jc w:val="left"/>
            </w:pPr>
            <w:r>
              <w:rPr>
                <w:rFonts w:ascii="Calibri" w:cs="Calibri" w:eastAsia="Calibri" w:hAnsi="Calibri"/>
                <w:b/>
                <w:bCs/>
                <w:i w:val="false"/>
                <w:iCs w:val="false"/>
                <w:color w:val="1F5C66"/>
                <w:sz w:val="17"/>
                <w:szCs w:val="17"/>
              </w:rPr>
              <w:t xml:space="preserve">SI TE PREGUNTAN...</w:t>
            </w:r>
          </w:p>
          <w:p>
            <w:pPr>
              <w:spacing w:after="0" w:before="0" w:line="300"/>
              <w:jc w:val="left"/>
            </w:pPr>
            <w:r>
              <w:rPr>
                <w:rFonts w:ascii="Calibri" w:cs="Calibri" w:eastAsia="Calibri" w:hAnsi="Calibri"/>
                <w:b w:val="false"/>
                <w:bCs w:val="false"/>
                <w:i w:val="false"/>
                <w:iCs w:val="false"/>
                <w:sz w:val="22"/>
                <w:szCs w:val="22"/>
              </w:rPr>
              <w:t xml:space="preserve">¿Por qué no contratar un equipo de desarrollo con el capital semilla en vez de que ustedes programen gratis? Porque Bs 12.000 no alcanza ni para un mes de sueldo de un equipo contratado — tener el desarrollo adentro es lo que hace viable arrancar con ese monto.</w:t>
            </w:r>
          </w:p>
        </w:tc>
      </w:tr>
    </w:tbl>
    <w:p>
      <w:pPr>
        <w:spacing w:after="260"/>
      </w:pPr>
    </w:p>
    <w:tbl>
      <w:tblPr>
        <w:tblW w:type="dxa" w:w="10080"/>
        <w:tblBorders>
          <w:top w:val="none"/>
          <w:left w:val="none"/>
          <w:bottom w:val="single" w:color="1F5C66" w:sz="12"/>
          <w:right w:val="none"/>
          <w:insideH w:val="none"/>
          <w:insideV w:val="none"/>
        </w:tblBorders>
      </w:tblPr>
      <w:tblGrid>
        <w:gridCol w:w="700"/>
        <w:gridCol w:w="9380"/>
      </w:tblGrid>
      <w:tr>
        <w:tc>
          <w:tcPr>
            <w:tcW w:type="dxa" w:w="700"/>
            <w:shd w:fill="1F5C66" w:color="auto" w:val="clear"/>
            <w:tcMar>
              <w:top w:type="dxa" w:w="60"/>
              <w:left w:type="dxa" w:w="0"/>
              <w:bottom w:type="dxa" w:w="60"/>
              <w:right w:type="dxa" w:w="0"/>
            </w:tcMar>
          </w:tcPr>
          <w:p>
            <w:pPr>
              <w:spacing w:after="0"/>
              <w:jc w:val="center"/>
            </w:pPr>
            <w:r>
              <w:rPr>
                <w:rFonts w:ascii="Calibri" w:cs="Calibri" w:eastAsia="Calibri" w:hAnsi="Calibri"/>
                <w:b/>
                <w:bCs/>
                <w:color w:val="FFFFFF"/>
                <w:sz w:val="26"/>
                <w:szCs w:val="26"/>
              </w:rPr>
              <w:t xml:space="preserve">4</w:t>
            </w:r>
          </w:p>
        </w:tc>
        <w:tc>
          <w:tcPr>
            <w:tcW w:type="dxa" w:w="9380"/>
            <w:tcMar>
              <w:top w:type="dxa" w:w="60"/>
              <w:left w:type="dxa" w:w="160"/>
              <w:bottom w:type="dxa" w:w="60"/>
              <w:right w:type="dxa" w:w="0"/>
            </w:tcMar>
          </w:tcPr>
          <w:p>
            <w:pPr>
              <w:spacing w:after="0"/>
            </w:pPr>
            <w:r>
              <w:rPr>
                <w:rFonts w:ascii="Calibri" w:cs="Calibri" w:eastAsia="Calibri" w:hAnsi="Calibri"/>
                <w:b/>
                <w:bCs/>
                <w:color w:val="20282A"/>
                <w:sz w:val="26"/>
                <w:szCs w:val="26"/>
              </w:rPr>
              <w:t xml:space="preserve">PROPUESTA DE VALOR</w:t>
            </w:r>
          </w:p>
        </w:tc>
      </w:tr>
    </w:tbl>
    <w:p>
      <w:pPr>
        <w:spacing w:after="40" w:before="140" w:line="300"/>
        <w:jc w:val="left"/>
      </w:pPr>
      <w:r>
        <w:rPr>
          <w:rFonts w:ascii="Calibri" w:cs="Calibri" w:eastAsia="Calibri" w:hAnsi="Calibri"/>
          <w:b/>
          <w:bCs/>
          <w:i w:val="false"/>
          <w:iCs w:val="false"/>
          <w:sz w:val="22"/>
          <w:szCs w:val="22"/>
        </w:rPr>
        <w:t xml:space="preserve">Qué hay ahí:</w:t>
      </w:r>
    </w:p>
    <w:p>
      <w:pPr>
        <w:spacing w:after="140" w:before="0" w:line="300"/>
        <w:jc w:val="left"/>
      </w:pPr>
      <w:r>
        <w:rPr>
          <w:rFonts w:ascii="Calibri" w:cs="Calibri" w:eastAsia="Calibri" w:hAnsi="Calibri"/>
          <w:b w:val="false"/>
          <w:bCs w:val="false"/>
          <w:i w:val="false"/>
          <w:iCs w:val="false"/>
          <w:sz w:val="22"/>
          <w:szCs w:val="22"/>
        </w:rPr>
        <w:t xml:space="preserve">Una experiencia web 3D de prevención primaria, entregada como programa acompañado (episodios + capacitación + panel del facilitador + protocolo), con tres restricciones explícitas: no diagnostica, no chatea, no guarda relatos de menores.</w:t>
      </w:r>
    </w:p>
    <w:tbl>
      <w:tblPr>
        <w:tblW w:type="dxa" w:w="10080"/>
        <w:tblBorders>
          <w:top w:val="single" w:color="2E6B4C" w:sz="4"/>
          <w:left w:val="single" w:color="2E6B4C" w:sz="24"/>
          <w:bottom w:val="single" w:color="2E6B4C" w:sz="4"/>
          <w:right w:val="single" w:color="2E6B4C" w:sz="4"/>
          <w:insideH w:val="single" w:color="auto" w:sz="4"/>
          <w:insideV w:val="single" w:color="auto" w:sz="4"/>
        </w:tblBorders>
      </w:tblPr>
      <w:tblGrid>
        <w:gridCol w:w="10080"/>
      </w:tblGrid>
      <w:tr>
        <w:tc>
          <w:tcPr>
            <w:tcW w:type="dxa" w:w="10080"/>
            <w:shd w:fill="E1EEE6"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2E6B4C"/>
                <w:sz w:val="17"/>
                <w:szCs w:val="17"/>
              </w:rPr>
              <w:t xml:space="preserve">LA ESTRATEGIA</w:t>
            </w:r>
          </w:p>
          <w:p>
            <w:pPr>
              <w:spacing w:after="100" w:before="0" w:line="300"/>
              <w:jc w:val="left"/>
            </w:pPr>
            <w:r>
              <w:rPr>
                <w:rFonts w:ascii="Calibri" w:cs="Calibri" w:eastAsia="Calibri" w:hAnsi="Calibri"/>
                <w:b w:val="false"/>
                <w:bCs w:val="false"/>
                <w:i w:val="false"/>
                <w:iCs w:val="false"/>
                <w:sz w:val="22"/>
                <w:szCs w:val="22"/>
              </w:rPr>
              <w:t xml:space="preserve">Cada restricción es una decisión de diseño, no una limitación técnica que se vaya a resolver después. “No chatea” no significa “todavía no lo construimos” — significa que se decidió, a propósito, no cruzar esa línea nunca, porque un chat con un menor sobre temas sensibles es exactamente el tipo de función que una escuela o una ONG de protección rechazaría de inmediato, sin importar cuán bien programado esté.</w:t>
            </w:r>
          </w:p>
          <w:p>
            <w:pPr>
              <w:spacing w:after="140" w:before="0" w:line="300"/>
              <w:jc w:val="left"/>
            </w:pPr>
            <w:r>
              <w:rPr>
                <w:rFonts w:ascii="Calibri" w:cs="Calibri" w:eastAsia="Calibri" w:hAnsi="Calibri"/>
                <w:b/>
                <w:bCs/>
                <w:i w:val="false"/>
                <w:iCs w:val="false"/>
                <w:sz w:val="22"/>
                <w:szCs w:val="22"/>
              </w:rPr>
              <w:t xml:space="preserve">Frente a un colegio, las restricciones SON la propuesta de valor. No están vendiendo “un juego más” — están vendiendo “un juego que no puede salir mal”. Eso es lo que hace que un director firme.</w:t>
            </w:r>
          </w:p>
        </w:tc>
      </w:tr>
    </w:tbl>
    <w:p>
      <w:pPr>
        <w:spacing w:after="80"/>
      </w:pP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DCEEEF" w:color="auto" w:val="clear"/>
            <w:tcMar>
              <w:top w:type="dxa" w:w="120"/>
              <w:left w:type="dxa" w:w="200"/>
              <w:bottom w:type="dxa" w:w="120"/>
              <w:right w:type="dxa" w:w="200"/>
            </w:tcMar>
          </w:tcPr>
          <w:p>
            <w:pPr>
              <w:spacing w:after="40" w:before="0" w:line="300"/>
              <w:jc w:val="left"/>
            </w:pPr>
            <w:r>
              <w:rPr>
                <w:rFonts w:ascii="Calibri" w:cs="Calibri" w:eastAsia="Calibri" w:hAnsi="Calibri"/>
                <w:b/>
                <w:bCs/>
                <w:i w:val="false"/>
                <w:iCs w:val="false"/>
                <w:color w:val="1F5C66"/>
                <w:sz w:val="17"/>
                <w:szCs w:val="17"/>
              </w:rPr>
              <w:t xml:space="preserve">SI TE PREGUNTAN...</w:t>
            </w:r>
          </w:p>
          <w:p>
            <w:pPr>
              <w:spacing w:after="0" w:before="0" w:line="300"/>
              <w:jc w:val="left"/>
            </w:pPr>
            <w:r>
              <w:rPr>
                <w:rFonts w:ascii="Calibri" w:cs="Calibri" w:eastAsia="Calibri" w:hAnsi="Calibri"/>
                <w:b w:val="false"/>
                <w:bCs w:val="false"/>
                <w:i w:val="false"/>
                <w:iCs w:val="false"/>
                <w:sz w:val="22"/>
                <w:szCs w:val="22"/>
              </w:rPr>
              <w:t xml:space="preserve">¿Por qué limitarse tanto en vez de hacer el producto más atractivo o más completo? Porque el cliente institucional (colegio, ONG) no compra funciones — compra la garantía de que nada puede salir mal con un menor. Cada restricción es lo que vuelve al producto vendible, no lo que lo limita.</w:t>
            </w:r>
          </w:p>
        </w:tc>
      </w:tr>
    </w:tbl>
    <w:p>
      <w:pPr>
        <w:spacing w:after="260"/>
      </w:pPr>
    </w:p>
    <w:tbl>
      <w:tblPr>
        <w:tblW w:type="dxa" w:w="10080"/>
        <w:tblBorders>
          <w:top w:val="none"/>
          <w:left w:val="none"/>
          <w:bottom w:val="single" w:color="1F5C66" w:sz="12"/>
          <w:right w:val="none"/>
          <w:insideH w:val="none"/>
          <w:insideV w:val="none"/>
        </w:tblBorders>
      </w:tblPr>
      <w:tblGrid>
        <w:gridCol w:w="700"/>
        <w:gridCol w:w="9380"/>
      </w:tblGrid>
      <w:tr>
        <w:tc>
          <w:tcPr>
            <w:tcW w:type="dxa" w:w="700"/>
            <w:shd w:fill="1F5C66" w:color="auto" w:val="clear"/>
            <w:tcMar>
              <w:top w:type="dxa" w:w="60"/>
              <w:left w:type="dxa" w:w="0"/>
              <w:bottom w:type="dxa" w:w="60"/>
              <w:right w:type="dxa" w:w="0"/>
            </w:tcMar>
          </w:tcPr>
          <w:p>
            <w:pPr>
              <w:spacing w:after="0"/>
              <w:jc w:val="center"/>
            </w:pPr>
            <w:r>
              <w:rPr>
                <w:rFonts w:ascii="Calibri" w:cs="Calibri" w:eastAsia="Calibri" w:hAnsi="Calibri"/>
                <w:b/>
                <w:bCs/>
                <w:color w:val="FFFFFF"/>
                <w:sz w:val="26"/>
                <w:szCs w:val="26"/>
              </w:rPr>
              <w:t xml:space="preserve">5</w:t>
            </w:r>
          </w:p>
        </w:tc>
        <w:tc>
          <w:tcPr>
            <w:tcW w:type="dxa" w:w="9380"/>
            <w:tcMar>
              <w:top w:type="dxa" w:w="60"/>
              <w:left w:type="dxa" w:w="160"/>
              <w:bottom w:type="dxa" w:w="60"/>
              <w:right w:type="dxa" w:w="0"/>
            </w:tcMar>
          </w:tcPr>
          <w:p>
            <w:pPr>
              <w:spacing w:after="0"/>
            </w:pPr>
            <w:r>
              <w:rPr>
                <w:rFonts w:ascii="Calibri" w:cs="Calibri" w:eastAsia="Calibri" w:hAnsi="Calibri"/>
                <w:b/>
                <w:bCs/>
                <w:color w:val="20282A"/>
                <w:sz w:val="26"/>
                <w:szCs w:val="26"/>
              </w:rPr>
              <w:t xml:space="preserve">RELACIONES CON EL CLIENTE</w:t>
            </w:r>
          </w:p>
        </w:tc>
      </w:tr>
    </w:tbl>
    <w:p>
      <w:pPr>
        <w:spacing w:after="40" w:before="140" w:line="300"/>
        <w:jc w:val="left"/>
      </w:pPr>
      <w:r>
        <w:rPr>
          <w:rFonts w:ascii="Calibri" w:cs="Calibri" w:eastAsia="Calibri" w:hAnsi="Calibri"/>
          <w:b/>
          <w:bCs/>
          <w:i w:val="false"/>
          <w:iCs w:val="false"/>
          <w:sz w:val="22"/>
          <w:szCs w:val="22"/>
        </w:rPr>
        <w:t xml:space="preserve">Qué hay ahí:</w:t>
      </w:r>
    </w:p>
    <w:p>
      <w:pPr>
        <w:spacing w:after="140" w:before="0" w:line="300"/>
        <w:jc w:val="left"/>
      </w:pPr>
      <w:r>
        <w:rPr>
          <w:rFonts w:ascii="Calibri" w:cs="Calibri" w:eastAsia="Calibri" w:hAnsi="Calibri"/>
          <w:b w:val="false"/>
          <w:bCs w:val="false"/>
          <w:i w:val="false"/>
          <w:iCs w:val="false"/>
          <w:sz w:val="22"/>
          <w:szCs w:val="22"/>
        </w:rPr>
        <w:t xml:space="preserve">Programa acompañado con soporte continuo al docente, y consentimiento institucional del colegio (aviso a las familias + opción de no participar), en vez de permiso individual firmado por cada familia.</w:t>
      </w:r>
    </w:p>
    <w:tbl>
      <w:tblPr>
        <w:tblW w:type="dxa" w:w="10080"/>
        <w:tblBorders>
          <w:top w:val="single" w:color="2E6B4C" w:sz="4"/>
          <w:left w:val="single" w:color="2E6B4C" w:sz="24"/>
          <w:bottom w:val="single" w:color="2E6B4C" w:sz="4"/>
          <w:right w:val="single" w:color="2E6B4C" w:sz="4"/>
          <w:insideH w:val="single" w:color="auto" w:sz="4"/>
          <w:insideV w:val="single" w:color="auto" w:sz="4"/>
        </w:tblBorders>
      </w:tblPr>
      <w:tblGrid>
        <w:gridCol w:w="10080"/>
      </w:tblGrid>
      <w:tr>
        <w:tc>
          <w:tcPr>
            <w:tcW w:type="dxa" w:w="10080"/>
            <w:shd w:fill="E1EEE6"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2E6B4C"/>
                <w:sz w:val="17"/>
                <w:szCs w:val="17"/>
              </w:rPr>
              <w:t xml:space="preserve">LA ESTRATEGIA</w:t>
            </w:r>
          </w:p>
          <w:p>
            <w:pPr>
              <w:spacing w:after="100" w:before="0" w:line="300"/>
              <w:jc w:val="left"/>
            </w:pPr>
            <w:r>
              <w:rPr>
                <w:rFonts w:ascii="Calibri" w:cs="Calibri" w:eastAsia="Calibri" w:hAnsi="Calibri"/>
                <w:b w:val="false"/>
                <w:bCs w:val="false"/>
                <w:i w:val="false"/>
                <w:iCs w:val="false"/>
                <w:sz w:val="22"/>
                <w:szCs w:val="22"/>
              </w:rPr>
              <w:t xml:space="preserve">Esta es la decisión más sofisticada de todo el modelo, y vale la pena contarla bien completa: la mentora de la psicóloga del equipo señaló que el agresor casi siempre es del entorno familiar cercano. Eso tiene una consecuencia directa sobre cómo se pide permiso: si se exige un permiso individual firmado por cada familia, un posible agresor dentro de esa familia simplemente no firma — y el niño que más necesita la herramienta queda afuera, sin que nadie lo note, porque un permiso no firmado se ve igual que un padre ocupado que no llegó a leerlo.</w:t>
            </w:r>
          </w:p>
          <w:p>
            <w:pPr>
              <w:spacing w:after="140" w:before="0" w:line="300"/>
              <w:jc w:val="left"/>
            </w:pPr>
            <w:r>
              <w:rPr>
                <w:rFonts w:ascii="Calibri" w:cs="Calibri" w:eastAsia="Calibri" w:hAnsi="Calibri"/>
                <w:b/>
                <w:bCs/>
                <w:i w:val="false"/>
                <w:iCs w:val="false"/>
                <w:sz w:val="22"/>
                <w:szCs w:val="22"/>
              </w:rPr>
              <w:t xml:space="preserve">Por eso se eligió consentimiento institucional: el colegio avisa a todas las familias por adelantado, de forma transparente, y cualquier familia puede decir que no — en vez de que cada una tenga que decir que sí para que su hijo participe.</w:t>
            </w:r>
          </w:p>
        </w:tc>
      </w:tr>
    </w:tbl>
    <w:p>
      <w:pPr>
        <w:spacing w:after="80"/>
      </w:pP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DCEEEF" w:color="auto" w:val="clear"/>
            <w:tcMar>
              <w:top w:type="dxa" w:w="120"/>
              <w:left w:type="dxa" w:w="200"/>
              <w:bottom w:type="dxa" w:w="120"/>
              <w:right w:type="dxa" w:w="200"/>
            </w:tcMar>
          </w:tcPr>
          <w:p>
            <w:pPr>
              <w:spacing w:after="40" w:before="0" w:line="300"/>
              <w:jc w:val="left"/>
            </w:pPr>
            <w:r>
              <w:rPr>
                <w:rFonts w:ascii="Calibri" w:cs="Calibri" w:eastAsia="Calibri" w:hAnsi="Calibri"/>
                <w:b/>
                <w:bCs/>
                <w:i w:val="false"/>
                <w:iCs w:val="false"/>
                <w:color w:val="1F5C66"/>
                <w:sz w:val="17"/>
                <w:szCs w:val="17"/>
              </w:rPr>
              <w:t xml:space="preserve">SI TE PREGUNTAN...</w:t>
            </w:r>
          </w:p>
          <w:p>
            <w:pPr>
              <w:spacing w:after="0" w:before="0" w:line="300"/>
              <w:jc w:val="left"/>
            </w:pPr>
            <w:r>
              <w:rPr>
                <w:rFonts w:ascii="Calibri" w:cs="Calibri" w:eastAsia="Calibri" w:hAnsi="Calibri"/>
                <w:b w:val="false"/>
                <w:bCs w:val="false"/>
                <w:i w:val="false"/>
                <w:iCs w:val="false"/>
                <w:sz w:val="22"/>
                <w:szCs w:val="22"/>
              </w:rPr>
              <w:t xml:space="preserve">¿No es raro que las familias no firmen un permiso individual? No es descuido, es protección: un permiso caso por caso le daría a un posible agresor del entorno cercano el poder de bloquear, en silencio, el acceso de su propio hijo a la herramienta.</w:t>
            </w:r>
          </w:p>
        </w:tc>
      </w:tr>
    </w:tbl>
    <w:p>
      <w:pPr>
        <w:spacing w:after="260"/>
      </w:pPr>
    </w:p>
    <w:tbl>
      <w:tblPr>
        <w:tblW w:type="dxa" w:w="10080"/>
        <w:tblBorders>
          <w:top w:val="none"/>
          <w:left w:val="none"/>
          <w:bottom w:val="single" w:color="1F5C66" w:sz="12"/>
          <w:right w:val="none"/>
          <w:insideH w:val="none"/>
          <w:insideV w:val="none"/>
        </w:tblBorders>
      </w:tblPr>
      <w:tblGrid>
        <w:gridCol w:w="700"/>
        <w:gridCol w:w="9380"/>
      </w:tblGrid>
      <w:tr>
        <w:tc>
          <w:tcPr>
            <w:tcW w:type="dxa" w:w="700"/>
            <w:shd w:fill="1F5C66" w:color="auto" w:val="clear"/>
            <w:tcMar>
              <w:top w:type="dxa" w:w="60"/>
              <w:left w:type="dxa" w:w="0"/>
              <w:bottom w:type="dxa" w:w="60"/>
              <w:right w:type="dxa" w:w="0"/>
            </w:tcMar>
          </w:tcPr>
          <w:p>
            <w:pPr>
              <w:spacing w:after="0"/>
              <w:jc w:val="center"/>
            </w:pPr>
            <w:r>
              <w:rPr>
                <w:rFonts w:ascii="Calibri" w:cs="Calibri" w:eastAsia="Calibri" w:hAnsi="Calibri"/>
                <w:b/>
                <w:bCs/>
                <w:color w:val="FFFFFF"/>
                <w:sz w:val="26"/>
                <w:szCs w:val="26"/>
              </w:rPr>
              <w:t xml:space="preserve">6</w:t>
            </w:r>
          </w:p>
        </w:tc>
        <w:tc>
          <w:tcPr>
            <w:tcW w:type="dxa" w:w="9380"/>
            <w:tcMar>
              <w:top w:type="dxa" w:w="60"/>
              <w:left w:type="dxa" w:w="160"/>
              <w:bottom w:type="dxa" w:w="60"/>
              <w:right w:type="dxa" w:w="0"/>
            </w:tcMar>
          </w:tcPr>
          <w:p>
            <w:pPr>
              <w:spacing w:after="0"/>
            </w:pPr>
            <w:r>
              <w:rPr>
                <w:rFonts w:ascii="Calibri" w:cs="Calibri" w:eastAsia="Calibri" w:hAnsi="Calibri"/>
                <w:b/>
                <w:bCs/>
                <w:color w:val="20282A"/>
                <w:sz w:val="26"/>
                <w:szCs w:val="26"/>
              </w:rPr>
              <w:t xml:space="preserve">CANALES</w:t>
            </w:r>
          </w:p>
        </w:tc>
      </w:tr>
    </w:tbl>
    <w:p>
      <w:pPr>
        <w:spacing w:after="40" w:before="140" w:line="300"/>
        <w:jc w:val="left"/>
      </w:pPr>
      <w:r>
        <w:rPr>
          <w:rFonts w:ascii="Calibri" w:cs="Calibri" w:eastAsia="Calibri" w:hAnsi="Calibri"/>
          <w:b/>
          <w:bCs/>
          <w:i w:val="false"/>
          <w:iCs w:val="false"/>
          <w:sz w:val="22"/>
          <w:szCs w:val="22"/>
        </w:rPr>
        <w:t xml:space="preserve">Qué hay ahí:</w:t>
      </w:r>
    </w:p>
    <w:p>
      <w:pPr>
        <w:spacing w:after="140" w:before="0" w:line="300"/>
        <w:jc w:val="left"/>
      </w:pPr>
      <w:r>
        <w:rPr>
          <w:rFonts w:ascii="Calibri" w:cs="Calibri" w:eastAsia="Calibri" w:hAnsi="Calibri"/>
          <w:b w:val="false"/>
          <w:bCs w:val="false"/>
          <w:i w:val="false"/>
          <w:iCs w:val="false"/>
          <w:sz w:val="22"/>
          <w:szCs w:val="22"/>
        </w:rPr>
        <w:t xml:space="preserve">Venta directa a redes de colegios, alianza con ONG que ya operan en escuelas fiscales, y un programa de aliados con consultorios psicológicos, pediatría y seguros de salud — sin comisión por paciente referido.</w:t>
      </w:r>
    </w:p>
    <w:tbl>
      <w:tblPr>
        <w:tblW w:type="dxa" w:w="10080"/>
        <w:tblBorders>
          <w:top w:val="single" w:color="2E6B4C" w:sz="4"/>
          <w:left w:val="single" w:color="2E6B4C" w:sz="24"/>
          <w:bottom w:val="single" w:color="2E6B4C" w:sz="4"/>
          <w:right w:val="single" w:color="2E6B4C" w:sz="4"/>
          <w:insideH w:val="single" w:color="auto" w:sz="4"/>
          <w:insideV w:val="single" w:color="auto" w:sz="4"/>
        </w:tblBorders>
      </w:tblPr>
      <w:tblGrid>
        <w:gridCol w:w="10080"/>
      </w:tblGrid>
      <w:tr>
        <w:tc>
          <w:tcPr>
            <w:tcW w:type="dxa" w:w="10080"/>
            <w:shd w:fill="E1EEE6"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2E6B4C"/>
                <w:sz w:val="17"/>
                <w:szCs w:val="17"/>
              </w:rPr>
              <w:t xml:space="preserve">LA ESTRATEGIA</w:t>
            </w:r>
          </w:p>
          <w:p>
            <w:pPr>
              <w:spacing w:after="100" w:before="0" w:line="300"/>
              <w:jc w:val="left"/>
            </w:pPr>
            <w:r>
              <w:rPr>
                <w:rFonts w:ascii="Calibri" w:cs="Calibri" w:eastAsia="Calibri" w:hAnsi="Calibri"/>
                <w:b w:val="false"/>
                <w:bCs w:val="false"/>
                <w:i w:val="false"/>
                <w:iCs w:val="false"/>
                <w:sz w:val="22"/>
                <w:szCs w:val="22"/>
              </w:rPr>
              <w:t xml:space="preserve">No hay pauta publicitaria masiva porque el comprador real (la dirección de un colegio) no se convence con un anuncio — se convence con una demo en vivo y con el aval de alguien en quien ya confía. Por eso el canal principal es relacional, no digital.</w:t>
            </w:r>
          </w:p>
          <w:p>
            <w:pPr>
              <w:spacing w:after="140" w:before="0" w:line="300"/>
              <w:jc w:val="left"/>
            </w:pPr>
            <w:r>
              <w:rPr>
                <w:rFonts w:ascii="Calibri" w:cs="Calibri" w:eastAsia="Calibri" w:hAnsi="Calibri"/>
                <w:b w:val="false"/>
                <w:bCs w:val="false"/>
                <w:i w:val="false"/>
                <w:iCs w:val="false"/>
                <w:sz w:val="22"/>
                <w:szCs w:val="22"/>
              </w:rPr>
              <w:t xml:space="preserve">El programa de aliados en salud se diseñó a propósito sin comisión por paciente referido: pagarle a un psicólogo o pediatra un porcentaje por cada familia que se suscribe es un conflicto de interés para un profesional de la salud, y además se ve mal frente a la misma ONG de protección con la que se busca trabajar. En su lugar, el aliado recibe certificación, visibilidad en un directorio público y capacitación acreditada — cosas que le sirven a su propia práctica, no dinero atado a cada paciente.</w:t>
            </w:r>
          </w:p>
        </w:tc>
      </w:tr>
    </w:tbl>
    <w:p>
      <w:pPr>
        <w:spacing w:after="80"/>
      </w:pP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DCEEEF" w:color="auto" w:val="clear"/>
            <w:tcMar>
              <w:top w:type="dxa" w:w="120"/>
              <w:left w:type="dxa" w:w="200"/>
              <w:bottom w:type="dxa" w:w="120"/>
              <w:right w:type="dxa" w:w="200"/>
            </w:tcMar>
          </w:tcPr>
          <w:p>
            <w:pPr>
              <w:spacing w:after="40" w:before="0" w:line="300"/>
              <w:jc w:val="left"/>
            </w:pPr>
            <w:r>
              <w:rPr>
                <w:rFonts w:ascii="Calibri" w:cs="Calibri" w:eastAsia="Calibri" w:hAnsi="Calibri"/>
                <w:b/>
                <w:bCs/>
                <w:i w:val="false"/>
                <w:iCs w:val="false"/>
                <w:color w:val="1F5C66"/>
                <w:sz w:val="17"/>
                <w:szCs w:val="17"/>
              </w:rPr>
              <w:t xml:space="preserve">SI TE PREGUNTAN...</w:t>
            </w:r>
          </w:p>
          <w:p>
            <w:pPr>
              <w:spacing w:after="0" w:before="0" w:line="300"/>
              <w:jc w:val="left"/>
            </w:pPr>
            <w:r>
              <w:rPr>
                <w:rFonts w:ascii="Calibri" w:cs="Calibri" w:eastAsia="Calibri" w:hAnsi="Calibri"/>
                <w:b w:val="false"/>
                <w:bCs w:val="false"/>
                <w:i w:val="false"/>
                <w:iCs w:val="false"/>
                <w:sz w:val="22"/>
                <w:szCs w:val="22"/>
              </w:rPr>
              <w:t xml:space="preserve">¿Por qué no pagarles una comisión a los psicólogos que refieren familias, como hace cualquier programa de afiliados? Porque convertir la recomendación de un profesional de la salud en algo que le paga por cada paciente es exactamente el tipo de conflicto de interés que un producto de protección infantil no se puede permitir.</w:t>
            </w:r>
          </w:p>
        </w:tc>
      </w:tr>
    </w:tbl>
    <w:p>
      <w:pPr>
        <w:spacing w:after="260"/>
      </w:pPr>
    </w:p>
    <w:tbl>
      <w:tblPr>
        <w:tblW w:type="dxa" w:w="10080"/>
        <w:tblBorders>
          <w:top w:val="none"/>
          <w:left w:val="none"/>
          <w:bottom w:val="single" w:color="1F5C66" w:sz="12"/>
          <w:right w:val="none"/>
          <w:insideH w:val="none"/>
          <w:insideV w:val="none"/>
        </w:tblBorders>
      </w:tblPr>
      <w:tblGrid>
        <w:gridCol w:w="700"/>
        <w:gridCol w:w="9380"/>
      </w:tblGrid>
      <w:tr>
        <w:tc>
          <w:tcPr>
            <w:tcW w:type="dxa" w:w="700"/>
            <w:shd w:fill="1F5C66" w:color="auto" w:val="clear"/>
            <w:tcMar>
              <w:top w:type="dxa" w:w="60"/>
              <w:left w:type="dxa" w:w="0"/>
              <w:bottom w:type="dxa" w:w="60"/>
              <w:right w:type="dxa" w:w="0"/>
            </w:tcMar>
          </w:tcPr>
          <w:p>
            <w:pPr>
              <w:spacing w:after="0"/>
              <w:jc w:val="center"/>
            </w:pPr>
            <w:r>
              <w:rPr>
                <w:rFonts w:ascii="Calibri" w:cs="Calibri" w:eastAsia="Calibri" w:hAnsi="Calibri"/>
                <w:b/>
                <w:bCs/>
                <w:color w:val="FFFFFF"/>
                <w:sz w:val="26"/>
                <w:szCs w:val="26"/>
              </w:rPr>
              <w:t xml:space="preserve">7</w:t>
            </w:r>
          </w:p>
        </w:tc>
        <w:tc>
          <w:tcPr>
            <w:tcW w:type="dxa" w:w="9380"/>
            <w:tcMar>
              <w:top w:type="dxa" w:w="60"/>
              <w:left w:type="dxa" w:w="160"/>
              <w:bottom w:type="dxa" w:w="60"/>
              <w:right w:type="dxa" w:w="0"/>
            </w:tcMar>
          </w:tcPr>
          <w:p>
            <w:pPr>
              <w:spacing w:after="0"/>
            </w:pPr>
            <w:r>
              <w:rPr>
                <w:rFonts w:ascii="Calibri" w:cs="Calibri" w:eastAsia="Calibri" w:hAnsi="Calibri"/>
                <w:b/>
                <w:bCs/>
                <w:color w:val="20282A"/>
                <w:sz w:val="26"/>
                <w:szCs w:val="26"/>
              </w:rPr>
              <w:t xml:space="preserve">SEGMENTOS DE CLIENTES</w:t>
            </w:r>
          </w:p>
        </w:tc>
      </w:tr>
    </w:tbl>
    <w:p>
      <w:pPr>
        <w:spacing w:after="40" w:before="140" w:line="300"/>
        <w:jc w:val="left"/>
      </w:pPr>
      <w:r>
        <w:rPr>
          <w:rFonts w:ascii="Calibri" w:cs="Calibri" w:eastAsia="Calibri" w:hAnsi="Calibri"/>
          <w:b/>
          <w:bCs/>
          <w:i w:val="false"/>
          <w:iCs w:val="false"/>
          <w:sz w:val="22"/>
          <w:szCs w:val="22"/>
        </w:rPr>
        <w:t xml:space="preserve">Qué hay ahí:</w:t>
      </w:r>
    </w:p>
    <w:p>
      <w:pPr>
        <w:spacing w:after="140" w:before="0" w:line="300"/>
        <w:jc w:val="left"/>
      </w:pPr>
      <w:r>
        <w:rPr>
          <w:rFonts w:ascii="Calibri" w:cs="Calibri" w:eastAsia="Calibri" w:hAnsi="Calibri"/>
          <w:b w:val="false"/>
          <w:bCs w:val="false"/>
          <w:i w:val="false"/>
          <w:iCs w:val="false"/>
          <w:sz w:val="22"/>
          <w:szCs w:val="22"/>
        </w:rPr>
        <w:t xml:space="preserve">Colegios privados y de convenio (prioridad 1), ONG con programa escolar (prioridad 1), empresas con responsabilidad social (prioridad 2), Gobierno Municipal y Defensoría (prioridad 3, año 2-3), y familias como pagador directo opcional (visión a un año).</w:t>
      </w:r>
    </w:p>
    <w:tbl>
      <w:tblPr>
        <w:tblW w:type="dxa" w:w="10080"/>
        <w:tblBorders>
          <w:top w:val="single" w:color="2E6B4C" w:sz="4"/>
          <w:left w:val="single" w:color="2E6B4C" w:sz="24"/>
          <w:bottom w:val="single" w:color="2E6B4C" w:sz="4"/>
          <w:right w:val="single" w:color="2E6B4C" w:sz="4"/>
          <w:insideH w:val="single" w:color="auto" w:sz="4"/>
          <w:insideV w:val="single" w:color="auto" w:sz="4"/>
        </w:tblBorders>
      </w:tblPr>
      <w:tblGrid>
        <w:gridCol w:w="10080"/>
      </w:tblGrid>
      <w:tr>
        <w:tc>
          <w:tcPr>
            <w:tcW w:type="dxa" w:w="10080"/>
            <w:shd w:fill="E1EEE6"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2E6B4C"/>
                <w:sz w:val="17"/>
                <w:szCs w:val="17"/>
              </w:rPr>
              <w:t xml:space="preserve">LA ESTRATEGIA</w:t>
            </w:r>
          </w:p>
          <w:p>
            <w:pPr>
              <w:spacing w:after="100" w:before="0" w:line="300"/>
              <w:jc w:val="left"/>
            </w:pPr>
            <w:r>
              <w:rPr>
                <w:rFonts w:ascii="Calibri" w:cs="Calibri" w:eastAsia="Calibri" w:hAnsi="Calibri"/>
                <w:b w:val="false"/>
                <w:bCs w:val="false"/>
                <w:i w:val="false"/>
                <w:iCs w:val="false"/>
                <w:sz w:val="22"/>
                <w:szCs w:val="22"/>
              </w:rPr>
              <w:t xml:space="preserve">El orden no es casualidad — refleja qué tan rápido se puede cerrar cada tipo de venta:</w:t>
            </w:r>
          </w:p>
          <w:p>
            <w:pPr>
              <w:pStyle w:val="ListParagraph"/>
              <w:numPr>
                <w:ilvl w:val="0"/>
                <w:numId w:val="2"/>
              </w:numPr>
              <w:spacing w:after="90" w:line="300"/>
            </w:pPr>
            <w:r>
              <w:rPr>
                <w:rFonts w:ascii="Calibri" w:cs="Calibri" w:eastAsia="Calibri" w:hAnsi="Calibri"/>
                <w:sz w:val="22"/>
                <w:szCs w:val="22"/>
              </w:rPr>
              <w:t xml:space="preserve">Colegios privados primero: un solo decisor (la dirección) y un ciclo de venta corto. Es donde conviene validar el modelo con las primeras ventas reales.</w:t>
            </w:r>
          </w:p>
          <w:p>
            <w:pPr>
              <w:pStyle w:val="ListParagraph"/>
              <w:numPr>
                <w:ilvl w:val="0"/>
                <w:numId w:val="2"/>
              </w:numPr>
              <w:spacing w:after="90" w:line="300"/>
            </w:pPr>
            <w:r>
              <w:rPr>
                <w:rFonts w:ascii="Calibri" w:cs="Calibri" w:eastAsia="Calibri" w:hAnsi="Calibri"/>
                <w:sz w:val="22"/>
                <w:szCs w:val="22"/>
              </w:rPr>
              <w:t xml:space="preserve">ONG en paralelo: dan acceso al segmento fiscal, mucho más grande, pero a través de la infraestructura de confianza que ellas ya construyeron — no hay que ganársela desde cero.</w:t>
            </w:r>
          </w:p>
          <w:p>
            <w:pPr>
              <w:pStyle w:val="ListParagraph"/>
              <w:numPr>
                <w:ilvl w:val="0"/>
                <w:numId w:val="2"/>
              </w:numPr>
              <w:spacing w:after="90" w:line="300"/>
            </w:pPr>
            <w:r>
              <w:rPr>
                <w:rFonts w:ascii="Calibri" w:cs="Calibri" w:eastAsia="Calibri" w:hAnsi="Calibri"/>
                <w:sz w:val="22"/>
                <w:szCs w:val="22"/>
              </w:rPr>
              <w:t xml:space="preserve">Gobierno municipal al final, a propósito: los ciclos de compra pública son lentos y el POA se decide con un año de anticipación. Competir ahí desde el día uno sería gastar el tiempo más escaso del equipo en la venta más difícil, no en la más rápida.</w:t>
            </w:r>
          </w:p>
        </w:tc>
      </w:tr>
    </w:tbl>
    <w:p>
      <w:pPr>
        <w:spacing w:after="80"/>
      </w:pP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DCEEEF" w:color="auto" w:val="clear"/>
            <w:tcMar>
              <w:top w:type="dxa" w:w="120"/>
              <w:left w:type="dxa" w:w="200"/>
              <w:bottom w:type="dxa" w:w="120"/>
              <w:right w:type="dxa" w:w="200"/>
            </w:tcMar>
          </w:tcPr>
          <w:p>
            <w:pPr>
              <w:spacing w:after="40" w:before="0" w:line="300"/>
              <w:jc w:val="left"/>
            </w:pPr>
            <w:r>
              <w:rPr>
                <w:rFonts w:ascii="Calibri" w:cs="Calibri" w:eastAsia="Calibri" w:hAnsi="Calibri"/>
                <w:b/>
                <w:bCs/>
                <w:i w:val="false"/>
                <w:iCs w:val="false"/>
                <w:color w:val="1F5C66"/>
                <w:sz w:val="17"/>
                <w:szCs w:val="17"/>
              </w:rPr>
              <w:t xml:space="preserve">SI TE PREGUNTAN...</w:t>
            </w:r>
          </w:p>
          <w:p>
            <w:pPr>
              <w:spacing w:after="0" w:before="0" w:line="300"/>
              <w:jc w:val="left"/>
            </w:pPr>
            <w:r>
              <w:rPr>
                <w:rFonts w:ascii="Calibri" w:cs="Calibri" w:eastAsia="Calibri" w:hAnsi="Calibri"/>
                <w:b w:val="false"/>
                <w:bCs w:val="false"/>
                <w:i w:val="false"/>
                <w:iCs w:val="false"/>
                <w:sz w:val="22"/>
                <w:szCs w:val="22"/>
              </w:rPr>
              <w:t xml:space="preserve">¿Por qué no empezar directamente por el Gobierno Municipal, que tiene el mandato legal de prevención? Porque el ciclo de compra pública es demasiado lento para un equipo que necesita validar el modelo ahora — se prepara la relación desde ya, pero se vende ahí recién en el año 2 o 3.</w:t>
            </w:r>
          </w:p>
        </w:tc>
      </w:tr>
    </w:tbl>
    <w:p>
      <w:pPr>
        <w:spacing w:after="260"/>
      </w:pPr>
    </w:p>
    <w:tbl>
      <w:tblPr>
        <w:tblW w:type="dxa" w:w="10080"/>
        <w:tblBorders>
          <w:top w:val="none"/>
          <w:left w:val="none"/>
          <w:bottom w:val="single" w:color="1F5C66" w:sz="12"/>
          <w:right w:val="none"/>
          <w:insideH w:val="none"/>
          <w:insideV w:val="none"/>
        </w:tblBorders>
      </w:tblPr>
      <w:tblGrid>
        <w:gridCol w:w="700"/>
        <w:gridCol w:w="9380"/>
      </w:tblGrid>
      <w:tr>
        <w:tc>
          <w:tcPr>
            <w:tcW w:type="dxa" w:w="700"/>
            <w:shd w:fill="1F5C66" w:color="auto" w:val="clear"/>
            <w:tcMar>
              <w:top w:type="dxa" w:w="60"/>
              <w:left w:type="dxa" w:w="0"/>
              <w:bottom w:type="dxa" w:w="60"/>
              <w:right w:type="dxa" w:w="0"/>
            </w:tcMar>
          </w:tcPr>
          <w:p>
            <w:pPr>
              <w:spacing w:after="0"/>
              <w:jc w:val="center"/>
            </w:pPr>
            <w:r>
              <w:rPr>
                <w:rFonts w:ascii="Calibri" w:cs="Calibri" w:eastAsia="Calibri" w:hAnsi="Calibri"/>
                <w:b/>
                <w:bCs/>
                <w:color w:val="FFFFFF"/>
                <w:sz w:val="26"/>
                <w:szCs w:val="26"/>
              </w:rPr>
              <w:t xml:space="preserve">8</w:t>
            </w:r>
          </w:p>
        </w:tc>
        <w:tc>
          <w:tcPr>
            <w:tcW w:type="dxa" w:w="9380"/>
            <w:tcMar>
              <w:top w:type="dxa" w:w="60"/>
              <w:left w:type="dxa" w:w="160"/>
              <w:bottom w:type="dxa" w:w="60"/>
              <w:right w:type="dxa" w:w="0"/>
            </w:tcMar>
          </w:tcPr>
          <w:p>
            <w:pPr>
              <w:spacing w:after="0"/>
            </w:pPr>
            <w:r>
              <w:rPr>
                <w:rFonts w:ascii="Calibri" w:cs="Calibri" w:eastAsia="Calibri" w:hAnsi="Calibri"/>
                <w:b/>
                <w:bCs/>
                <w:color w:val="20282A"/>
                <w:sz w:val="26"/>
                <w:szCs w:val="26"/>
              </w:rPr>
              <w:t xml:space="preserve">ESTRUCTURA DE COSTOS</w:t>
            </w:r>
          </w:p>
        </w:tc>
      </w:tr>
    </w:tbl>
    <w:p>
      <w:pPr>
        <w:spacing w:after="40" w:before="140" w:line="300"/>
        <w:jc w:val="left"/>
      </w:pPr>
      <w:r>
        <w:rPr>
          <w:rFonts w:ascii="Calibri" w:cs="Calibri" w:eastAsia="Calibri" w:hAnsi="Calibri"/>
          <w:b/>
          <w:bCs/>
          <w:i w:val="false"/>
          <w:iCs w:val="false"/>
          <w:sz w:val="22"/>
          <w:szCs w:val="22"/>
        </w:rPr>
        <w:t xml:space="preserve">Qué hay ahí:</w:t>
      </w:r>
    </w:p>
    <w:p>
      <w:pPr>
        <w:spacing w:after="140" w:before="0" w:line="300"/>
        <w:jc w:val="left"/>
      </w:pPr>
      <w:r>
        <w:rPr>
          <w:rFonts w:ascii="Calibri" w:cs="Calibri" w:eastAsia="Calibri" w:hAnsi="Calibri"/>
          <w:b w:val="false"/>
          <w:bCs w:val="false"/>
          <w:i w:val="false"/>
          <w:iCs w:val="false"/>
          <w:sz w:val="22"/>
          <w:szCs w:val="22"/>
        </w:rPr>
        <w:t xml:space="preserve">Costos fijos (no cambian con el número de clientes) y variables (crecen con cada colegio nuevo), con el equipo fundador en Bs 0 durante el primer año.</w:t>
      </w:r>
    </w:p>
    <w:tbl>
      <w:tblPr>
        <w:tblW w:type="dxa" w:w="10080"/>
        <w:tblBorders>
          <w:top w:val="single" w:color="2E6B4C" w:sz="4"/>
          <w:left w:val="single" w:color="2E6B4C" w:sz="24"/>
          <w:bottom w:val="single" w:color="2E6B4C" w:sz="4"/>
          <w:right w:val="single" w:color="2E6B4C" w:sz="4"/>
          <w:insideH w:val="single" w:color="auto" w:sz="4"/>
          <w:insideV w:val="single" w:color="auto" w:sz="4"/>
        </w:tblBorders>
      </w:tblPr>
      <w:tblGrid>
        <w:gridCol w:w="10080"/>
      </w:tblGrid>
      <w:tr>
        <w:tc>
          <w:tcPr>
            <w:tcW w:type="dxa" w:w="10080"/>
            <w:shd w:fill="E1EEE6"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2E6B4C"/>
                <w:sz w:val="17"/>
                <w:szCs w:val="17"/>
              </w:rPr>
              <w:t xml:space="preserve">LA ESTRATEGIA</w:t>
            </w:r>
          </w:p>
          <w:p>
            <w:pPr>
              <w:spacing w:after="0" w:before="0" w:line="300"/>
              <w:jc w:val="left"/>
            </w:pPr>
            <w:r>
              <w:rPr>
                <w:rFonts w:ascii="Calibri" w:cs="Calibri" w:eastAsia="Calibri" w:hAnsi="Calibri"/>
                <w:b w:val="false"/>
                <w:bCs w:val="false"/>
                <w:i w:val="false"/>
                <w:iCs w:val="false"/>
                <w:sz w:val="22"/>
                <w:szCs w:val="22"/>
              </w:rPr>
              <w:t xml:space="preserve">El detalle completo — con cifras exactas y la comparación entre el modelo de precio descartado y el actual — está en la guía “Cómo defender el modelo”. La idea central para este bloque: Bs 0 para el equipo no es que nadie cobre porque no hay más remedio — es una decisión deliberada de reinvertir el 100 % del capital semilla en herramientas, lo legal básico y activación comercial, evitando la trampa en la que caen muchas startups nuevas: gastarse el capital semilla en sueldos y quedarse sin producto que mostrar.</w:t>
            </w:r>
          </w:p>
        </w:tc>
      </w:tr>
    </w:tbl>
    <w:p>
      <w:pPr>
        <w:spacing w:after="80"/>
      </w:pP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DCEEEF" w:color="auto" w:val="clear"/>
            <w:tcMar>
              <w:top w:type="dxa" w:w="120"/>
              <w:left w:type="dxa" w:w="200"/>
              <w:bottom w:type="dxa" w:w="120"/>
              <w:right w:type="dxa" w:w="200"/>
            </w:tcMar>
          </w:tcPr>
          <w:p>
            <w:pPr>
              <w:spacing w:after="40" w:before="0" w:line="300"/>
              <w:jc w:val="left"/>
            </w:pPr>
            <w:r>
              <w:rPr>
                <w:rFonts w:ascii="Calibri" w:cs="Calibri" w:eastAsia="Calibri" w:hAnsi="Calibri"/>
                <w:b/>
                <w:bCs/>
                <w:i w:val="false"/>
                <w:iCs w:val="false"/>
                <w:color w:val="1F5C66"/>
                <w:sz w:val="17"/>
                <w:szCs w:val="17"/>
              </w:rPr>
              <w:t xml:space="preserve">SI TE PREGUNTAN...</w:t>
            </w:r>
          </w:p>
          <w:p>
            <w:pPr>
              <w:spacing w:after="0" w:before="0" w:line="300"/>
              <w:jc w:val="left"/>
            </w:pPr>
            <w:r>
              <w:rPr>
                <w:rFonts w:ascii="Calibri" w:cs="Calibri" w:eastAsia="Calibri" w:hAnsi="Calibri"/>
                <w:b w:val="false"/>
                <w:bCs w:val="false"/>
                <w:i w:val="false"/>
                <w:iCs w:val="false"/>
                <w:sz w:val="22"/>
                <w:szCs w:val="22"/>
              </w:rPr>
              <w:t xml:space="preserve">Ver la guía “Cómo defender el modelo”, sección “Cuánto cuesta operar” — ahí están las cifras y el ejemplo completo.</w:t>
            </w:r>
          </w:p>
        </w:tc>
      </w:tr>
    </w:tbl>
    <w:p>
      <w:pPr>
        <w:spacing w:after="260"/>
      </w:pPr>
    </w:p>
    <w:tbl>
      <w:tblPr>
        <w:tblW w:type="dxa" w:w="10080"/>
        <w:tblBorders>
          <w:top w:val="none"/>
          <w:left w:val="none"/>
          <w:bottom w:val="single" w:color="1F5C66" w:sz="12"/>
          <w:right w:val="none"/>
          <w:insideH w:val="none"/>
          <w:insideV w:val="none"/>
        </w:tblBorders>
      </w:tblPr>
      <w:tblGrid>
        <w:gridCol w:w="700"/>
        <w:gridCol w:w="9380"/>
      </w:tblGrid>
      <w:tr>
        <w:tc>
          <w:tcPr>
            <w:tcW w:type="dxa" w:w="700"/>
            <w:shd w:fill="1F5C66" w:color="auto" w:val="clear"/>
            <w:tcMar>
              <w:top w:type="dxa" w:w="60"/>
              <w:left w:type="dxa" w:w="0"/>
              <w:bottom w:type="dxa" w:w="60"/>
              <w:right w:type="dxa" w:w="0"/>
            </w:tcMar>
          </w:tcPr>
          <w:p>
            <w:pPr>
              <w:spacing w:after="0"/>
              <w:jc w:val="center"/>
            </w:pPr>
            <w:r>
              <w:rPr>
                <w:rFonts w:ascii="Calibri" w:cs="Calibri" w:eastAsia="Calibri" w:hAnsi="Calibri"/>
                <w:b/>
                <w:bCs/>
                <w:color w:val="FFFFFF"/>
                <w:sz w:val="26"/>
                <w:szCs w:val="26"/>
              </w:rPr>
              <w:t xml:space="preserve">9</w:t>
            </w:r>
          </w:p>
        </w:tc>
        <w:tc>
          <w:tcPr>
            <w:tcW w:type="dxa" w:w="9380"/>
            <w:tcMar>
              <w:top w:type="dxa" w:w="60"/>
              <w:left w:type="dxa" w:w="160"/>
              <w:bottom w:type="dxa" w:w="60"/>
              <w:right w:type="dxa" w:w="0"/>
            </w:tcMar>
          </w:tcPr>
          <w:p>
            <w:pPr>
              <w:spacing w:after="0"/>
            </w:pPr>
            <w:r>
              <w:rPr>
                <w:rFonts w:ascii="Calibri" w:cs="Calibri" w:eastAsia="Calibri" w:hAnsi="Calibri"/>
                <w:b/>
                <w:bCs/>
                <w:color w:val="20282A"/>
                <w:sz w:val="26"/>
                <w:szCs w:val="26"/>
              </w:rPr>
              <w:t xml:space="preserve">FUENTES DE INGRESOS</w:t>
            </w:r>
          </w:p>
        </w:tc>
      </w:tr>
    </w:tbl>
    <w:p>
      <w:pPr>
        <w:spacing w:after="40" w:before="140" w:line="300"/>
        <w:jc w:val="left"/>
      </w:pPr>
      <w:r>
        <w:rPr>
          <w:rFonts w:ascii="Calibri" w:cs="Calibri" w:eastAsia="Calibri" w:hAnsi="Calibri"/>
          <w:b/>
          <w:bCs/>
          <w:i w:val="false"/>
          <w:iCs w:val="false"/>
          <w:sz w:val="22"/>
          <w:szCs w:val="22"/>
        </w:rPr>
        <w:t xml:space="preserve">Qué hay ahí:</w:t>
      </w:r>
    </w:p>
    <w:p>
      <w:pPr>
        <w:spacing w:after="140" w:before="0" w:line="300"/>
        <w:jc w:val="left"/>
      </w:pPr>
      <w:r>
        <w:rPr>
          <w:rFonts w:ascii="Calibri" w:cs="Calibri" w:eastAsia="Calibri" w:hAnsi="Calibri"/>
          <w:b w:val="false"/>
          <w:bCs w:val="false"/>
          <w:i w:val="false"/>
          <w:iCs w:val="false"/>
          <w:sz w:val="22"/>
          <w:szCs w:val="22"/>
        </w:rPr>
        <w:t xml:space="preserve">Licencia institucional anual por colegio completo (no por aula al mes), convenio de beca con ONG, capacitación y recertificación, patrocinio corporativo, y una suscripción premium a familias como visión a un año.</w:t>
      </w:r>
    </w:p>
    <w:tbl>
      <w:tblPr>
        <w:tblW w:type="dxa" w:w="10080"/>
        <w:tblBorders>
          <w:top w:val="single" w:color="2E6B4C" w:sz="4"/>
          <w:left w:val="single" w:color="2E6B4C" w:sz="24"/>
          <w:bottom w:val="single" w:color="2E6B4C" w:sz="4"/>
          <w:right w:val="single" w:color="2E6B4C" w:sz="4"/>
          <w:insideH w:val="single" w:color="auto" w:sz="4"/>
          <w:insideV w:val="single" w:color="auto" w:sz="4"/>
        </w:tblBorders>
      </w:tblPr>
      <w:tblGrid>
        <w:gridCol w:w="10080"/>
      </w:tblGrid>
      <w:tr>
        <w:tc>
          <w:tcPr>
            <w:tcW w:type="dxa" w:w="10080"/>
            <w:shd w:fill="E1EEE6" w:color="auto" w:val="clear"/>
            <w:tcMar>
              <w:top w:type="dxa" w:w="140"/>
              <w:left w:type="dxa" w:w="200"/>
              <w:bottom w:type="dxa" w:w="140"/>
              <w:right w:type="dxa" w:w="200"/>
            </w:tcMar>
          </w:tcPr>
          <w:p>
            <w:pPr>
              <w:spacing w:after="60" w:before="0" w:line="300"/>
              <w:jc w:val="left"/>
            </w:pPr>
            <w:r>
              <w:rPr>
                <w:rFonts w:ascii="Calibri" w:cs="Calibri" w:eastAsia="Calibri" w:hAnsi="Calibri"/>
                <w:b/>
                <w:bCs/>
                <w:i w:val="false"/>
                <w:iCs w:val="false"/>
                <w:color w:val="2E6B4C"/>
                <w:sz w:val="17"/>
                <w:szCs w:val="17"/>
              </w:rPr>
              <w:t xml:space="preserve">LA ESTRATEGIA</w:t>
            </w:r>
          </w:p>
          <w:p>
            <w:pPr>
              <w:spacing w:after="0" w:before="0" w:line="300"/>
              <w:jc w:val="left"/>
            </w:pPr>
            <w:r>
              <w:rPr>
                <w:rFonts w:ascii="Calibri" w:cs="Calibri" w:eastAsia="Calibri" w:hAnsi="Calibri"/>
                <w:b w:val="false"/>
                <w:bCs w:val="false"/>
                <w:i w:val="false"/>
                <w:iCs w:val="false"/>
                <w:sz w:val="22"/>
                <w:szCs w:val="22"/>
              </w:rPr>
              <w:t xml:space="preserve">El detalle completo — incluida la historia de por qué se descartó el precio por aula al mes (443 aulas necesarias) a favor del precio por colegio completo (2-3 colegios para el punto de equilibrio) — está en la guía “Cómo defender el modelo”, sección “La decisión clave”. Es, probablemente, la parte del Canvas que más le interese a un jurado con criterio de negocio, así que conviene tenerla fresca antes de entrar.</w:t>
            </w:r>
          </w:p>
        </w:tc>
      </w:tr>
    </w:tbl>
    <w:p>
      <w:pPr>
        <w:spacing w:after="80"/>
      </w:pPr>
    </w:p>
    <w:tbl>
      <w:tblPr>
        <w:tblW w:type="dxa" w:w="10080"/>
        <w:tblBorders>
          <w:top w:val="single" w:color="1F5C66" w:sz="4"/>
          <w:left w:val="single" w:color="1F5C66" w:sz="24"/>
          <w:bottom w:val="single" w:color="1F5C66" w:sz="4"/>
          <w:right w:val="single" w:color="1F5C66" w:sz="4"/>
          <w:insideH w:val="single" w:color="auto" w:sz="4"/>
          <w:insideV w:val="single" w:color="auto" w:sz="4"/>
        </w:tblBorders>
      </w:tblPr>
      <w:tblGrid>
        <w:gridCol w:w="10080"/>
      </w:tblGrid>
      <w:tr>
        <w:tc>
          <w:tcPr>
            <w:tcW w:type="dxa" w:w="10080"/>
            <w:shd w:fill="DCEEEF" w:color="auto" w:val="clear"/>
            <w:tcMar>
              <w:top w:type="dxa" w:w="120"/>
              <w:left w:type="dxa" w:w="200"/>
              <w:bottom w:type="dxa" w:w="120"/>
              <w:right w:type="dxa" w:w="200"/>
            </w:tcMar>
          </w:tcPr>
          <w:p>
            <w:pPr>
              <w:spacing w:after="40" w:before="0" w:line="300"/>
              <w:jc w:val="left"/>
            </w:pPr>
            <w:r>
              <w:rPr>
                <w:rFonts w:ascii="Calibri" w:cs="Calibri" w:eastAsia="Calibri" w:hAnsi="Calibri"/>
                <w:b/>
                <w:bCs/>
                <w:i w:val="false"/>
                <w:iCs w:val="false"/>
                <w:color w:val="1F5C66"/>
                <w:sz w:val="17"/>
                <w:szCs w:val="17"/>
              </w:rPr>
              <w:t xml:space="preserve">SI TE PREGUNTAN...</w:t>
            </w:r>
          </w:p>
          <w:p>
            <w:pPr>
              <w:spacing w:after="0" w:before="0" w:line="300"/>
              <w:jc w:val="left"/>
            </w:pPr>
            <w:r>
              <w:rPr>
                <w:rFonts w:ascii="Calibri" w:cs="Calibri" w:eastAsia="Calibri" w:hAnsi="Calibri"/>
                <w:b w:val="false"/>
                <w:bCs w:val="false"/>
                <w:i w:val="false"/>
                <w:iCs w:val="false"/>
                <w:sz w:val="22"/>
                <w:szCs w:val="22"/>
              </w:rPr>
              <w:t xml:space="preserve">Ver la guía “Cómo defender el modelo”, sección “La decisión clave: vender el colegio completo, no el aula” — ahí está el ejemplo completo con números.</w:t>
            </w:r>
          </w:p>
        </w:tc>
      </w:tr>
    </w:tbl>
    <w:p>
      <w:pPr>
        <w:spacing w:after="260"/>
      </w:pPr>
    </w:p>
    <w:p>
      <w:pPr>
        <w:spacing w:after="140" w:before="100" w:line="300"/>
        <w:jc w:val="left"/>
      </w:pPr>
      <w:r>
        <w:rPr>
          <w:rFonts w:ascii="Calibri" w:cs="Calibri" w:eastAsia="Calibri" w:hAnsi="Calibri"/>
          <w:b w:val="false"/>
          <w:bCs w:val="false"/>
          <w:i/>
          <w:iCs/>
          <w:color w:val="666666"/>
          <w:sz w:val="18"/>
          <w:szCs w:val="18"/>
        </w:rPr>
        <w:t xml:space="preserve">Guía complementaria a “Cómo defender el modelo” y al documento formal “Modelo de Negocio — La Isla de los Acuerdos” (HACKBIZ UAGRM 2026). Si algo cambia en el documento formal, hay que revisar que este siga contando la misma historia.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00"/>
      <w:outlineLvl w:val="0"/>
    </w:pPr>
    <w:rPr>
      <w:rFonts w:ascii="Calibri" w:cs="Calibri" w:eastAsia="Calibri" w:hAnsi="Calibri"/>
      <w:b/>
      <w:bCs/>
      <w:sz w:val="22"/>
      <w:szCs w:val="2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 qué cada bloque es así</dc:title>
  <dc:creator>YAIS-RED</dc:creator>
  <dc:description>El porqué estratégico detrás de cada bloque del Canvas, para defenderlo bloque por bloque</dc:description>
  <cp:lastModifiedBy>Un-named</cp:lastModifiedBy>
  <cp:revision>1</cp:revision>
  <dcterms:created xsi:type="dcterms:W3CDTF">2026-09-17T22:22:11.619Z</dcterms:created>
  <dcterms:modified xsi:type="dcterms:W3CDTF">2026-09-17T22:22:11.621Z</dcterms:modified>
</cp:coreProperties>
</file>

<file path=docProps/custom.xml><?xml version="1.0" encoding="utf-8"?>
<Properties xmlns="http://schemas.openxmlformats.org/officeDocument/2006/custom-properties" xmlns:vt="http://schemas.openxmlformats.org/officeDocument/2006/docPropsVTypes"/>
</file>