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Calibri" w:cs="Calibri" w:eastAsia="Calibri" w:hAnsi="Calibri"/>
          <w:b/>
          <w:bCs/>
          <w:i w:val="false"/>
          <w:iCs w:val="false"/>
          <w:color w:val="1F5C66"/>
          <w:sz w:val="20"/>
          <w:szCs w:val="20"/>
        </w:rPr>
        <w:t xml:space="preserve">YAIS RED · LA ISLA DE LOS ACUERDOS</w:t>
      </w:r>
    </w:p>
    <w:p>
      <w:pPr>
        <w:spacing w:after="100" w:before="40" w:line="300"/>
        <w:jc w:val="center"/>
      </w:pPr>
      <w:r>
        <w:rPr>
          <w:rFonts w:ascii="Calibri" w:cs="Calibri" w:eastAsia="Calibri" w:hAnsi="Calibri"/>
          <w:b/>
          <w:bCs/>
          <w:i w:val="false"/>
          <w:iCs w:val="false"/>
          <w:sz w:val="40"/>
          <w:szCs w:val="40"/>
        </w:rPr>
        <w:t xml:space="preserve">Cómo defender el modelo de negocio</w:t>
      </w:r>
    </w:p>
    <w:p>
      <w:pPr>
        <w:spacing w:after="260" w:before="0" w:line="300"/>
        <w:jc w:val="center"/>
      </w:pPr>
      <w:r>
        <w:rPr>
          <w:rFonts w:ascii="Calibri" w:cs="Calibri" w:eastAsia="Calibri" w:hAnsi="Calibri"/>
          <w:b w:val="false"/>
          <w:bCs w:val="false"/>
          <w:i/>
          <w:iCs/>
          <w:color w:val="595959"/>
          <w:sz w:val="20"/>
          <w:szCs w:val="20"/>
        </w:rPr>
        <w:t xml:space="preserve">Guía de estudio interna del equipo — no es el documento formal para el jurado</w:t>
      </w:r>
    </w:p>
    <w:p>
      <w:pPr>
        <w:spacing w:after="140" w:before="0" w:line="300"/>
        <w:jc w:val="center"/>
      </w:pPr>
      <w:r>
        <w:rPr>
          <w:rFonts w:ascii="Calibri" w:cs="Calibri" w:eastAsia="Calibri" w:hAnsi="Calibri"/>
          <w:b w:val="false"/>
          <w:bCs w:val="false"/>
          <w:i w:val="false"/>
          <w:iCs w:val="false"/>
          <w:color w:val="444444"/>
          <w:sz w:val="20"/>
          <w:szCs w:val="20"/>
        </w:rPr>
        <w:t xml:space="preserve">No es el documento formal que va al jurado: es para que Gabriel, Diego, Arianna y Mauricio se apropien del modelo antes de defenderlo. Explica el porqué detrás de cada número, con ejemplos, y las preguntas incómodas que probablemente les van a hacer.</w:t>
      </w:r>
    </w:p>
    <w:p>
      <w:pPr>
        <w:spacing w:after="200"/>
      </w:pPr>
    </w:p>
    <w:p>
      <w:pPr>
        <w:spacing w:after="140" w:before="0" w:line="300"/>
        <w:jc w:val="center"/>
      </w:pPr>
      <w:r>
        <w:rPr>
          <w:rFonts w:ascii="Calibri" w:cs="Calibri" w:eastAsia="Calibri" w:hAnsi="Calibri"/>
          <w:b/>
          <w:bCs/>
          <w:i w:val="false"/>
          <w:iCs w:val="false"/>
          <w:sz w:val="20"/>
          <w:szCs w:val="20"/>
        </w:rPr>
        <w:t xml:space="preserve">Cómo usar esto: léanlo completo una vez antes del pitch. La noche anterior, repasen solo la sección “Preguntas difíciles” — es la que de verdad se juega en vivo, frente al jurado.</w:t>
      </w:r>
    </w:p>
    <w:p>
      <w:r>
        <w:br w:type="page"/>
      </w:r>
    </w:p>
    <w:p>
      <w:pPr>
        <w:pStyle w:val="Heading1"/>
        <w:spacing w:after="160" w:before="320" w:line="300"/>
      </w:pPr>
      <w:r>
        <w:t xml:space="preserve">1. El pitch en 60 segundos</w:t>
      </w:r>
    </w:p>
    <w:p>
      <w:pPr>
        <w:spacing w:after="140" w:before="0" w:line="300"/>
        <w:jc w:val="left"/>
      </w:pPr>
      <w:r>
        <w:rPr>
          <w:rFonts w:ascii="Calibri" w:cs="Calibri" w:eastAsia="Calibri" w:hAnsi="Calibri"/>
          <w:b w:val="false"/>
          <w:bCs w:val="false"/>
          <w:i w:val="false"/>
          <w:iCs w:val="false"/>
          <w:sz w:val="22"/>
          <w:szCs w:val="22"/>
        </w:rPr>
        <w:t xml:space="preserve">Esto es lo que cualquiera de los cuatro debería poder decir de memoria, sin leer.</w:t>
      </w: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F2F1EA" w:color="auto" w:val="clear"/>
            <w:tcMar>
              <w:top w:type="dxa" w:w="180"/>
              <w:left w:type="dxa" w:w="220"/>
              <w:bottom w:type="dxa" w:w="180"/>
              <w:right w:type="dxa" w:w="220"/>
            </w:tcMar>
          </w:tcPr>
          <w:p>
            <w:pPr>
              <w:spacing w:line="320"/>
            </w:pPr>
            <w:r>
              <w:rPr>
                <w:rFonts w:ascii="Calibri" w:cs="Calibri" w:eastAsia="Calibri" w:hAnsi="Calibri"/>
                <w:i/>
                <w:iCs/>
                <w:sz w:val="22"/>
                <w:szCs w:val="22"/>
              </w:rPr>
              <w:t xml:space="preserve">“En 2025, Bolivia registró 2.313 denuncias de violación de niñas, niños y adolescentes — y en 9 de cada 10 casos, el agresor es alguien conocido, muchas veces del entorno familiar. La Isla de los Acuerdos es una experiencia web 3D donde niños de 6 a 12 años practican, jugando, a reconocer sus límites y a pedir ayuda a un adulto de confianza. Se lo vendemos al colegio completo, no al niño: una licencia anual que incluye capacitación docente y protocolo de derivación. Con solo 2 o 3 colegios ya cubrimos nuestros costos de operar; con 17 colegios en el primer año, más una suscripción opcional para familias, empezamos a poder pagarle a nuestra psicóloga y a parte del equipo técnico.”</w:t>
            </w:r>
          </w:p>
        </w:tc>
      </w:tr>
    </w:tbl>
    <w:p>
      <w:pPr>
        <w:spacing w:after="200"/>
      </w:pPr>
    </w:p>
    <w:p>
      <w:pPr>
        <w:pStyle w:val="Heading1"/>
        <w:spacing w:after="160" w:before="320" w:line="300"/>
      </w:pPr>
      <w:r>
        <w:t xml:space="preserve">2. El problema, en números que se entienden rápido</w:t>
      </w:r>
    </w:p>
    <w:tbl>
      <w:tblPr>
        <w:tblW w:type="dxa" w:w="10080"/>
        <w:tblBorders>
          <w:top w:val="single" w:color="999999" w:sz="4"/>
          <w:left w:val="single" w:color="999999" w:sz="4"/>
          <w:bottom w:val="single" w:color="999999" w:sz="4"/>
          <w:right w:val="single" w:color="999999" w:sz="4"/>
          <w:insideH w:val="single" w:color="CCCCCC" w:sz="2"/>
          <w:insideV w:val="single" w:color="CCCCCC" w:sz="2"/>
        </w:tblBorders>
      </w:tblPr>
      <w:tblGrid>
        <w:gridCol w:w="3360"/>
        <w:gridCol w:w="3360"/>
        <w:gridCol w:w="3360"/>
      </w:tblGrid>
      <w:tr>
        <w:tc>
          <w:tcPr>
            <w:tcW w:type="dxa" w:w="3360"/>
            <w:tcMar>
              <w:top w:type="dxa" w:w="60"/>
              <w:left w:type="dxa" w:w="90"/>
              <w:bottom w:type="dxa" w:w="60"/>
              <w:right w:type="dxa" w:w="90"/>
            </w:tcMar>
          </w:tcPr>
          <w:p>
            <w:pPr>
              <w:spacing w:after="0" w:line="260"/>
              <w:jc w:val="left"/>
            </w:pPr>
            <w:r>
              <w:rPr>
                <w:rFonts w:ascii="Calibri" w:cs="Calibri" w:eastAsia="Calibri" w:hAnsi="Calibri"/>
                <w:b/>
                <w:bCs/>
                <w:sz w:val="20"/>
                <w:szCs w:val="20"/>
              </w:rPr>
              <w:t xml:space="preserve">2.313</w:t>
            </w:r>
          </w:p>
        </w:tc>
        <w:tc>
          <w:tcPr>
            <w:tcW w:type="dxa" w:w="3360"/>
            <w:tcMar>
              <w:top w:type="dxa" w:w="60"/>
              <w:left w:type="dxa" w:w="90"/>
              <w:bottom w:type="dxa" w:w="60"/>
              <w:right w:type="dxa" w:w="90"/>
            </w:tcMar>
          </w:tcPr>
          <w:p>
            <w:pPr>
              <w:spacing w:after="0" w:line="260"/>
              <w:jc w:val="right"/>
            </w:pPr>
            <w:r>
              <w:rPr>
                <w:rFonts w:ascii="Calibri" w:cs="Calibri" w:eastAsia="Calibri" w:hAnsi="Calibri"/>
                <w:b/>
                <w:bCs/>
                <w:sz w:val="20"/>
                <w:szCs w:val="20"/>
              </w:rPr>
              <w:t xml:space="preserve">85 – 93 %</w:t>
            </w:r>
          </w:p>
        </w:tc>
        <w:tc>
          <w:tcPr>
            <w:tcW w:type="dxa" w:w="3360"/>
            <w:tcMar>
              <w:top w:type="dxa" w:w="60"/>
              <w:left w:type="dxa" w:w="90"/>
              <w:bottom w:type="dxa" w:w="60"/>
              <w:right w:type="dxa" w:w="90"/>
            </w:tcMar>
          </w:tcPr>
          <w:p>
            <w:pPr>
              <w:spacing w:after="0" w:line="260"/>
              <w:jc w:val="right"/>
            </w:pPr>
            <w:r>
              <w:rPr>
                <w:rFonts w:ascii="Calibri" w:cs="Calibri" w:eastAsia="Calibri" w:hAnsi="Calibri"/>
                <w:b/>
                <w:bCs/>
                <w:sz w:val="20"/>
                <w:szCs w:val="20"/>
              </w:rPr>
              <w:t xml:space="preserve">1.800</w:t>
            </w:r>
          </w:p>
        </w:tc>
      </w:tr>
      <w:tr>
        <w:tc>
          <w:tcPr>
            <w:tcW w:type="dxa" w:w="336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denuncias de violación de NNA en Bolivia, 2025</w:t>
            </w:r>
          </w:p>
        </w:tc>
        <w:tc>
          <w:tcPr>
            <w:tcW w:type="dxa" w:w="336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de los casos, el agresor es alguien conocido</w:t>
            </w:r>
          </w:p>
        </w:tc>
        <w:tc>
          <w:tcPr>
            <w:tcW w:type="dxa" w:w="336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aulas de primaria privadas, solo en Santa Cruz</w:t>
            </w:r>
          </w:p>
        </w:tc>
      </w:tr>
    </w:tbl>
    <w:p>
      <w:pPr>
        <w:spacing w:after="140" w:before="160" w:line="300"/>
        <w:jc w:val="left"/>
      </w:pPr>
      <w:r>
        <w:rPr>
          <w:rFonts w:ascii="Calibri" w:cs="Calibri" w:eastAsia="Calibri" w:hAnsi="Calibri"/>
          <w:b w:val="false"/>
          <w:bCs w:val="false"/>
          <w:i w:val="false"/>
          <w:iCs w:val="false"/>
          <w:sz w:val="22"/>
          <w:szCs w:val="22"/>
        </w:rPr>
        <w:t xml:space="preserve">El dato del 85-93 % es el que más pesa en la conversación: si el peligro casi nunca es un desconocido, un programa que solo enseña “cuidado con los extraños” está apuntando al lugar equivocado. Por eso el juego practica reconocer conductas, no personas — y por eso la red de confianza que enseñamos incluye explícitamente a la escuela y la comunidad, no solo a la familia.</w:t>
      </w:r>
    </w:p>
    <w:p>
      <w:pPr>
        <w:pStyle w:val="Heading1"/>
        <w:spacing w:after="160" w:before="320" w:line="300"/>
      </w:pPr>
      <w:r>
        <w:t xml:space="preserve">3. La decisión clave: vender el colegio completo, no el aula</w:t>
      </w:r>
    </w:p>
    <w:p>
      <w:pPr>
        <w:spacing w:after="140" w:before="0" w:line="300"/>
        <w:jc w:val="left"/>
      </w:pPr>
      <w:r>
        <w:rPr>
          <w:rFonts w:ascii="Calibri" w:cs="Calibri" w:eastAsia="Calibri" w:hAnsi="Calibri"/>
          <w:b w:val="false"/>
          <w:bCs w:val="false"/>
          <w:i w:val="false"/>
          <w:iCs w:val="false"/>
          <w:sz w:val="22"/>
          <w:szCs w:val="22"/>
        </w:rPr>
        <w:t xml:space="preserve">Si alguien del jurado entiende de negocios, esta es la parte que más les va a interesar — y la que mejor cuenta una historia de criterio, porque empezamos con el modelo equivocado y lo corregimos con números, no con intuición.</w:t>
      </w:r>
    </w:p>
    <w:p>
      <w:pPr>
        <w:spacing w:after="140" w:before="0" w:line="300"/>
        <w:jc w:val="left"/>
      </w:pPr>
      <w:r>
        <w:rPr>
          <w:rFonts w:ascii="Calibri" w:cs="Calibri" w:eastAsia="Calibri" w:hAnsi="Calibri"/>
          <w:b w:val="false"/>
          <w:bCs w:val="false"/>
          <w:i w:val="false"/>
          <w:iCs w:val="false"/>
          <w:sz w:val="22"/>
          <w:szCs w:val="22"/>
        </w:rPr>
        <w:t xml:space="preserve">Al principio pensamos en cobrar por aula, al mes, como una suscripción tipo Netflix: US$ 9,99. Sonaba barato y fácil de aceptar. El problema apareció cuando hicimos la cuenta de cuántas aulas se necesitarían para algún día pagarle un sueldo real a los cuatro:</w:t>
      </w:r>
    </w:p>
    <w:tbl>
      <w:tblPr>
        <w:tblW w:type="dxa" w:w="10080"/>
        <w:tblBorders>
          <w:top w:val="single" w:color="999999" w:sz="4"/>
          <w:left w:val="single" w:color="999999" w:sz="4"/>
          <w:bottom w:val="single" w:color="999999" w:sz="4"/>
          <w:right w:val="single" w:color="999999" w:sz="4"/>
          <w:insideH w:val="single" w:color="CCCCCC" w:sz="2"/>
          <w:insideV w:val="single" w:color="CCCCCC" w:sz="2"/>
        </w:tblBorders>
      </w:tblPr>
      <w:tblGrid>
        <w:gridCol w:w="5040"/>
        <w:gridCol w:w="5040"/>
      </w:tblGrid>
      <w:tr>
        <w:trPr>
          <w:tblHeader/>
        </w:trPr>
        <w:tc>
          <w:tcPr>
            <w:tcW w:type="dxa" w:w="5040"/>
            <w:shd w:fill="9A5B1E" w:color="auto" w:val="clear"/>
            <w:tcMar>
              <w:top w:type="dxa" w:w="60"/>
              <w:left w:type="dxa" w:w="90"/>
              <w:bottom w:type="dxa" w:w="60"/>
              <w:right w:type="dxa" w:w="90"/>
            </w:tcMar>
          </w:tcPr>
          <w:p>
            <w:pPr>
              <w:spacing w:after="0" w:line="260"/>
              <w:jc w:val="center"/>
            </w:pPr>
            <w:r>
              <w:rPr>
                <w:rFonts w:ascii="Calibri" w:cs="Calibri" w:eastAsia="Calibri" w:hAnsi="Calibri"/>
                <w:b/>
                <w:bCs/>
                <w:color w:val="FFFFFF"/>
                <w:sz w:val="20"/>
                <w:szCs w:val="20"/>
              </w:rPr>
              <w:t xml:space="preserve">Modelo descartado — por aula al mes</w:t>
            </w:r>
          </w:p>
        </w:tc>
        <w:tc>
          <w:tcPr>
            <w:tcW w:type="dxa" w:w="5040"/>
            <w:shd w:fill="9A5B1E" w:color="auto" w:val="clear"/>
            <w:tcMar>
              <w:top w:type="dxa" w:w="60"/>
              <w:left w:type="dxa" w:w="90"/>
              <w:bottom w:type="dxa" w:w="60"/>
              <w:right w:type="dxa" w:w="90"/>
            </w:tcMar>
          </w:tcPr>
          <w:p>
            <w:pPr>
              <w:spacing w:after="0" w:line="260"/>
              <w:jc w:val="center"/>
            </w:pPr>
            <w:r>
              <w:rPr>
                <w:rFonts w:ascii="Calibri" w:cs="Calibri" w:eastAsia="Calibri" w:hAnsi="Calibri"/>
                <w:b/>
                <w:bCs/>
                <w:color w:val="FFFFFF"/>
                <w:sz w:val="20"/>
                <w:szCs w:val="20"/>
              </w:rPr>
              <w:t xml:space="preserve">Modelo actual — colegio completo al año</w:t>
            </w:r>
          </w:p>
        </w:tc>
      </w:tr>
      <w:tr>
        <w:tc>
          <w:tcPr>
            <w:tcW w:type="dxa" w:w="5040"/>
            <w:shd w:fill="F5E6D3" w:color="auto" w:val="clear"/>
            <w:tcMar>
              <w:top w:type="dxa" w:w="60"/>
              <w:left w:type="dxa" w:w="90"/>
              <w:bottom w:type="dxa" w:w="60"/>
              <w:right w:type="dxa" w:w="90"/>
            </w:tcMar>
          </w:tcPr>
          <w:p>
            <w:pPr>
              <w:spacing w:after="0" w:line="260"/>
              <w:jc w:val="center"/>
            </w:pPr>
            <w:r>
              <w:rPr>
                <w:rFonts w:ascii="Calibri" w:cs="Calibri" w:eastAsia="Calibri" w:hAnsi="Calibri"/>
                <w:b/>
                <w:bCs/>
                <w:color w:val="9A5B1E"/>
                <w:sz w:val="26"/>
                <w:szCs w:val="26"/>
              </w:rPr>
              <w:t xml:space="preserve">443 aulas</w:t>
            </w:r>
          </w:p>
        </w:tc>
        <w:tc>
          <w:tcPr>
            <w:tcW w:type="dxa" w:w="5040"/>
            <w:shd w:fill="E1EEE6" w:color="auto" w:val="clear"/>
            <w:tcMar>
              <w:top w:type="dxa" w:w="60"/>
              <w:left w:type="dxa" w:w="90"/>
              <w:bottom w:type="dxa" w:w="60"/>
              <w:right w:type="dxa" w:w="90"/>
            </w:tcMar>
          </w:tcPr>
          <w:p>
            <w:pPr>
              <w:spacing w:after="0" w:line="260"/>
              <w:jc w:val="center"/>
            </w:pPr>
            <w:r>
              <w:rPr>
                <w:rFonts w:ascii="Calibri" w:cs="Calibri" w:eastAsia="Calibri" w:hAnsi="Calibri"/>
                <w:b/>
                <w:bCs/>
                <w:color w:val="2E6B4C"/>
                <w:sz w:val="26"/>
                <w:szCs w:val="26"/>
              </w:rPr>
              <w:t xml:space="preserve">2 – 3 colegios</w:t>
            </w:r>
          </w:p>
        </w:tc>
      </w:tr>
      <w:tr>
        <w:tc>
          <w:tcPr>
            <w:tcW w:type="dxa" w:w="504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Para pagar sueldo de mercado a los 4, a tiempo completo. Eso es el 25 % de todas las aulas privadas de Santa Cruz. Negociar aula por aula, además, exige repetir la conversación comercial muchas veces.</w:t>
            </w:r>
          </w:p>
        </w:tc>
        <w:tc>
          <w:tcPr>
            <w:tcW w:type="dxa" w:w="504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Para cubrir los costos de operar (no sueldos todavía). Una sola conversación con la dirección cierra las 8 aulas de ese colegio de una vez.</w:t>
            </w:r>
          </w:p>
        </w:tc>
      </w:tr>
    </w:tbl>
    <w:p>
      <w:pPr>
        <w:spacing w:after="180" w:before="60" w:line="240"/>
      </w:pPr>
      <w:r>
        <w:rPr>
          <w:rFonts w:ascii="Calibri" w:cs="Calibri" w:eastAsia="Calibri" w:hAnsi="Calibri"/>
          <w:i/>
          <w:iCs/>
          <w:color w:val="595959"/>
          <w:sz w:val="17"/>
          <w:szCs w:val="17"/>
        </w:rPr>
        <w:t xml:space="preserve">Comparación del modelo de precio descartado frente al modelo actual.</w:t>
      </w:r>
    </w:p>
    <w:p>
      <w:pPr>
        <w:spacing w:after="60" w:before="160" w:line="300"/>
        <w:jc w:val="left"/>
      </w:pPr>
      <w:r>
        <w:rPr>
          <w:rFonts w:ascii="Calibri" w:cs="Calibri" w:eastAsia="Calibri" w:hAnsi="Calibri"/>
          <w:b/>
          <w:bCs/>
          <w:i w:val="false"/>
          <w:iCs w:val="false"/>
          <w:sz w:val="22"/>
          <w:szCs w:val="22"/>
        </w:rPr>
        <w:t xml:space="preserve">Ejemplo para explicarlo en el pitch:</w:t>
      </w:r>
    </w:p>
    <w:p>
      <w:pPr>
        <w:spacing w:after="140" w:before="0" w:line="300"/>
        <w:jc w:val="left"/>
      </w:pPr>
      <w:r>
        <w:rPr>
          <w:rFonts w:ascii="Calibri" w:cs="Calibri" w:eastAsia="Calibri" w:hAnsi="Calibri"/>
          <w:b w:val="false"/>
          <w:bCs w:val="false"/>
          <w:i w:val="false"/>
          <w:iCs w:val="false"/>
          <w:sz w:val="22"/>
          <w:szCs w:val="22"/>
        </w:rPr>
        <w:t xml:space="preserve">Un colegio con 8 aulas de primaria paga US$ 850 al año (Bs 8.500) y cubre a todas ellas — director, coordinación y nosotros firmamos un solo acuerdo. Bajo el modelo viejo, esas mismas 8 aulas a US$ 9,99/mes habrían sumado US$ 959 al año — un precio total parecido, pero repartido en 8 decisiones de compra en vez de una. Vender por colegio no necesariamente cobra menos: hace que cerrar la venta cueste una fracción del esfuerzo comercial.</w:t>
      </w:r>
    </w:p>
    <w:p>
      <w:pPr>
        <w:spacing w:after="140" w:before="0" w:line="300"/>
        <w:jc w:val="left"/>
      </w:pPr>
      <w:r>
        <w:rPr>
          <w:rFonts w:ascii="Calibri" w:cs="Calibri" w:eastAsia="Calibri" w:hAnsi="Calibri"/>
          <w:b w:val="false"/>
          <w:bCs w:val="false"/>
          <w:i/>
          <w:iCs/>
          <w:sz w:val="22"/>
          <w:szCs w:val="22"/>
        </w:rPr>
        <w:t xml:space="preserve">Por qué importa contarlo así y no solo mostrar el número final: un jurado que vea “US$ 850 por colegio” sin explicación va a preguntar por qué no es más barato o más caro. Si cuentan que llegaron ahí corrigiendo un error de diseño anterior, con la aritmética que lo prueba, la respuesta ya no suena a que inventaron un precio — suena a que hicieron la tarea.</w:t>
      </w:r>
    </w:p>
    <w:p>
      <w:pPr>
        <w:pStyle w:val="Heading1"/>
        <w:spacing w:after="160" w:before="320" w:line="300"/>
      </w:pPr>
      <w:r>
        <w:t xml:space="preserve">4. Cómo entra el dinero</w:t>
      </w:r>
    </w:p>
    <w:p>
      <w:pPr>
        <w:spacing w:after="140" w:before="0" w:line="300"/>
        <w:jc w:val="left"/>
      </w:pPr>
      <w:r>
        <w:rPr>
          <w:rFonts w:ascii="Calibri" w:cs="Calibri" w:eastAsia="Calibri" w:hAnsi="Calibri"/>
          <w:b w:val="false"/>
          <w:bCs w:val="false"/>
          <w:i w:val="false"/>
          <w:iCs w:val="false"/>
          <w:sz w:val="22"/>
          <w:szCs w:val="22"/>
        </w:rPr>
        <w:t xml:space="preserve">Hay dos motores, y es importante no mezclarlos cuando expliquen esto: uno le vende a la institución, el otro le vende a la familia. Nunca cobran lo mismo por lo mismo.</w:t>
      </w:r>
    </w:p>
    <w:tbl>
      <w:tblPr>
        <w:tblW w:type="dxa" w:w="10080"/>
        <w:tblBorders>
          <w:top w:val="single" w:color="999999" w:sz="4"/>
          <w:left w:val="single" w:color="999999" w:sz="4"/>
          <w:bottom w:val="single" w:color="999999" w:sz="4"/>
          <w:right w:val="single" w:color="999999" w:sz="4"/>
          <w:insideH w:val="single" w:color="CCCCCC" w:sz="2"/>
          <w:insideV w:val="single" w:color="CCCCCC" w:sz="2"/>
        </w:tblBorders>
      </w:tblPr>
      <w:tblGrid>
        <w:gridCol w:w="2600"/>
        <w:gridCol w:w="4680"/>
        <w:gridCol w:w="2800"/>
      </w:tblGrid>
      <w:tr>
        <w:trPr>
          <w:tblHeader/>
        </w:trPr>
        <w:tc>
          <w:tcPr>
            <w:tcW w:type="dxa" w:w="2600"/>
            <w:shd w:fill="1F5C66" w:color="auto" w:val="clear"/>
            <w:tcMar>
              <w:top w:type="dxa" w:w="60"/>
              <w:left w:type="dxa" w:w="90"/>
              <w:bottom w:type="dxa" w:w="60"/>
              <w:right w:type="dxa" w:w="90"/>
            </w:tcMar>
          </w:tcPr>
          <w:p>
            <w:pPr>
              <w:spacing w:after="0" w:line="260"/>
              <w:jc w:val="center"/>
            </w:pPr>
            <w:r>
              <w:rPr>
                <w:rFonts w:ascii="Calibri" w:cs="Calibri" w:eastAsia="Calibri" w:hAnsi="Calibri"/>
                <w:b/>
                <w:bCs/>
                <w:color w:val="FFFFFF"/>
                <w:sz w:val="20"/>
                <w:szCs w:val="20"/>
              </w:rPr>
              <w:t xml:space="preserve">Quién paga</w:t>
            </w:r>
          </w:p>
        </w:tc>
        <w:tc>
          <w:tcPr>
            <w:tcW w:type="dxa" w:w="4680"/>
            <w:shd w:fill="1F5C66" w:color="auto" w:val="clear"/>
            <w:tcMar>
              <w:top w:type="dxa" w:w="60"/>
              <w:left w:type="dxa" w:w="90"/>
              <w:bottom w:type="dxa" w:w="60"/>
              <w:right w:type="dxa" w:w="90"/>
            </w:tcMar>
          </w:tcPr>
          <w:p>
            <w:pPr>
              <w:spacing w:after="0" w:line="260"/>
              <w:jc w:val="center"/>
            </w:pPr>
            <w:r>
              <w:rPr>
                <w:rFonts w:ascii="Calibri" w:cs="Calibri" w:eastAsia="Calibri" w:hAnsi="Calibri"/>
                <w:b/>
                <w:bCs/>
                <w:color w:val="FFFFFF"/>
                <w:sz w:val="20"/>
                <w:szCs w:val="20"/>
              </w:rPr>
              <w:t xml:space="preserve">Por qué paga</w:t>
            </w:r>
          </w:p>
        </w:tc>
        <w:tc>
          <w:tcPr>
            <w:tcW w:type="dxa" w:w="2800"/>
            <w:shd w:fill="1F5C66" w:color="auto" w:val="clear"/>
            <w:tcMar>
              <w:top w:type="dxa" w:w="60"/>
              <w:left w:type="dxa" w:w="90"/>
              <w:bottom w:type="dxa" w:w="60"/>
              <w:right w:type="dxa" w:w="90"/>
            </w:tcMar>
          </w:tcPr>
          <w:p>
            <w:pPr>
              <w:spacing w:after="0" w:line="260"/>
              <w:jc w:val="center"/>
            </w:pPr>
            <w:r>
              <w:rPr>
                <w:rFonts w:ascii="Calibri" w:cs="Calibri" w:eastAsia="Calibri" w:hAnsi="Calibri"/>
                <w:b/>
                <w:bCs/>
                <w:color w:val="FFFFFF"/>
                <w:sz w:val="20"/>
                <w:szCs w:val="20"/>
              </w:rPr>
              <w:t xml:space="preserve">Cuánto</w:t>
            </w:r>
          </w:p>
        </w:tc>
      </w:tr>
      <w:tr>
        <w:tc>
          <w:tcPr>
            <w:tcW w:type="dxa" w:w="26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Colegio privado</w:t>
            </w:r>
          </w:p>
        </w:tc>
        <w:tc>
          <w:tcPr>
            <w:tcW w:type="dxa" w:w="46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Licencia anual, todas sus aulas de primaria</w:t>
            </w:r>
          </w:p>
        </w:tc>
        <w:tc>
          <w:tcPr>
            <w:tcW w:type="dxa" w:w="280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Bs 8.500 / año</w:t>
            </w:r>
          </w:p>
        </w:tc>
      </w:tr>
      <w:tr>
        <w:tc>
          <w:tcPr>
            <w:tcW w:type="dxa" w:w="26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ONG (colegio fiscal)</w:t>
            </w:r>
          </w:p>
        </w:tc>
        <w:tc>
          <w:tcPr>
            <w:tcW w:type="dxa" w:w="46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Beca negociada para que la escuela pública no pague nada</w:t>
            </w:r>
          </w:p>
        </w:tc>
        <w:tc>
          <w:tcPr>
            <w:tcW w:type="dxa" w:w="280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Bs 6.000 / año</w:t>
            </w:r>
          </w:p>
        </w:tc>
      </w:tr>
      <w:tr>
        <w:tc>
          <w:tcPr>
            <w:tcW w:type="dxa" w:w="26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Colegio, ONG o empresa</w:t>
            </w:r>
          </w:p>
        </w:tc>
        <w:tc>
          <w:tcPr>
            <w:tcW w:type="dxa" w:w="46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Capacitación y recertificación anual del docente</w:t>
            </w:r>
          </w:p>
        </w:tc>
        <w:tc>
          <w:tcPr>
            <w:tcW w:type="dxa" w:w="280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Bs 880 / año</w:t>
            </w:r>
          </w:p>
        </w:tc>
      </w:tr>
      <w:tr>
        <w:tc>
          <w:tcPr>
            <w:tcW w:type="dxa" w:w="26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Empresa (RSE)</w:t>
            </w:r>
          </w:p>
        </w:tc>
        <w:tc>
          <w:tcPr>
            <w:tcW w:type="dxa" w:w="46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Patrocina un paquete de varios colegios, con reporte de impacto</w:t>
            </w:r>
          </w:p>
        </w:tc>
        <w:tc>
          <w:tcPr>
            <w:tcW w:type="dxa" w:w="280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desde Bs 20.000</w:t>
            </w:r>
          </w:p>
        </w:tc>
      </w:tr>
      <w:tr>
        <w:tc>
          <w:tcPr>
            <w:tcW w:type="dxa" w:w="26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Familia (directo, opcional)</w:t>
            </w:r>
          </w:p>
        </w:tc>
        <w:tc>
          <w:tcPr>
            <w:tcW w:type="dxa" w:w="46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Módulos adicionales de aprendizaje — nunca la prevención</w:t>
            </w:r>
          </w:p>
        </w:tc>
        <w:tc>
          <w:tcPr>
            <w:tcW w:type="dxa" w:w="280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Bs 30 / mes</w:t>
            </w:r>
          </w:p>
        </w:tc>
      </w:tr>
    </w:tbl>
    <w:tbl>
      <w:tblPr>
        <w:tblW w:type="dxa" w:w="10080"/>
        <w:tblBorders>
          <w:top w:val="single" w:color="9A5B1E" w:sz="4"/>
          <w:left w:val="single" w:color="9A5B1E" w:sz="24"/>
          <w:bottom w:val="single" w:color="9A5B1E" w:sz="4"/>
          <w:right w:val="single" w:color="9A5B1E" w:sz="4"/>
          <w:insideH w:val="single" w:color="auto" w:sz="4"/>
          <w:insideV w:val="single" w:color="auto" w:sz="4"/>
        </w:tblBorders>
      </w:tblPr>
      <w:tblGrid>
        <w:gridCol w:w="10080"/>
      </w:tblGrid>
      <w:tr>
        <w:tc>
          <w:tcPr>
            <w:tcW w:type="dxa" w:w="10080"/>
            <w:shd w:fill="F5E6D3"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9A5B1E"/>
                <w:sz w:val="18"/>
                <w:szCs w:val="18"/>
              </w:rPr>
              <w:t xml:space="preserve">LA LÍNEA QUE NO SE CRUZA</w:t>
            </w:r>
          </w:p>
          <w:p>
            <w:pPr>
              <w:spacing w:after="0" w:before="0" w:line="300"/>
              <w:jc w:val="left"/>
            </w:pPr>
            <w:r>
              <w:rPr>
                <w:rFonts w:ascii="Calibri" w:cs="Calibri" w:eastAsia="Calibri" w:hAnsi="Calibri"/>
                <w:b w:val="false"/>
                <w:bCs w:val="false"/>
                <w:i w:val="false"/>
                <w:iCs w:val="false"/>
                <w:sz w:val="22"/>
                <w:szCs w:val="22"/>
              </w:rPr>
              <w:t xml:space="preserve">La familia nunca paga por la parte de prevención — eso ya lo cubrió el colegio o la ONG, y sigue siendo gratis para el niño. Lo único que se le ofrece a la familia son módulos extra (más adelante: habilidades para la vida, inteligencia artificial, inglés). Si alguien del jurado pregunta “¿entonces cobran por la seguridad del niño?”, la respuesta es no, nunca — y hay que decirlo así de directo, sin rodeos.</w:t>
            </w:r>
          </w:p>
        </w:tc>
      </w:tr>
    </w:tbl>
    <w:p>
      <w:pPr>
        <w:spacing w:after="200"/>
      </w:pPr>
    </w:p>
    <w:p>
      <w:pPr>
        <w:pStyle w:val="Heading1"/>
        <w:spacing w:after="160" w:before="320" w:line="300"/>
      </w:pPr>
      <w:r>
        <w:t xml:space="preserve">5. Cuánto cuesta operar</w:t>
      </w:r>
    </w:p>
    <w:p>
      <w:pPr>
        <w:spacing w:after="140" w:before="0" w:line="300"/>
        <w:jc w:val="left"/>
      </w:pPr>
      <w:r>
        <w:rPr>
          <w:rFonts w:ascii="Calibri" w:cs="Calibri" w:eastAsia="Calibri" w:hAnsi="Calibri"/>
          <w:b w:val="false"/>
          <w:bCs w:val="false"/>
          <w:i w:val="false"/>
          <w:iCs w:val="false"/>
          <w:sz w:val="22"/>
          <w:szCs w:val="22"/>
        </w:rPr>
        <w:t xml:space="preserve">Dos categorías, nada más — pero hay que saber ubicar cada gasto en la correcta, porque el jurado sí va a preguntar por alguno en particular.</w:t>
      </w:r>
    </w:p>
    <w:p>
      <w:pPr>
        <w:pStyle w:val="ListParagraph"/>
        <w:numPr>
          <w:ilvl w:val="0"/>
          <w:numId w:val="2"/>
        </w:numPr>
        <w:spacing w:after="90" w:line="300"/>
      </w:pPr>
      <w:r>
        <w:rPr>
          <w:rFonts w:ascii="Calibri" w:cs="Calibri" w:eastAsia="Calibri" w:hAnsi="Calibri"/>
          <w:sz w:val="22"/>
          <w:szCs w:val="22"/>
        </w:rPr>
        <w:t xml:space="preserve">Costo fijo — no cambia aunque vendan a 2 colegios o a 200. Ejemplo: el dominio, la licencia de herramientas de desarrollo. Hoy: Bs 940 al mes.</w:t>
      </w:r>
    </w:p>
    <w:p>
      <w:pPr>
        <w:pStyle w:val="ListParagraph"/>
        <w:numPr>
          <w:ilvl w:val="0"/>
          <w:numId w:val="2"/>
        </w:numPr>
        <w:spacing w:after="90" w:line="300"/>
      </w:pPr>
      <w:r>
        <w:rPr>
          <w:rFonts w:ascii="Calibri" w:cs="Calibri" w:eastAsia="Calibri" w:hAnsi="Calibri"/>
          <w:sz w:val="22"/>
          <w:szCs w:val="22"/>
        </w:rPr>
        <w:t xml:space="preserve">Costo variable — crece con cada colegio nuevo que se suma: capacitación del docente, soporte, supervisión psicológica de ese ciclo. Hoy: ≈ Bs 365 al año por aula (≈ Bs 2.920 por colegio de 8 aulas).</w:t>
      </w:r>
    </w:p>
    <w:p>
      <w:pPr>
        <w:spacing w:after="140" w:before="0" w:line="300"/>
        <w:jc w:val="left"/>
      </w:pPr>
      <w:r>
        <w:rPr>
          <w:rFonts w:ascii="Calibri" w:cs="Calibri" w:eastAsia="Calibri" w:hAnsi="Calibri"/>
          <w:b w:val="false"/>
          <w:bCs w:val="false"/>
          <w:i w:val="false"/>
          <w:iCs w:val="false"/>
          <w:sz w:val="22"/>
          <w:szCs w:val="22"/>
        </w:rPr>
        <w:t xml:space="preserve">El equipo (ustedes cuatro) es, técnicamente, un tercer tipo de costo — mano de obra — que hoy vale Bs 0 en caja porque nadie se paga a sí mismo todavía. Pero en el documento igual se calcula cuánto valdría a precio de mercado, y no es un detalle menor: es lo que permite calcular un punto de equilibrio honesto, en vez de uno que se ve bien solo porque nadie está cobrando.</w:t>
      </w:r>
    </w:p>
    <w:p>
      <w:pPr>
        <w:spacing w:after="60" w:before="120" w:line="300"/>
        <w:jc w:val="left"/>
      </w:pPr>
      <w:r>
        <w:rPr>
          <w:rFonts w:ascii="Calibri" w:cs="Calibri" w:eastAsia="Calibri" w:hAnsi="Calibri"/>
          <w:b/>
          <w:bCs/>
          <w:i w:val="false"/>
          <w:iCs w:val="false"/>
          <w:sz w:val="22"/>
          <w:szCs w:val="22"/>
        </w:rPr>
        <w:t xml:space="preserve">Por qué nadie cobra el año 1:</w:t>
      </w:r>
    </w:p>
    <w:p>
      <w:pPr>
        <w:spacing w:after="140" w:before="0" w:line="300"/>
        <w:jc w:val="left"/>
      </w:pPr>
      <w:r>
        <w:rPr>
          <w:rFonts w:ascii="Calibri" w:cs="Calibri" w:eastAsia="Calibri" w:hAnsi="Calibri"/>
          <w:b w:val="false"/>
          <w:bCs w:val="false"/>
          <w:i w:val="false"/>
          <w:iCs w:val="false"/>
          <w:sz w:val="22"/>
          <w:szCs w:val="22"/>
        </w:rPr>
        <w:t xml:space="preserve">Los Bs 12.000 del capital semilla no alcanzan ni para un mes de sueldo completo del equipo. Gastarlos en pagarse a sí mismos es la trampa clásica en la que caen muchas startups nuevas: se acaba la plata y el producto no avanzó. La decisión consciente acá es reinvertir el 100 % en herramientas, lo legal básico y activación comercial — y que el equipo sostenga el año 1 con otra fuente de ingreso mientras tanto. Eso es una elección de criterio, no un descuido, y así hay que presentarla si preguntan.</w:t>
      </w:r>
    </w:p>
    <w:p>
      <w:pPr>
        <w:pStyle w:val="Heading1"/>
        <w:spacing w:after="160" w:before="320" w:line="300"/>
      </w:pPr>
      <w:r>
        <w:t xml:space="preserve">6. ¿Esto realmente se sostiene?</w:t>
      </w:r>
    </w:p>
    <w:p>
      <w:pPr>
        <w:spacing w:after="140" w:before="0" w:line="300"/>
        <w:jc w:val="left"/>
      </w:pPr>
      <w:r>
        <w:rPr>
          <w:rFonts w:ascii="Calibri" w:cs="Calibri" w:eastAsia="Calibri" w:hAnsi="Calibri"/>
          <w:b w:val="false"/>
          <w:bCs w:val="false"/>
          <w:i w:val="false"/>
          <w:iCs w:val="false"/>
          <w:sz w:val="22"/>
          <w:szCs w:val="22"/>
        </w:rPr>
        <w:t xml:space="preserve">Esta es la pregunta más difícil de todo el pitch. La respuesta honesta tiene tres partes, en este orden.</w:t>
      </w:r>
    </w:p>
    <w:p>
      <w:pPr>
        <w:spacing w:after="140" w:before="0" w:line="300"/>
        <w:jc w:val="left"/>
      </w:pPr>
      <w:r>
        <w:rPr>
          <w:rFonts w:ascii="Calibri" w:cs="Calibri" w:eastAsia="Calibri" w:hAnsi="Calibri"/>
          <w:b/>
          <w:bCs/>
          <w:i w:val="false"/>
          <w:iCs w:val="false"/>
          <w:sz w:val="22"/>
          <w:szCs w:val="22"/>
        </w:rPr>
        <w:t xml:space="preserve">Parte 1 — cubrir los costos de operar es fácil: con 2 o 3 colegios ya no se pierde dinero. Eso pasa rápido.</w:t>
      </w:r>
    </w:p>
    <w:p>
      <w:pPr>
        <w:spacing w:after="140" w:before="0" w:line="300"/>
        <w:jc w:val="left"/>
      </w:pPr>
      <w:r>
        <w:rPr>
          <w:rFonts w:ascii="Calibri" w:cs="Calibri" w:eastAsia="Calibri" w:hAnsi="Calibri"/>
          <w:b/>
          <w:bCs/>
          <w:i w:val="false"/>
          <w:iCs w:val="false"/>
          <w:sz w:val="22"/>
          <w:szCs w:val="22"/>
        </w:rPr>
        <w:t xml:space="preserve">Parte 2 — cubrir sueldos reales es la parte difícil, y no se resuelve solo con más colegios: vendiendo únicamente a colegios y ONG, ni siquiera con la meta completa del primer año (17 colegios) alcanza para pagar al equipo completo.</w:t>
      </w:r>
    </w:p>
    <w:p>
      <w:pPr>
        <w:spacing w:after="140" w:before="0" w:line="300"/>
        <w:jc w:val="left"/>
      </w:pPr>
      <w:r>
        <w:rPr>
          <w:rFonts w:ascii="Calibri" w:cs="Calibri" w:eastAsia="Calibri" w:hAnsi="Calibri"/>
          <w:b/>
          <w:bCs/>
          <w:i w:val="false"/>
          <w:iCs w:val="false"/>
          <w:sz w:val="22"/>
          <w:szCs w:val="22"/>
        </w:rPr>
        <w:t xml:space="preserve">Parte 3 — por eso existe el segundo motor (suscripción a familias), y así es como cambia el panorama:</w:t>
      </w:r>
    </w:p>
    <w:tbl>
      <w:tblPr>
        <w:tblW w:type="dxa" w:w="10080"/>
        <w:tblBorders>
          <w:top w:val="single" w:color="999999" w:sz="4"/>
          <w:left w:val="single" w:color="999999" w:sz="4"/>
          <w:bottom w:val="single" w:color="999999" w:sz="4"/>
          <w:right w:val="single" w:color="999999" w:sz="4"/>
          <w:insideH w:val="single" w:color="CCCCCC" w:sz="2"/>
          <w:insideV w:val="single" w:color="CCCCCC" w:sz="2"/>
        </w:tblBorders>
      </w:tblPr>
      <w:tblGrid>
        <w:gridCol w:w="3400"/>
        <w:gridCol w:w="3340"/>
        <w:gridCol w:w="3340"/>
      </w:tblGrid>
      <w:tr>
        <w:trPr>
          <w:tblHeader/>
        </w:trPr>
        <w:tc>
          <w:tcPr>
            <w:tcW w:type="dxa" w:w="3400"/>
            <w:shd w:fill="1F5C66" w:color="auto" w:val="clear"/>
            <w:tcMar>
              <w:top w:type="dxa" w:w="60"/>
              <w:left w:type="dxa" w:w="90"/>
              <w:bottom w:type="dxa" w:w="60"/>
              <w:right w:type="dxa" w:w="90"/>
            </w:tcMar>
          </w:tcPr>
          <w:p>
            <w:pPr>
              <w:spacing w:after="0" w:line="260"/>
              <w:jc w:val="center"/>
            </w:pPr>
            <w:r>
              <w:rPr>
                <w:rFonts w:ascii="Calibri" w:cs="Calibri" w:eastAsia="Calibri" w:hAnsi="Calibri"/>
                <w:b/>
                <w:bCs/>
                <w:color w:val="FFFFFF"/>
                <w:sz w:val="20"/>
                <w:szCs w:val="20"/>
              </w:rPr>
              <w:t xml:space="preserve">Equipo pagado</w:t>
            </w:r>
          </w:p>
        </w:tc>
        <w:tc>
          <w:tcPr>
            <w:tcW w:type="dxa" w:w="3340"/>
            <w:shd w:fill="1F5C66" w:color="auto" w:val="clear"/>
            <w:tcMar>
              <w:top w:type="dxa" w:w="60"/>
              <w:left w:type="dxa" w:w="90"/>
              <w:bottom w:type="dxa" w:w="60"/>
              <w:right w:type="dxa" w:w="90"/>
            </w:tcMar>
          </w:tcPr>
          <w:p>
            <w:pPr>
              <w:spacing w:after="0" w:line="260"/>
              <w:jc w:val="center"/>
            </w:pPr>
            <w:r>
              <w:rPr>
                <w:rFonts w:ascii="Calibri" w:cs="Calibri" w:eastAsia="Calibri" w:hAnsi="Calibri"/>
                <w:b/>
                <w:bCs/>
                <w:color w:val="FFFFFF"/>
                <w:sz w:val="20"/>
                <w:szCs w:val="20"/>
              </w:rPr>
              <w:t xml:space="preserve">Mes 12 (17 colegios + familias)</w:t>
            </w:r>
          </w:p>
        </w:tc>
        <w:tc>
          <w:tcPr>
            <w:tcW w:type="dxa" w:w="3340"/>
            <w:shd w:fill="1F5C66" w:color="auto" w:val="clear"/>
            <w:tcMar>
              <w:top w:type="dxa" w:w="60"/>
              <w:left w:type="dxa" w:w="90"/>
              <w:bottom w:type="dxa" w:w="60"/>
              <w:right w:type="dxa" w:w="90"/>
            </w:tcMar>
          </w:tcPr>
          <w:p>
            <w:pPr>
              <w:spacing w:after="0" w:line="260"/>
              <w:jc w:val="center"/>
            </w:pPr>
            <w:r>
              <w:rPr>
                <w:rFonts w:ascii="Calibri" w:cs="Calibri" w:eastAsia="Calibri" w:hAnsi="Calibri"/>
                <w:b/>
                <w:bCs/>
                <w:color w:val="FFFFFF"/>
                <w:sz w:val="20"/>
                <w:szCs w:val="20"/>
              </w:rPr>
              <w:t xml:space="preserve">Año 2 (34 colegios, proyección)</w:t>
            </w:r>
          </w:p>
        </w:tc>
      </w:tr>
      <w:tr>
        <w:tc>
          <w:tcPr>
            <w:tcW w:type="dxa" w:w="34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Solo la psicóloga, medio tiempo</w:t>
            </w:r>
          </w:p>
        </w:tc>
        <w:tc>
          <w:tcPr>
            <w:tcW w:type="dxa" w:w="3340"/>
            <w:tcMar>
              <w:top w:type="dxa" w:w="60"/>
              <w:left w:type="dxa" w:w="90"/>
              <w:bottom w:type="dxa" w:w="60"/>
              <w:right w:type="dxa" w:w="90"/>
            </w:tcMar>
          </w:tcPr>
          <w:p>
            <w:pPr>
              <w:spacing w:after="0" w:line="260"/>
              <w:jc w:val="right"/>
            </w:pPr>
            <w:r>
              <w:rPr>
                <w:rFonts w:ascii="Calibri" w:cs="Calibri" w:eastAsia="Calibri" w:hAnsi="Calibri"/>
                <w:b w:val="false"/>
                <w:bCs w:val="false"/>
                <w:color w:val="2E6B4C"/>
                <w:sz w:val="20"/>
                <w:szCs w:val="20"/>
              </w:rPr>
              <w:t xml:space="preserve">+ Bs 8.871</w:t>
            </w:r>
          </w:p>
        </w:tc>
        <w:tc>
          <w:tcPr>
            <w:tcW w:type="dxa" w:w="3340"/>
            <w:tcMar>
              <w:top w:type="dxa" w:w="60"/>
              <w:left w:type="dxa" w:w="90"/>
              <w:bottom w:type="dxa" w:w="60"/>
              <w:right w:type="dxa" w:w="90"/>
            </w:tcMar>
          </w:tcPr>
          <w:p>
            <w:pPr>
              <w:spacing w:after="0" w:line="260"/>
              <w:jc w:val="right"/>
            </w:pPr>
            <w:r>
              <w:rPr>
                <w:rFonts w:ascii="Calibri" w:cs="Calibri" w:eastAsia="Calibri" w:hAnsi="Calibri"/>
                <w:b w:val="false"/>
                <w:bCs w:val="false"/>
                <w:color w:val="2E6B4C"/>
                <w:sz w:val="20"/>
                <w:szCs w:val="20"/>
              </w:rPr>
              <w:t xml:space="preserve">+ Bs 21.472</w:t>
            </w:r>
          </w:p>
        </w:tc>
      </w:tr>
      <w:tr>
        <w:tc>
          <w:tcPr>
            <w:tcW w:type="dxa" w:w="34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 una persona de desarrollo/operación</w:t>
            </w:r>
          </w:p>
        </w:tc>
        <w:tc>
          <w:tcPr>
            <w:tcW w:type="dxa" w:w="3340"/>
            <w:tcMar>
              <w:top w:type="dxa" w:w="60"/>
              <w:left w:type="dxa" w:w="90"/>
              <w:bottom w:type="dxa" w:w="60"/>
              <w:right w:type="dxa" w:w="90"/>
            </w:tcMar>
          </w:tcPr>
          <w:p>
            <w:pPr>
              <w:spacing w:after="0" w:line="260"/>
              <w:jc w:val="right"/>
            </w:pPr>
            <w:r>
              <w:rPr>
                <w:rFonts w:ascii="Calibri" w:cs="Calibri" w:eastAsia="Calibri" w:hAnsi="Calibri"/>
                <w:b w:val="false"/>
                <w:bCs w:val="false"/>
                <w:color w:val="2E6B4C"/>
                <w:sz w:val="20"/>
                <w:szCs w:val="20"/>
              </w:rPr>
              <w:t xml:space="preserve">+ Bs 2.871</w:t>
            </w:r>
          </w:p>
        </w:tc>
        <w:tc>
          <w:tcPr>
            <w:tcW w:type="dxa" w:w="3340"/>
            <w:tcMar>
              <w:top w:type="dxa" w:w="60"/>
              <w:left w:type="dxa" w:w="90"/>
              <w:bottom w:type="dxa" w:w="60"/>
              <w:right w:type="dxa" w:w="90"/>
            </w:tcMar>
          </w:tcPr>
          <w:p>
            <w:pPr>
              <w:spacing w:after="0" w:line="260"/>
              <w:jc w:val="right"/>
            </w:pPr>
            <w:r>
              <w:rPr>
                <w:rFonts w:ascii="Calibri" w:cs="Calibri" w:eastAsia="Calibri" w:hAnsi="Calibri"/>
                <w:b w:val="false"/>
                <w:bCs w:val="false"/>
                <w:color w:val="2E6B4C"/>
                <w:sz w:val="20"/>
                <w:szCs w:val="20"/>
              </w:rPr>
              <w:t xml:space="preserve">+ Bs 15.472</w:t>
            </w:r>
          </w:p>
        </w:tc>
      </w:tr>
      <w:tr>
        <w:tc>
          <w:tcPr>
            <w:tcW w:type="dxa" w:w="34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Equipo de 4, medio tiempo</w:t>
            </w:r>
          </w:p>
        </w:tc>
        <w:tc>
          <w:tcPr>
            <w:tcW w:type="dxa" w:w="3340"/>
            <w:tcMar>
              <w:top w:type="dxa" w:w="60"/>
              <w:left w:type="dxa" w:w="90"/>
              <w:bottom w:type="dxa" w:w="60"/>
              <w:right w:type="dxa" w:w="90"/>
            </w:tcMar>
          </w:tcPr>
          <w:p>
            <w:pPr>
              <w:spacing w:after="0" w:line="260"/>
              <w:jc w:val="right"/>
            </w:pPr>
            <w:r>
              <w:rPr>
                <w:rFonts w:ascii="Calibri" w:cs="Calibri" w:eastAsia="Calibri" w:hAnsi="Calibri"/>
                <w:b w:val="false"/>
                <w:bCs w:val="false"/>
                <w:color w:val="9A5B1E"/>
                <w:sz w:val="20"/>
                <w:szCs w:val="20"/>
              </w:rPr>
              <w:t xml:space="preserve">− Bs 4.129</w:t>
            </w:r>
          </w:p>
        </w:tc>
        <w:tc>
          <w:tcPr>
            <w:tcW w:type="dxa" w:w="3340"/>
            <w:tcMar>
              <w:top w:type="dxa" w:w="60"/>
              <w:left w:type="dxa" w:w="90"/>
              <w:bottom w:type="dxa" w:w="60"/>
              <w:right w:type="dxa" w:w="90"/>
            </w:tcMar>
          </w:tcPr>
          <w:p>
            <w:pPr>
              <w:spacing w:after="0" w:line="260"/>
              <w:jc w:val="right"/>
            </w:pPr>
            <w:r>
              <w:rPr>
                <w:rFonts w:ascii="Calibri" w:cs="Calibri" w:eastAsia="Calibri" w:hAnsi="Calibri"/>
                <w:b w:val="false"/>
                <w:bCs w:val="false"/>
                <w:color w:val="2E6B4C"/>
                <w:sz w:val="20"/>
                <w:szCs w:val="20"/>
              </w:rPr>
              <w:t xml:space="preserve">+ Bs 8.472</w:t>
            </w:r>
          </w:p>
        </w:tc>
      </w:tr>
      <w:tr>
        <w:tc>
          <w:tcPr>
            <w:tcW w:type="dxa" w:w="34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Equipo de 4, tiempo completo</w:t>
            </w:r>
          </w:p>
        </w:tc>
        <w:tc>
          <w:tcPr>
            <w:tcW w:type="dxa" w:w="3340"/>
            <w:tcMar>
              <w:top w:type="dxa" w:w="60"/>
              <w:left w:type="dxa" w:w="90"/>
              <w:bottom w:type="dxa" w:w="60"/>
              <w:right w:type="dxa" w:w="90"/>
            </w:tcMar>
          </w:tcPr>
          <w:p>
            <w:pPr>
              <w:spacing w:after="0" w:line="260"/>
              <w:jc w:val="right"/>
            </w:pPr>
            <w:r>
              <w:rPr>
                <w:rFonts w:ascii="Calibri" w:cs="Calibri" w:eastAsia="Calibri" w:hAnsi="Calibri"/>
                <w:b w:val="false"/>
                <w:bCs w:val="false"/>
                <w:color w:val="9A5B1E"/>
                <w:sz w:val="20"/>
                <w:szCs w:val="20"/>
              </w:rPr>
              <w:t xml:space="preserve">− Bs 12.129</w:t>
            </w:r>
          </w:p>
        </w:tc>
        <w:tc>
          <w:tcPr>
            <w:tcW w:type="dxa" w:w="3340"/>
            <w:tcMar>
              <w:top w:type="dxa" w:w="60"/>
              <w:left w:type="dxa" w:w="90"/>
              <w:bottom w:type="dxa" w:w="60"/>
              <w:right w:type="dxa" w:w="90"/>
            </w:tcMar>
          </w:tcPr>
          <w:p>
            <w:pPr>
              <w:spacing w:after="0" w:line="260"/>
              <w:jc w:val="right"/>
            </w:pPr>
            <w:r>
              <w:rPr>
                <w:rFonts w:ascii="Calibri" w:cs="Calibri" w:eastAsia="Calibri" w:hAnsi="Calibri"/>
                <w:b w:val="false"/>
                <w:bCs w:val="false"/>
                <w:color w:val="2E6B4C"/>
                <w:sz w:val="20"/>
                <w:szCs w:val="20"/>
              </w:rPr>
              <w:t xml:space="preserve">+ Bs 472</w:t>
            </w:r>
          </w:p>
        </w:tc>
      </w:tr>
    </w:tbl>
    <w:p>
      <w:pPr>
        <w:spacing w:after="180" w:before="60" w:line="240"/>
      </w:pPr>
      <w:r>
        <w:rPr>
          <w:rFonts w:ascii="Calibri" w:cs="Calibri" w:eastAsia="Calibri" w:hAnsi="Calibri"/>
          <w:i/>
          <w:iCs/>
          <w:color w:val="595959"/>
          <w:sz w:val="17"/>
          <w:szCs w:val="17"/>
        </w:rPr>
        <w:t xml:space="preserve">Positivo = alcanza y sobra. Negativo = todavía falta. El año 2 asume que el número de colegios se duplica y que más familias se suscriben — es proyección, no promesa.</w:t>
      </w:r>
    </w:p>
    <w:tbl>
      <w:tblPr>
        <w:tblW w:type="dxa" w:w="10080"/>
        <w:tblBorders>
          <w:top w:val="single" w:color="9A5B1E" w:sz="4"/>
          <w:left w:val="single" w:color="9A5B1E" w:sz="24"/>
          <w:bottom w:val="single" w:color="9A5B1E" w:sz="4"/>
          <w:right w:val="single" w:color="9A5B1E" w:sz="4"/>
          <w:insideH w:val="single" w:color="auto" w:sz="4"/>
          <w:insideV w:val="single" w:color="auto" w:sz="4"/>
        </w:tblBorders>
      </w:tblPr>
      <w:tblGrid>
        <w:gridCol w:w="10080"/>
      </w:tblGrid>
      <w:tr>
        <w:tc>
          <w:tcPr>
            <w:tcW w:type="dxa" w:w="10080"/>
            <w:shd w:fill="F5E6D3"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9A5B1E"/>
                <w:sz w:val="18"/>
                <w:szCs w:val="18"/>
              </w:rPr>
              <w:t xml:space="preserve">LA RESPUESTA QUE NO DEBEN DAR</w:t>
            </w:r>
          </w:p>
          <w:p>
            <w:pPr>
              <w:spacing w:after="0" w:before="0" w:line="300"/>
              <w:jc w:val="left"/>
            </w:pPr>
            <w:r>
              <w:rPr>
                <w:rFonts w:ascii="Calibri" w:cs="Calibri" w:eastAsia="Calibri" w:hAnsi="Calibri"/>
                <w:b w:val="false"/>
                <w:bCs w:val="false"/>
                <w:i w:val="false"/>
                <w:iCs w:val="false"/>
                <w:sz w:val="22"/>
                <w:szCs w:val="22"/>
              </w:rPr>
              <w:t xml:space="preserve">No digan “sí, ya se sostiene” — no es cierto todavía. Digan la verdad, que además suena mejor: al mes 12 ya se puede pagar a la psicóloga y a alguien de desarrollo a medio tiempo — el primer paso real fuera de depender solo del trabajo gratis del equipo. Pagar a los cuatro a tiempo completo es una meta de año 2, con un margen todavía muy ajustado (Bs 472 al mes, apenas por encima de cero). Decir esto con esos números demuestra que lo pensaron en serio; inflar la respuesta se nota y resta más de lo que suma.</w:t>
            </w:r>
          </w:p>
        </w:tc>
      </w:tr>
    </w:tbl>
    <w:p>
      <w:pPr>
        <w:spacing w:after="200"/>
      </w:pPr>
    </w:p>
    <w:p>
      <w:pPr>
        <w:pStyle w:val="Heading1"/>
        <w:spacing w:after="160" w:before="320" w:line="300"/>
      </w:pPr>
      <w:r>
        <w:t xml:space="preserve">7. Preguntas difíciles — practiquen estas en voz alta</w:t>
      </w:r>
    </w:p>
    <w:p>
      <w:pPr>
        <w:spacing w:after="140" w:before="0" w:line="300"/>
        <w:jc w:val="left"/>
      </w:pPr>
      <w:r>
        <w:rPr>
          <w:rFonts w:ascii="Calibri" w:cs="Calibri" w:eastAsia="Calibri" w:hAnsi="Calibri"/>
          <w:b w:val="false"/>
          <w:bCs w:val="false"/>
          <w:i w:val="false"/>
          <w:iCs w:val="false"/>
          <w:sz w:val="22"/>
          <w:szCs w:val="22"/>
        </w:rPr>
        <w:t xml:space="preserve">No memoricen la respuesta palabra por palabra — entiendan la lógica, para poder responder aunque la pregunta venga formulada distinto.</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¿De qué viven mientras no se pagan a sí mismos?</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Cada uno tiene otra fuente de sustento durante esta fase — es una decisión consciente de reinvertir el capital semilla en el producto en vez de en sueldos, como hacen la mayoría de las startups en su primer año.</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¿Por qué cobrar US$ 850 al año y no menos, si la competencia internacional a veces es gratis?</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Los programas gratuitos internacionales (NSPCC, AMAZE) los paga un donante, no el colegio — nosotros todavía no tenemos ese donante. Frente a lo que sí cobra alguien: Second Step cuesta US$ 2.359 por colegio y Safe Touches cuesta US$ 859 solo por aula. Estamos por debajo de ambos, con capacitación y protocolo boliviano incluidos.</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¿No es contradictorio cobrarle a una familia sobre un producto de protección infantil?</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No cobramos por la protección — esa la paga el colegio y sigue siendo gratis para el niño. Lo que la familia puede suscribir son módulos adicionales de aprendizaje, aparte, nunca el núcleo de prevención. Es una regla que no se negocia.</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¿Cómo saben que 170 familias se van a suscribir al mes 12?</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No lo saben — es una hipótesis basada en una tasa de conversión del 5 %, que está en el rango típico de productos EdTech freemium (2,6 % a 8,5 % según la industria). Está marcada explícitamente como algo por validar, no como un hecho.</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¿Qué garantiza que consigan 12 colegios pagando en el primer año?</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Nada lo garantiza todavía — es una meta construida desde la capacidad comercial real del equipo (5 a 8 instituciones contactadas por mes), no un porcentaje optimista del mercado. Por eso el plan incluye validar con 45 a 54 entrevistas antes de comprometer el precio en un contrato.</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¿Por qué la psicóloga, que es la persona más crítica del equipo, no es la primera en cobrar sueldo completo?</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Es al revés: es la primera a la que el modelo permite pagar, incluso a medio tiempo, antes que a cualquier otro rol — el mes 12 ya alcanza para eso. Lo que no alcanza todavía es para un sueldo completo a los cuatro.</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¿Qué pasa si una empresa grande (Second Step, una ONG internacional) entra al mercado boliviano?</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Ninguna de esas viene contextualizada a la normativa boliviana ni con protocolo de derivación local (Ley 548, rutas de la Defensoría). Esa adaptación, más el precio más bajo, es la ventaja — no la tecnología.</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¿Por qué usan Bs 10 por dólar si el tipo de cambio oficial es Bs 9,83?</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Es una referencia redonda y fácil de seguir en la presentación, y es conservadora: pagar en dólares desde Bolivia en la práctica cuesta más que el oficial, no menos — el paralelo esa semana estaba entre Bs 10,9 y 11,9.</w:t>
      </w:r>
    </w:p>
    <w:p>
      <w:pPr>
        <w:pBdr>
          <w:left w:val="single" w:color="1F5C66" w:sz="18" w:space="8"/>
        </w:pBdr>
        <w:spacing w:after="60" w:before="200" w:line="300"/>
      </w:pPr>
      <w:r>
        <w:rPr>
          <w:rFonts w:ascii="Calibri" w:cs="Calibri" w:eastAsia="Calibri" w:hAnsi="Calibri"/>
          <w:b/>
          <w:bCs/>
          <w:color w:val="1F5C66"/>
          <w:sz w:val="22"/>
          <w:szCs w:val="22"/>
        </w:rPr>
        <w:t xml:space="preserve">P — </w:t>
      </w:r>
      <w:r>
        <w:rPr>
          <w:rFonts w:ascii="Calibri" w:cs="Calibri" w:eastAsia="Calibri" w:hAnsi="Calibri"/>
          <w:b/>
          <w:bCs/>
          <w:sz w:val="22"/>
          <w:szCs w:val="22"/>
        </w:rPr>
        <w:t xml:space="preserve">¿Los módulos de inglés e inteligencia artificial no son “otro eje” distinto al que están inscritos (salud mental)?</w:t>
      </w:r>
    </w:p>
    <w:p>
      <w:pPr>
        <w:pBdr>
          <w:left w:val="single" w:color="1F5C66" w:sz="18" w:space="8"/>
        </w:pBdr>
        <w:spacing w:after="60" w:line="300"/>
      </w:pPr>
      <w:r>
        <w:rPr>
          <w:rFonts w:ascii="Calibri" w:cs="Calibri" w:eastAsia="Calibri" w:hAnsi="Calibri"/>
          <w:b/>
          <w:bCs/>
          <w:color w:val="2E6B4C"/>
          <w:sz w:val="22"/>
          <w:szCs w:val="22"/>
        </w:rPr>
        <w:t xml:space="preserve">R — </w:t>
      </w:r>
      <w:r>
        <w:rPr>
          <w:rFonts w:ascii="Calibri" w:cs="Calibri" w:eastAsia="Calibri" w:hAnsi="Calibri"/>
          <w:sz w:val="22"/>
          <w:szCs w:val="22"/>
        </w:rPr>
        <w:t xml:space="preserve">Correcto, y por eso se presentan como visión a un año, fuera del producto que se evalúa hoy — no como parte del MVP actual. El eje de esta convocatoria sigue siendo, sin mezcla, prevención primaria de salud mental.</w:t>
      </w:r>
    </w:p>
    <w:p>
      <w:pPr>
        <w:spacing w:after="160"/>
      </w:pPr>
    </w:p>
    <w:p>
      <w:pPr>
        <w:pStyle w:val="Heading1"/>
        <w:spacing w:after="160" w:before="320" w:line="300"/>
      </w:pPr>
      <w:r>
        <w:t xml:space="preserve">8. Glosario rápido</w:t>
      </w:r>
    </w:p>
    <w:p>
      <w:pPr>
        <w:spacing w:after="140" w:before="0" w:line="300"/>
        <w:jc w:val="left"/>
      </w:pPr>
      <w:r>
        <w:rPr>
          <w:rFonts w:ascii="Calibri" w:cs="Calibri" w:eastAsia="Calibri" w:hAnsi="Calibri"/>
          <w:b w:val="false"/>
          <w:bCs w:val="false"/>
          <w:i w:val="false"/>
          <w:iCs w:val="false"/>
          <w:sz w:val="22"/>
          <w:szCs w:val="22"/>
        </w:rPr>
        <w:t xml:space="preserve">Para no quedarse en blanco si preguntan “¿qué es el SAM?” en vivo.</w:t>
      </w:r>
    </w:p>
    <w:tbl>
      <w:tblPr>
        <w:tblW w:type="dxa" w:w="10080"/>
        <w:tblBorders>
          <w:top w:val="single" w:color="999999" w:sz="4"/>
          <w:left w:val="single" w:color="999999" w:sz="4"/>
          <w:bottom w:val="single" w:color="999999" w:sz="4"/>
          <w:right w:val="single" w:color="999999" w:sz="4"/>
          <w:insideH w:val="single" w:color="CCCCCC" w:sz="2"/>
          <w:insideV w:val="single" w:color="CCCCCC" w:sz="2"/>
        </w:tblBorders>
      </w:tblPr>
      <w:tblGrid>
        <w:gridCol w:w="1800"/>
        <w:gridCol w:w="8280"/>
      </w:tblGrid>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TAM</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Todo el mercado que existiría si no hubiera competencia ni límites — en nuestro caso, todas las aulas de primaria de Bolivia.</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SAM</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La parte de ese mercado que realmente podemos atender — aulas de Santa Cruz con conectividad y dispositivo disponible.</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SOM</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La meta realista a 12 meses, calculada desde nuestra propia capacidad de vender, no desde un porcentaje del mercado.</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Punto de equilibrio</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El número de ventas a partir del cual se deja de perder dinero. No dice nada todavía sobre sueldos.</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Margen de contribución</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Lo que queda de cada venta después de restar el costo variable de esa venta — lo que realmente aporta a pagar los costos fijos.</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Costo fijo</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No cambia con el número de clientes (ej. el dominio).</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Costo variable</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Crece con cada cliente nuevo (ej. capacitar a un colegio más).</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Freemium</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Modelo donde una parte del producto es gratis y otra se paga — la prevención es gratis para el niño (la paga el colegio) y los módulos extra son opcionales para la familia.</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Tracción</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El momento en que el producto ya tiene clientes reales pagando, no solo un plan en un documento.</w:t>
            </w:r>
          </w:p>
        </w:tc>
      </w:tr>
      <w:tr>
        <w:tc>
          <w:tcPr>
            <w:tcW w:type="dxa" w:w="1800"/>
            <w:tcMar>
              <w:top w:type="dxa" w:w="60"/>
              <w:left w:type="dxa" w:w="90"/>
              <w:bottom w:type="dxa" w:w="60"/>
              <w:right w:type="dxa" w:w="90"/>
            </w:tcMar>
          </w:tcPr>
          <w:p>
            <w:pPr>
              <w:spacing w:after="0" w:line="260"/>
              <w:jc w:val="left"/>
            </w:pPr>
            <w:r>
              <w:rPr>
                <w:rFonts w:ascii="Calibri" w:cs="Calibri" w:eastAsia="Calibri" w:hAnsi="Calibri"/>
                <w:b w:val="false"/>
                <w:bCs w:val="false"/>
                <w:sz w:val="20"/>
                <w:szCs w:val="20"/>
              </w:rPr>
              <w:t xml:space="preserve">Capital semilla</w:t>
            </w:r>
          </w:p>
        </w:tc>
        <w:tc>
          <w:tcPr>
            <w:tcW w:type="dxa" w:w="8280"/>
            <w:tcMar>
              <w:top w:type="dxa" w:w="60"/>
              <w:left w:type="dxa" w:w="90"/>
              <w:bottom w:type="dxa" w:w="60"/>
              <w:right w:type="dxa" w:w="90"/>
            </w:tcMar>
          </w:tcPr>
          <w:p>
            <w:pPr>
              <w:spacing w:after="0" w:line="260"/>
              <w:jc w:val="right"/>
            </w:pPr>
            <w:r>
              <w:rPr>
                <w:rFonts w:ascii="Calibri" w:cs="Calibri" w:eastAsia="Calibri" w:hAnsi="Calibri"/>
                <w:b w:val="false"/>
                <w:bCs w:val="false"/>
                <w:sz w:val="20"/>
                <w:szCs w:val="20"/>
              </w:rPr>
              <w:t xml:space="preserve">El primer dinero externo que recibe una startup (en este caso, el premio de HACKBIZ) — normalmente no alcanza para sueldos, solo para arrancar.</w:t>
            </w:r>
          </w:p>
        </w:tc>
      </w:tr>
    </w:tbl>
    <w:p>
      <w:pPr>
        <w:spacing w:after="200"/>
      </w:pPr>
    </w:p>
    <w:p>
      <w:pPr>
        <w:spacing w:after="140" w:before="0" w:line="300"/>
        <w:jc w:val="left"/>
      </w:pPr>
      <w:r>
        <w:rPr>
          <w:rFonts w:ascii="Calibri" w:cs="Calibri" w:eastAsia="Calibri" w:hAnsi="Calibri"/>
          <w:b w:val="false"/>
          <w:bCs w:val="false"/>
          <w:i/>
          <w:iCs/>
          <w:color w:val="666666"/>
          <w:sz w:val="18"/>
          <w:szCs w:val="18"/>
        </w:rPr>
        <w:t xml:space="preserve">Guía de estudio interna, basada en “Modelo de Negocio — La Isla de los Acuerdos” (documento formal para HACKBIZ UAGRM 2026). Las cifras de este resumen deben coincidir con las del documento formal; si algo cambia ahí, hay que actualizar esto también.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line="300"/>
      <w:outlineLvl w:val="0"/>
    </w:pPr>
    <w:rPr>
      <w:rFonts w:ascii="Calibri" w:cs="Calibri" w:eastAsia="Calibri" w:hAnsi="Calibri"/>
      <w:b/>
      <w:bCs/>
      <w:color w:val="1F5C66"/>
      <w:sz w:val="30"/>
      <w:szCs w:val="30"/>
    </w:rPr>
  </w:style>
  <w:style w:type="paragraph" w:styleId="Heading2">
    <w:name w:val="Heading 2"/>
    <w:basedOn w:val="Normal"/>
    <w:next w:val="Normal"/>
    <w:qFormat/>
    <w:pPr>
      <w:spacing w:after="100" w:before="200" w:line="300"/>
      <w:outlineLvl w:val="1"/>
    </w:pPr>
    <w:rPr>
      <w:rFonts w:ascii="Calibri" w:cs="Calibri" w:eastAsia="Calibri" w:hAnsi="Calibri"/>
      <w:b/>
      <w:bCs/>
      <w:color w:val="20282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defender el modelo</dc:title>
  <dc:creator>YAIS-RED</dc:creator>
  <dc:description>Guía de estudio interna del equipo para defender el modelo de negocio</dc:description>
  <cp:lastModifiedBy>Un-named</cp:lastModifiedBy>
  <cp:revision>1</cp:revision>
  <dcterms:created xsi:type="dcterms:W3CDTF">2026-09-17T22:13:40.946Z</dcterms:created>
  <dcterms:modified xsi:type="dcterms:W3CDTF">2026-09-17T22:13:40.951Z</dcterms:modified>
</cp:coreProperties>
</file>

<file path=docProps/custom.xml><?xml version="1.0" encoding="utf-8"?>
<Properties xmlns="http://schemas.openxmlformats.org/officeDocument/2006/custom-properties" xmlns:vt="http://schemas.openxmlformats.org/officeDocument/2006/docPropsVTypes"/>
</file>