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80" w:before="0" w:line="360"/>
        <w:jc w:val="center"/>
      </w:pPr>
      <w:r>
        <w:rPr>
          <w:rFonts w:ascii="Times New Roman" w:cs="Times New Roman" w:eastAsia="Times New Roman" w:hAnsi="Times New Roman"/>
          <w:b/>
          <w:bCs/>
          <w:i w:val="false"/>
          <w:iCs w:val="false"/>
          <w:sz w:val="32"/>
          <w:szCs w:val="32"/>
        </w:rPr>
        <w:t xml:space="preserve">HACKBIZ UAGRM</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Facultad de Ciencias Económicas y Empresariales</w:t>
      </w:r>
    </w:p>
    <w:p>
      <w:pPr>
        <w:spacing w:after="40" w:before="0" w:line="360"/>
        <w:jc w:val="center"/>
      </w:pPr>
      <w:r>
        <w:rPr>
          <w:rFonts w:ascii="Times New Roman" w:cs="Times New Roman" w:eastAsia="Times New Roman" w:hAnsi="Times New Roman"/>
          <w:b w:val="false"/>
          <w:bCs w:val="false"/>
          <w:i w:val="false"/>
          <w:iCs w:val="false"/>
          <w:sz w:val="22"/>
          <w:szCs w:val="22"/>
        </w:rPr>
        <w:t xml:space="preserve">Universidad Autónoma Gabriel René Moreno</w:t>
      </w:r>
    </w:p>
    <w:p>
      <w:pPr>
        <w:spacing w:after="400" w:before="0" w:line="360"/>
        <w:jc w:val="center"/>
      </w:pPr>
      <w:r>
        <w:rPr>
          <w:rFonts w:ascii="Times New Roman" w:cs="Times New Roman" w:eastAsia="Times New Roman" w:hAnsi="Times New Roman"/>
          <w:b w:val="false"/>
          <w:bCs w:val="false"/>
          <w:i w:val="false"/>
          <w:iCs w:val="false"/>
          <w:sz w:val="22"/>
          <w:szCs w:val="22"/>
        </w:rPr>
        <w:t xml:space="preserve">Centro de Innovación y Emprendimiento Universitario</w:t>
      </w:r>
    </w:p>
    <w:p>
      <w:pPr>
        <w:spacing w:after="120" w:before="0" w:line="360"/>
        <w:jc w:val="center"/>
      </w:pPr>
      <w:r>
        <w:rPr>
          <w:rFonts w:ascii="Times New Roman" w:cs="Times New Roman" w:eastAsia="Times New Roman" w:hAnsi="Times New Roman"/>
          <w:b/>
          <w:bCs/>
          <w:i w:val="false"/>
          <w:iCs w:val="false"/>
          <w:sz w:val="44"/>
          <w:szCs w:val="44"/>
        </w:rPr>
        <w:t xml:space="preserve">YAIS RED</w:t>
      </w:r>
    </w:p>
    <w:p>
      <w:pPr>
        <w:spacing w:after="400" w:before="0" w:line="360"/>
        <w:jc w:val="center"/>
      </w:pPr>
      <w:r>
        <w:rPr>
          <w:rFonts w:ascii="Times New Roman" w:cs="Times New Roman" w:eastAsia="Times New Roman" w:hAnsi="Times New Roman"/>
          <w:b/>
          <w:bCs/>
          <w:i w:val="false"/>
          <w:iCs w:val="false"/>
          <w:color w:val="C00000"/>
          <w:sz w:val="30"/>
          <w:szCs w:val="30"/>
        </w:rPr>
        <w:t xml:space="preserve">La Isla de los Acuerdos</w:t>
      </w:r>
    </w:p>
    <w:p>
      <w:pPr>
        <w:spacing w:after="80" w:before="0" w:line="360"/>
        <w:jc w:val="center"/>
      </w:pPr>
      <w:r>
        <w:rPr>
          <w:rFonts w:ascii="Times New Roman" w:cs="Times New Roman" w:eastAsia="Times New Roman" w:hAnsi="Times New Roman"/>
          <w:b/>
          <w:bCs/>
          <w:i w:val="false"/>
          <w:iCs w:val="false"/>
          <w:sz w:val="26"/>
          <w:szCs w:val="26"/>
        </w:rPr>
        <w:t xml:space="preserve">THE “B” CANVAS BUSINESS MODEL</w:t>
      </w:r>
    </w:p>
    <w:p>
      <w:pPr>
        <w:spacing w:after="500" w:before="0" w:line="360"/>
        <w:jc w:val="center"/>
      </w:pPr>
      <w:r>
        <w:rPr>
          <w:rFonts w:ascii="Times New Roman" w:cs="Times New Roman" w:eastAsia="Times New Roman" w:hAnsi="Times New Roman"/>
          <w:b w:val="false"/>
          <w:bCs w:val="false"/>
          <w:i/>
          <w:iCs/>
          <w:sz w:val="22"/>
          <w:szCs w:val="22"/>
        </w:rPr>
        <w:t xml:space="preserve">Comienza por el problema y el propósito no por el producto o el mercado</w:t>
      </w:r>
    </w:p>
    <w:p>
      <w:pPr>
        <w:spacing w:after="100" w:before="0" w:line="360"/>
        <w:jc w:val="center"/>
      </w:pPr>
      <w:r>
        <w:rPr>
          <w:rFonts w:ascii="Times New Roman" w:cs="Times New Roman" w:eastAsia="Times New Roman" w:hAnsi="Times New Roman"/>
          <w:b/>
          <w:bCs/>
          <w:i w:val="false"/>
          <w:iCs w:val="false"/>
          <w:sz w:val="24"/>
          <w:szCs w:val="24"/>
        </w:rPr>
        <w:t xml:space="preserve">Integrantes</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Arianna — Facultad de Humanidades (FH), Psicología</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Gabriel Mamani — FICCT, desarrollo fullstack</w:t>
      </w:r>
    </w:p>
    <w:p>
      <w:pPr>
        <w:spacing w:after="40" w:before="0" w:line="360"/>
        <w:jc w:val="center"/>
      </w:pPr>
      <w:r>
        <w:rPr>
          <w:rFonts w:ascii="Times New Roman" w:cs="Times New Roman" w:eastAsia="Times New Roman" w:hAnsi="Times New Roman"/>
          <w:b w:val="false"/>
          <w:bCs w:val="false"/>
          <w:i w:val="false"/>
          <w:iCs w:val="false"/>
          <w:sz w:val="24"/>
          <w:szCs w:val="24"/>
        </w:rPr>
        <w:t xml:space="preserve">Diego Saavedra — FICCT, desarrollo y arte 3D</w:t>
      </w:r>
    </w:p>
    <w:p>
      <w:pPr>
        <w:spacing w:after="400" w:before="0" w:line="360"/>
        <w:jc w:val="center"/>
      </w:pPr>
      <w:r>
        <w:rPr>
          <w:rFonts w:ascii="Times New Roman" w:cs="Times New Roman" w:eastAsia="Times New Roman" w:hAnsi="Times New Roman"/>
          <w:b w:val="false"/>
          <w:bCs w:val="false"/>
          <w:i w:val="false"/>
          <w:iCs w:val="false"/>
          <w:sz w:val="24"/>
          <w:szCs w:val="24"/>
        </w:rPr>
        <w:t xml:space="preserve">Mauricio Núñez — FICCT, negocios y marketing</w:t>
      </w:r>
    </w:p>
    <w:p>
      <w:pPr>
        <w:spacing w:after="120" w:before="0" w:line="360"/>
        <w:jc w:val="center"/>
      </w:pPr>
      <w:r>
        <w:rPr>
          <w:rFonts w:ascii="Times New Roman" w:cs="Times New Roman" w:eastAsia="Times New Roman" w:hAnsi="Times New Roman"/>
          <w:b w:val="false"/>
          <w:bCs w:val="false"/>
          <w:i w:val="false"/>
          <w:iCs w:val="false"/>
          <w:sz w:val="22"/>
          <w:szCs w:val="22"/>
        </w:rPr>
        <w:t xml:space="preserve">Santa Cruz de la Sierra, Bolivia — Septiembre de 2026</w:t>
      </w:r>
    </w:p>
    <w:p>
      <w:r>
        <w:br w:type="page"/>
      </w:r>
    </w:p>
    <w:p>
      <w:pPr>
        <w:pStyle w:val="Heading1"/>
        <w:spacing w:after="160" w:before="280" w:line="360"/>
      </w:pPr>
      <w:r>
        <w:t xml:space="preserve">Resumen Ejecutivo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En 2025 Bolivia registró 2.313 denuncias por violación de infantes, niñas, niños y adolescentes, y Santa Cruz concentró la mayor cantidad de denuncias del país. Entre el 85 % y el 93 % de los casos de abuso sexual infantil son cometidos por una persona que la niña o el niño ya conoce, con frecuencia del entorno familiar cercano. La consecuencia práctica es incómoda pero clara: la red que debería proteger es, en muchos casos, la misma donde ocurre el daño.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Isla de los Acuerdos es una experiencia web 3D de prevención primaria donde niñas y niños de 6 a 12 años practican, jugando, tres habilidades concretas: reconocer y expresar sus límites corporales, distinguir un secreto que pesa de una sorpresa, y pedir ayuda a una persona adulta de confianza que puede estar en su casa, en su escuela o en su comunidad. No diagnostica, no conversa con el niño por chat y no almacena relatos de menores.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No se vende software suelto: se vende un programa acompañado. Cada licencia incluye cuatro episodios jugables, guía de facilitación, capacitación docente, un panel de seguimiento para el facilitador, material para familias y un protocolo de derivación contextualizado a la normativa boliviana. La experiencia corre en un solo dispositivo proyectado, sin instalar nada, sobre el equipamiento que la escuela ya tiene.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de ingresos se organiza alrededor del colegio completo, no del aula individual: una licencia institucional anual (US$ 850, equivalente a Bs 8.500) cubre todas las aulas de primaria de un colegio privado, complementada con convenios de beca con organizaciones no gubernamentales para escuelas fiscales, capacitación y recertificación anual, y patrocinio empresarial. A esto se suma una segunda vía de ingreso, dirigida directamente a las familias: una suscripción premium (US$ 3 al mes) que desbloquea módulos adicionales de aprendizaje —habilidades para la vida, alfabetización en inteligencia artificial e inglés— construida sobre la misma base tecnológica y validada por el especialista en inteligencia artificial del equipo. El detalle de esta segunda vía y su aporte a la sostenibilidad están en la Sección 5. El equipo fundador aporta su trabajo sin sueldo durante el primer año, de modo que el capital semilla de Bs 12.000 (US$ 1.200) se destina íntegramente a herramientas, constitución legal básica y activación comercial.</w:t>
      </w:r>
    </w:p>
    <w:p>
      <w:pPr>
        <w:spacing w:after="120" w:line="360"/>
        <w:ind w:firstLine="720"/>
        <w:jc w:val="left"/>
      </w:pPr>
      <w:r>
        <w:rPr>
          <w:rFonts w:ascii="Times New Roman" w:cs="Times New Roman" w:eastAsia="Times New Roman" w:hAnsi="Times New Roman"/>
          <w:b w:val="false"/>
          <w:bCs w:val="false"/>
          <w:i w:val="false"/>
          <w:iCs w:val="false"/>
          <w:sz w:val="24"/>
          <w:szCs w:val="24"/>
        </w:rPr>
        <w:t xml:space="preserve">El punto de equilibrio operativo se alcanza con 4 colegios activos en el escenario de caja del primer año, y con 12 colegios cuando se valoriza la mano de obra a precio de mercado. La meta realista a doce meses (SOM) es de 17 colegios activos (12 privados y 5 vía ONG), que junto con la suscripción familiar cubren un equipo mínimo pagado, aunque todavía no un equipo completo a sueldo de mercado — esa meta se alcanza en el segundo año de operación, según se detalla en la Sección 5.</w:t>
      </w:r>
    </w:p>
    <w:p>
      <w:pPr>
        <w:spacing w:after="120" w:before="200" w:line="360"/>
        <w:jc w:val="left"/>
      </w:pPr>
      <w:r>
        <w:rPr>
          <w:rFonts w:ascii="Times New Roman" w:cs="Times New Roman" w:eastAsia="Times New Roman" w:hAnsi="Times New Roman"/>
          <w:b/>
          <w:bCs/>
          <w:i w:val="false"/>
          <w:iCs w:val="false"/>
          <w:sz w:val="24"/>
          <w:szCs w:val="24"/>
        </w:rPr>
        <w:t xml:space="preserve">Nota sobre el tipo de cambio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Todas las cifras de este documento se expresan en bolivianos y en dólares estadounidenses, con un tipo de cambio referencial de Bs 10,00 por dólar. El tipo de cambio oficial del Banco Central de Bolivia era de Bs 9,83 por dólar al 17 de septiembre de 2026, mientras que el mercado paralelo operaba entre Bs 10,9 y Bs 11,9 en la misma semana. Se adopta Bs 10,00 por dos razones: facilita la lectura y la comparación rápida, y constituye un supuesto conservador, ya que un pago efectivo en dólares desde Bolivia cuesta en la práctica más que la conversión oficial.</w:t>
      </w:r>
    </w:p>
    <w:p>
      <w:r>
        <w:br w:type="page"/>
      </w:r>
    </w:p>
    <w:p>
      <w:pPr>
        <w:pStyle w:val="Heading1"/>
        <w:spacing w:after="160" w:before="280" w:line="360"/>
      </w:pPr>
      <w:r>
        <w:t xml:space="preserve">Índice</w:t>
      </w:r>
    </w:p>
    <w:sdt>
      <w:sdtPr>
        <w:alias w:val="Contenido"/>
      </w:sdtPr>
      <w:sdtContent>
        <w:p>
          <w:r>
            <w:fldChar w:fldCharType="begin" w:dirty="true"/>
            <w:instrText xml:space="preserve">TOC \h \o "1-3"</w:instrText>
            <w:fldChar w:fldCharType="separate"/>
          </w:r>
        </w:p>
        <w:p>
          <w:r>
            <w:fldChar w:fldCharType="end"/>
          </w:r>
        </w:p>
      </w:sdtContent>
    </w:sdt>
    <w:p>
      <w:pPr>
        <w:spacing w:after="0" w:before="0" w:line="360"/>
        <w:jc w:val="left"/>
      </w:pPr>
      <w:r>
        <w:rPr>
          <w:rFonts w:ascii="Times New Roman" w:cs="Times New Roman" w:eastAsia="Times New Roman" w:hAnsi="Times New Roman"/>
          <w:b w:val="false"/>
          <w:bCs w:val="false"/>
          <w:i w:val="false"/>
          <w:iCs w:val="false"/>
          <w:sz w:val="24"/>
          <w:szCs w:val="24"/>
        </w:rPr>
        <w:t xml:space="preserve"/>
      </w:r>
    </w:p>
    <w:p>
      <w:pPr>
        <w:spacing w:after="200" w:before="60" w:line="240"/>
      </w:pPr>
      <w:r>
        <w:rPr>
          <w:rFonts w:ascii="Times New Roman" w:cs="Times New Roman" w:eastAsia="Times New Roman" w:hAnsi="Times New Roman"/>
          <w:i/>
          <w:iCs/>
          <w:color w:val="595959"/>
          <w:sz w:val="18"/>
          <w:szCs w:val="18"/>
        </w:rPr>
        <w:t xml:space="preserve">Para actualizar el índice en Word: clic derecho sobre la tabla y seleccionar «Actualizar campos».</w:t>
      </w:r>
    </w:p>
    <w:p>
      <w:r>
        <w:br w:type="page"/>
      </w:r>
    </w:p>
    <w:p>
      <w:pPr>
        <w:pStyle w:val="Heading1"/>
        <w:spacing w:after="160" w:before="280" w:line="360"/>
      </w:pPr>
      <w:r>
        <w:t xml:space="preserve">1. Introducción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Este documento presenta el modelo de negocio de La Isla de los Acuerdos, un producto de prevención primaria del abuso sexual infantil desarrollado por el equipo YAIS RED en el marco de HACKBIZ UAGRM 2026. Está organizado según el Método CANVAS y sus nueve bloques, e incorpora dos análisis exigidos para la evaluación: la cuantificación de la demanda mediante el embudo TAM-SAM-SOM y la estructura de costos con su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proyecto parte de una decisión metodológica que conviene declarar desde el inicio: se trabaja sobre el eje de salud mental en su dimensión de promoción y prevención primaria, según la clasificación de la Organización Mundial de la Salud. Esto significa que el producto interviene antes de que exista daño, sobre toda la población de un aula, y no sobre casos identificados. No es diagnóstico, no es terapia y no sustituye a un profesional.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Las cifras de este documento distinguen explícitamente entre dato con fuente citada, estimación propia del equipo e hipótesis pendiente de validación. El Anexo A detalla el nivel de evidencia de cada supuesto. Esa distinción no es un exceso de cautela académica: un producto que se presenta ante escuelas y organizaciones de protección infantil se sostiene sobre su credibilidad, y una cifra inflada descubierta en la mesa de negociación cuesta más de lo que suma en una presentación.</w:t>
      </w:r>
    </w:p>
    <w:p>
      <w:pPr>
        <w:pStyle w:val="Heading1"/>
        <w:spacing w:after="160" w:before="280" w:line="360"/>
      </w:pPr>
      <w:r>
        <w:t xml:space="preserve">2. Lienzo del Modelo CANVAS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siguiente esquema resume el lienzo completo en el mismo formato de nueve bloques del Business Model Canvas oficial del Centro de Innovación y Emprendimiento Universitario. El desarrollo de cada bloque, con su cuantificación y sus tablas de respaldo, sigue después del esquema.</w:t>
      </w:r>
    </w:p>
    <w:p>
      <w:pPr>
        <w:spacing w:after="120"/>
      </w:pP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4680"/>
        <w:gridCol w:w="4680"/>
      </w:tblGrid>
      <w:tr>
        <w:tc>
          <w:tcPr>
            <w:tcW w:type="dxa" w:w="4680"/>
            <w:shd w:fill="1F1A17" w:color="auto" w:val="clear"/>
            <w:tcMar>
              <w:top w:type="dxa" w:w="100"/>
              <w:left w:type="dxa" w:w="150"/>
              <w:bottom w:type="dxa" w:w="100"/>
              <w:right w:type="dxa" w:w="150"/>
            </w:tcMar>
          </w:tcPr>
          <w:p>
            <w:pPr>
              <w:spacing w:after="40" w:line="240"/>
            </w:pPr>
            <w:r>
              <w:rPr>
                <w:rFonts w:ascii="Times New Roman" w:cs="Times New Roman" w:eastAsia="Times New Roman" w:hAnsi="Times New Roman"/>
                <w:b/>
                <w:bCs/>
                <w:color w:val="FFFFFF"/>
                <w:sz w:val="20"/>
                <w:szCs w:val="20"/>
              </w:rPr>
              <w:t xml:space="preserve">PROYECTO: </w:t>
            </w:r>
            <w:r>
              <w:rPr>
                <w:rFonts w:ascii="Times New Roman" w:cs="Times New Roman" w:eastAsia="Times New Roman" w:hAnsi="Times New Roman"/>
                <w:color w:val="FFFFFF"/>
                <w:sz w:val="20"/>
                <w:szCs w:val="20"/>
              </w:rPr>
              <w:t xml:space="preserve">La Isla de los Acuerdos — YAIS RED</w:t>
            </w:r>
          </w:p>
          <w:p>
            <w:pPr>
              <w:spacing w:line="240"/>
            </w:pPr>
            <w:r>
              <w:rPr>
                <w:rFonts w:ascii="Times New Roman" w:cs="Times New Roman" w:eastAsia="Times New Roman" w:hAnsi="Times New Roman"/>
                <w:i/>
                <w:iCs/>
                <w:color w:val="D9D9D9"/>
                <w:sz w:val="15"/>
                <w:szCs w:val="15"/>
              </w:rPr>
              <w:t xml:space="preserve">Facultad de Ciencias Económicas y Empresariales — UAGRM · Centro de Innovación y Emprendimiento Universitario · con el apoyo de ChildFund</w:t>
            </w:r>
          </w:p>
        </w:tc>
        <w:tc>
          <w:tcPr>
            <w:tcW w:type="dxa" w:w="4680"/>
            <w:shd w:fill="1F1A17" w:color="auto" w:val="clear"/>
            <w:tcMar>
              <w:top w:type="dxa" w:w="100"/>
              <w:left w:type="dxa" w:w="150"/>
              <w:bottom w:type="dxa" w:w="100"/>
              <w:right w:type="dxa" w:w="150"/>
            </w:tcMar>
            <w:vAlign w:val="center"/>
          </w:tcPr>
          <w:p>
            <w:pPr>
              <w:jc w:val="right"/>
            </w:pPr>
            <w:r>
              <w:rPr>
                <w:rFonts w:ascii="Times New Roman" w:cs="Times New Roman" w:eastAsia="Times New Roman" w:hAnsi="Times New Roman"/>
                <w:color w:val="FFFFFF"/>
                <w:sz w:val="20"/>
                <w:szCs w:val="20"/>
              </w:rPr>
              <w:t xml:space="preserve">CÓDIGO: ______________</w:t>
            </w:r>
          </w:p>
        </w:tc>
      </w:tr>
    </w:tbl>
    <w:p>
      <w:pPr>
        <w:spacing w:after="100"/>
      </w:pPr>
    </w:p>
    <w:tbl>
      <w:tblPr>
        <w:tblW w:type="dxa" w:w="9360"/>
        <w:tblBorders>
          <w:top w:val="single" w:color="000000" w:sz="6"/>
          <w:left w:val="single" w:color="000000" w:sz="6"/>
          <w:bottom w:val="single" w:color="000000" w:sz="6"/>
          <w:right w:val="single" w:color="000000" w:sz="6"/>
          <w:insideH w:val="single" w:color="000000" w:sz="6"/>
          <w:insideV w:val="single" w:color="000000" w:sz="6"/>
        </w:tblBorders>
      </w:tblPr>
      <w:tblGrid>
        <w:gridCol w:w="1660"/>
        <w:gridCol w:w="1780"/>
        <w:gridCol w:w="2360"/>
        <w:gridCol w:w="1780"/>
        <w:gridCol w:w="1780"/>
      </w:tblGrid>
      <w:tr>
        <w:tc>
          <w:tcPr>
            <w:tcW w:type="dxa" w:w="166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SOCIOS CLAVE</w:t>
            </w:r>
          </w:p>
          <w:p>
            <w:pPr>
              <w:pStyle w:val="ListParagraph"/>
              <w:numPr>
                <w:ilvl w:val="0"/>
                <w:numId w:val="2"/>
              </w:numPr>
              <w:spacing w:after="20" w:line="220"/>
            </w:pPr>
            <w:r>
              <w:rPr>
                <w:rFonts w:ascii="Times New Roman" w:cs="Times New Roman" w:eastAsia="Times New Roman" w:hAnsi="Times New Roman"/>
                <w:sz w:val="14"/>
                <w:szCs w:val="14"/>
              </w:rPr>
              <w:t xml:space="preserve">CEMSE / ChildFund, Visión Mundial, Save the Children, Educo</w:t>
            </w:r>
          </w:p>
          <w:p>
            <w:pPr>
              <w:pStyle w:val="ListParagraph"/>
              <w:numPr>
                <w:ilvl w:val="0"/>
                <w:numId w:val="2"/>
              </w:numPr>
              <w:spacing w:after="20" w:line="220"/>
            </w:pPr>
            <w:r>
              <w:rPr>
                <w:rFonts w:ascii="Times New Roman" w:cs="Times New Roman" w:eastAsia="Times New Roman" w:hAnsi="Times New Roman"/>
                <w:sz w:val="14"/>
                <w:szCs w:val="14"/>
              </w:rPr>
              <w:t xml:space="preserve">Defensoría de la Niñez y Adolescencia</w:t>
            </w:r>
          </w:p>
          <w:p>
            <w:pPr>
              <w:pStyle w:val="ListParagraph"/>
              <w:numPr>
                <w:ilvl w:val="0"/>
                <w:numId w:val="2"/>
              </w:numPr>
              <w:spacing w:after="20" w:line="220"/>
            </w:pPr>
            <w:r>
              <w:rPr>
                <w:rFonts w:ascii="Times New Roman" w:cs="Times New Roman" w:eastAsia="Times New Roman" w:hAnsi="Times New Roman"/>
                <w:sz w:val="14"/>
                <w:szCs w:val="14"/>
              </w:rPr>
              <w:t xml:space="preserve">Colegio de Psicólogos de Bolivia</w:t>
            </w:r>
          </w:p>
          <w:p>
            <w:pPr>
              <w:pStyle w:val="ListParagraph"/>
              <w:numPr>
                <w:ilvl w:val="0"/>
                <w:numId w:val="2"/>
              </w:numPr>
              <w:spacing w:after="20" w:line="220"/>
            </w:pPr>
            <w:r>
              <w:rPr>
                <w:rFonts w:ascii="Times New Roman" w:cs="Times New Roman" w:eastAsia="Times New Roman" w:hAnsi="Times New Roman"/>
                <w:sz w:val="14"/>
                <w:szCs w:val="14"/>
              </w:rPr>
              <w:t xml:space="preserve">UAGRM (FH y FICCT)</w:t>
            </w:r>
          </w:p>
        </w:tc>
        <w:tc>
          <w:tcPr>
            <w:tcW w:type="dxa" w:w="1780"/>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ACTIVIDADES CLAVE</w:t>
            </w:r>
          </w:p>
          <w:p>
            <w:pPr>
              <w:pStyle w:val="ListParagraph"/>
              <w:numPr>
                <w:ilvl w:val="0"/>
                <w:numId w:val="2"/>
              </w:numPr>
              <w:spacing w:after="20" w:line="220"/>
            </w:pPr>
            <w:r>
              <w:rPr>
                <w:rFonts w:ascii="Times New Roman" w:cs="Times New Roman" w:eastAsia="Times New Roman" w:hAnsi="Times New Roman"/>
                <w:sz w:val="14"/>
                <w:szCs w:val="14"/>
              </w:rPr>
              <w:t xml:space="preserve">Diseño pedagógico y revisión psicológica</w:t>
            </w:r>
          </w:p>
          <w:p>
            <w:pPr>
              <w:pStyle w:val="ListParagraph"/>
              <w:numPr>
                <w:ilvl w:val="0"/>
                <w:numId w:val="2"/>
              </w:numPr>
              <w:spacing w:after="20" w:line="220"/>
            </w:pPr>
            <w:r>
              <w:rPr>
                <w:rFonts w:ascii="Times New Roman" w:cs="Times New Roman" w:eastAsia="Times New Roman" w:hAnsi="Times New Roman"/>
                <w:sz w:val="14"/>
                <w:szCs w:val="14"/>
              </w:rPr>
              <w:t xml:space="preserve">Desarrollo de la experiencia web 3D</w:t>
            </w:r>
          </w:p>
          <w:p>
            <w:pPr>
              <w:pStyle w:val="ListParagraph"/>
              <w:numPr>
                <w:ilvl w:val="0"/>
                <w:numId w:val="2"/>
              </w:numPr>
              <w:spacing w:after="20" w:line="220"/>
            </w:pPr>
            <w:r>
              <w:rPr>
                <w:rFonts w:ascii="Times New Roman" w:cs="Times New Roman" w:eastAsia="Times New Roman" w:hAnsi="Times New Roman"/>
                <w:sz w:val="14"/>
                <w:szCs w:val="14"/>
              </w:rPr>
              <w:t xml:space="preserve">Capacitación de facilitadores</w:t>
            </w:r>
          </w:p>
          <w:p>
            <w:pPr>
              <w:pStyle w:val="ListParagraph"/>
              <w:numPr>
                <w:ilvl w:val="0"/>
                <w:numId w:val="2"/>
              </w:numPr>
              <w:spacing w:after="20" w:line="220"/>
            </w:pPr>
            <w:r>
              <w:rPr>
                <w:rFonts w:ascii="Times New Roman" w:cs="Times New Roman" w:eastAsia="Times New Roman" w:hAnsi="Times New Roman"/>
                <w:sz w:val="14"/>
                <w:szCs w:val="14"/>
              </w:rPr>
              <w:t xml:space="preserve">Alianzas institucionales</w:t>
            </w:r>
          </w:p>
        </w:tc>
        <w:tc>
          <w:tcPr>
            <w:tcW w:type="dxa" w:w="2360"/>
            <w:vMerge w:val="restart"/>
            <w:shd w:fill="FBEDEC"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PROPUESTA DE VALOR</w:t>
            </w:r>
          </w:p>
          <w:p>
            <w:pPr>
              <w:pStyle w:val="ListParagraph"/>
              <w:numPr>
                <w:ilvl w:val="0"/>
                <w:numId w:val="2"/>
              </w:numPr>
              <w:spacing w:after="20" w:line="220"/>
            </w:pPr>
            <w:r>
              <w:rPr>
                <w:rFonts w:ascii="Times New Roman" w:cs="Times New Roman" w:eastAsia="Times New Roman" w:hAnsi="Times New Roman"/>
                <w:sz w:val="14"/>
                <w:szCs w:val="14"/>
              </w:rPr>
              <w:t xml:space="preserve">La Isla de los Acuerdos: experiencia web 3D de prevención primaria para niñas y niños de 6 a 12 años</w:t>
            </w:r>
          </w:p>
          <w:p>
            <w:pPr>
              <w:pStyle w:val="ListParagraph"/>
              <w:numPr>
                <w:ilvl w:val="0"/>
                <w:numId w:val="2"/>
              </w:numPr>
              <w:spacing w:after="20" w:line="220"/>
            </w:pPr>
            <w:r>
              <w:rPr>
                <w:rFonts w:ascii="Times New Roman" w:cs="Times New Roman" w:eastAsia="Times New Roman" w:hAnsi="Times New Roman"/>
                <w:sz w:val="14"/>
                <w:szCs w:val="14"/>
              </w:rPr>
              <w:t xml:space="preserve">Programa acompañado: 4 episodios + capacitación + panel del facilitador + protocolo de derivación</w:t>
            </w:r>
          </w:p>
          <w:p>
            <w:pPr>
              <w:pStyle w:val="ListParagraph"/>
              <w:numPr>
                <w:ilvl w:val="0"/>
                <w:numId w:val="2"/>
              </w:numPr>
              <w:spacing w:after="20" w:line="220"/>
            </w:pPr>
            <w:r>
              <w:rPr>
                <w:rFonts w:ascii="Times New Roman" w:cs="Times New Roman" w:eastAsia="Times New Roman" w:hAnsi="Times New Roman"/>
                <w:sz w:val="14"/>
                <w:szCs w:val="14"/>
              </w:rPr>
              <w:t xml:space="preserve">No diagnostica, no chatea, no guarda relatos de menores</w:t>
            </w:r>
          </w:p>
          <w:p>
            <w:pPr>
              <w:pStyle w:val="ListParagraph"/>
              <w:numPr>
                <w:ilvl w:val="0"/>
                <w:numId w:val="2"/>
              </w:numPr>
              <w:spacing w:after="20" w:line="220"/>
            </w:pPr>
            <w:r>
              <w:rPr>
                <w:rFonts w:ascii="Times New Roman" w:cs="Times New Roman" w:eastAsia="Times New Roman" w:hAnsi="Times New Roman"/>
                <w:sz w:val="14"/>
                <w:szCs w:val="14"/>
              </w:rPr>
              <w:t xml:space="preserve">Visión a 1 año: módulos premium opcionales para familias (habilidades para la vida, IA, inglés) — ver Sección 5</w:t>
            </w:r>
          </w:p>
        </w:tc>
        <w:tc>
          <w:tcPr>
            <w:tcW w:type="dxa" w:w="1780"/>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RELACIONES CON EL CLIENTE</w:t>
            </w:r>
          </w:p>
          <w:p>
            <w:pPr>
              <w:pStyle w:val="ListParagraph"/>
              <w:numPr>
                <w:ilvl w:val="0"/>
                <w:numId w:val="2"/>
              </w:numPr>
              <w:spacing w:after="20" w:line="220"/>
            </w:pPr>
            <w:r>
              <w:rPr>
                <w:rFonts w:ascii="Times New Roman" w:cs="Times New Roman" w:eastAsia="Times New Roman" w:hAnsi="Times New Roman"/>
                <w:sz w:val="14"/>
                <w:szCs w:val="14"/>
              </w:rPr>
              <w:t xml:space="preserve">Programa acompañado, soporte continuo al docente</w:t>
            </w:r>
          </w:p>
          <w:p>
            <w:pPr>
              <w:pStyle w:val="ListParagraph"/>
              <w:numPr>
                <w:ilvl w:val="0"/>
                <w:numId w:val="2"/>
              </w:numPr>
              <w:spacing w:after="20" w:line="220"/>
            </w:pPr>
            <w:r>
              <w:rPr>
                <w:rFonts w:ascii="Times New Roman" w:cs="Times New Roman" w:eastAsia="Times New Roman" w:hAnsi="Times New Roman"/>
                <w:sz w:val="14"/>
                <w:szCs w:val="14"/>
              </w:rPr>
              <w:t xml:space="preserve">Consentimiento institucional del colegio (aviso + opt-out)</w:t>
            </w: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SEGMENTOS DE CLIENTES</w:t>
            </w:r>
          </w:p>
          <w:p>
            <w:pPr>
              <w:pStyle w:val="ListParagraph"/>
              <w:numPr>
                <w:ilvl w:val="0"/>
                <w:numId w:val="2"/>
              </w:numPr>
              <w:spacing w:after="20" w:line="220"/>
            </w:pPr>
            <w:r>
              <w:rPr>
                <w:rFonts w:ascii="Times New Roman" w:cs="Times New Roman" w:eastAsia="Times New Roman" w:hAnsi="Times New Roman"/>
                <w:sz w:val="14"/>
                <w:szCs w:val="14"/>
              </w:rPr>
              <w:t xml:space="preserve">Colegios privados y de convenio de Santa Cruz</w:t>
            </w:r>
          </w:p>
          <w:p>
            <w:pPr>
              <w:pStyle w:val="ListParagraph"/>
              <w:numPr>
                <w:ilvl w:val="0"/>
                <w:numId w:val="2"/>
              </w:numPr>
              <w:spacing w:after="20" w:line="220"/>
            </w:pPr>
            <w:r>
              <w:rPr>
                <w:rFonts w:ascii="Times New Roman" w:cs="Times New Roman" w:eastAsia="Times New Roman" w:hAnsi="Times New Roman"/>
                <w:sz w:val="14"/>
                <w:szCs w:val="14"/>
              </w:rPr>
              <w:t xml:space="preserve">ONG con programa escolar de protección</w:t>
            </w:r>
          </w:p>
          <w:p>
            <w:pPr>
              <w:pStyle w:val="ListParagraph"/>
              <w:numPr>
                <w:ilvl w:val="0"/>
                <w:numId w:val="2"/>
              </w:numPr>
              <w:spacing w:after="20" w:line="220"/>
            </w:pPr>
            <w:r>
              <w:rPr>
                <w:rFonts w:ascii="Times New Roman" w:cs="Times New Roman" w:eastAsia="Times New Roman" w:hAnsi="Times New Roman"/>
                <w:sz w:val="14"/>
                <w:szCs w:val="14"/>
              </w:rPr>
              <w:t xml:space="preserve">Empresas con responsabilidad social</w:t>
            </w:r>
          </w:p>
          <w:p>
            <w:pPr>
              <w:pStyle w:val="ListParagraph"/>
              <w:numPr>
                <w:ilvl w:val="0"/>
                <w:numId w:val="2"/>
              </w:numPr>
              <w:spacing w:after="20" w:line="220"/>
            </w:pPr>
            <w:r>
              <w:rPr>
                <w:rFonts w:ascii="Times New Roman" w:cs="Times New Roman" w:eastAsia="Times New Roman" w:hAnsi="Times New Roman"/>
                <w:sz w:val="14"/>
                <w:szCs w:val="14"/>
              </w:rPr>
              <w:t xml:space="preserve">Municipio / DNA (a partir del año 2)</w:t>
            </w:r>
          </w:p>
        </w:tc>
      </w:tr>
      <w:tr>
        <w:tc>
          <w:tcPr>
            <w:vMerge w:val="continue"/>
          </w:tcP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RECURSOS CLAVE</w:t>
            </w:r>
          </w:p>
          <w:p>
            <w:pPr>
              <w:pStyle w:val="ListParagraph"/>
              <w:numPr>
                <w:ilvl w:val="0"/>
                <w:numId w:val="2"/>
              </w:numPr>
              <w:spacing w:after="20" w:line="220"/>
            </w:pPr>
            <w:r>
              <w:rPr>
                <w:rFonts w:ascii="Times New Roman" w:cs="Times New Roman" w:eastAsia="Times New Roman" w:hAnsi="Times New Roman"/>
                <w:sz w:val="14"/>
                <w:szCs w:val="14"/>
              </w:rPr>
              <w:t xml:space="preserve">Equipo fundador: Arianna, Gabriel, Diego y Mauricio</w:t>
            </w:r>
          </w:p>
          <w:p>
            <w:pPr>
              <w:pStyle w:val="ListParagraph"/>
              <w:numPr>
                <w:ilvl w:val="0"/>
                <w:numId w:val="2"/>
              </w:numPr>
              <w:spacing w:after="20" w:line="220"/>
            </w:pPr>
            <w:r>
              <w:rPr>
                <w:rFonts w:ascii="Times New Roman" w:cs="Times New Roman" w:eastAsia="Times New Roman" w:hAnsi="Times New Roman"/>
                <w:sz w:val="14"/>
                <w:szCs w:val="14"/>
              </w:rPr>
              <w:t xml:space="preserve">Blender, React + React Three Fiber, Supabase</w:t>
            </w:r>
          </w:p>
          <w:p>
            <w:pPr>
              <w:pStyle w:val="ListParagraph"/>
              <w:numPr>
                <w:ilvl w:val="0"/>
                <w:numId w:val="2"/>
              </w:numPr>
              <w:spacing w:after="20" w:line="220"/>
            </w:pPr>
            <w:r>
              <w:rPr>
                <w:rFonts w:ascii="Times New Roman" w:cs="Times New Roman" w:eastAsia="Times New Roman" w:hAnsi="Times New Roman"/>
                <w:sz w:val="14"/>
                <w:szCs w:val="14"/>
              </w:rPr>
              <w:t xml:space="preserve">Contenido propio y protocolo de derivación boliviano</w:t>
            </w:r>
          </w:p>
        </w:tc>
        <w:tc>
          <w:tcPr>
            <w:vMerge w:val="continue"/>
          </w:tcPr>
          <w:p/>
        </w:tc>
        <w:tc>
          <w:tcPr>
            <w:tcW w:type="dxa" w:w="1780"/>
            <w:vMerge w:val="restart"/>
            <w:shd w:fill="FFFFFF"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CANALES</w:t>
            </w:r>
          </w:p>
          <w:p>
            <w:pPr>
              <w:pStyle w:val="ListParagraph"/>
              <w:numPr>
                <w:ilvl w:val="0"/>
                <w:numId w:val="2"/>
              </w:numPr>
              <w:spacing w:after="20" w:line="220"/>
            </w:pPr>
            <w:r>
              <w:rPr>
                <w:rFonts w:ascii="Times New Roman" w:cs="Times New Roman" w:eastAsia="Times New Roman" w:hAnsi="Times New Roman"/>
                <w:sz w:val="14"/>
                <w:szCs w:val="14"/>
              </w:rPr>
              <w:t xml:space="preserve">Venta directa a redes de colegios</w:t>
            </w:r>
          </w:p>
          <w:p>
            <w:pPr>
              <w:pStyle w:val="ListParagraph"/>
              <w:numPr>
                <w:ilvl w:val="0"/>
                <w:numId w:val="2"/>
              </w:numPr>
              <w:spacing w:after="20" w:line="220"/>
            </w:pPr>
            <w:r>
              <w:rPr>
                <w:rFonts w:ascii="Times New Roman" w:cs="Times New Roman" w:eastAsia="Times New Roman" w:hAnsi="Times New Roman"/>
                <w:sz w:val="14"/>
                <w:szCs w:val="14"/>
              </w:rPr>
              <w:t xml:space="preserve">Alianza con ONG en escuelas fiscales</w:t>
            </w:r>
          </w:p>
          <w:p>
            <w:pPr>
              <w:pStyle w:val="ListParagraph"/>
              <w:numPr>
                <w:ilvl w:val="0"/>
                <w:numId w:val="2"/>
              </w:numPr>
              <w:spacing w:after="20" w:line="220"/>
            </w:pPr>
            <w:r>
              <w:rPr>
                <w:rFonts w:ascii="Times New Roman" w:cs="Times New Roman" w:eastAsia="Times New Roman" w:hAnsi="Times New Roman"/>
                <w:sz w:val="14"/>
                <w:szCs w:val="14"/>
              </w:rPr>
              <w:t xml:space="preserve">Programa de aliados en salud, sin comisión por referido</w:t>
            </w:r>
          </w:p>
        </w:tc>
        <w:tc>
          <w:tcPr>
            <w:vMerge w:val="continue"/>
          </w:tcPr>
          <w:p/>
        </w:tc>
      </w:tr>
      <w:tr>
        <w:tc>
          <w:tcPr>
            <w:vMerge w:val="continue"/>
          </w:tcPr>
          <w:p/>
        </w:tc>
        <w:tc>
          <w:tcPr>
            <w:vMerge w:val="continue"/>
          </w:tcPr>
          <w:p/>
        </w:tc>
        <w:tc>
          <w:tcPr>
            <w:vMerge w:val="continue"/>
          </w:tcPr>
          <w:p/>
        </w:tc>
        <w:tc>
          <w:tcPr>
            <w:vMerge w:val="continue"/>
          </w:tcPr>
          <w:p/>
        </w:tc>
        <w:tc>
          <w:tcPr>
            <w:vMerge w:val="continue"/>
          </w:tcPr>
          <w:p/>
        </w:tc>
      </w:tr>
      <w:tr>
        <w:tc>
          <w:tcPr>
            <w:tcW w:type="dxa" w:w="5800"/>
            <w:gridSpan w:val="3"/>
            <w:shd w:fill="F2F2F2"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ESTRUCTURA DE COSTOS</w:t>
            </w:r>
          </w:p>
          <w:p>
            <w:pPr>
              <w:pStyle w:val="ListParagraph"/>
              <w:numPr>
                <w:ilvl w:val="0"/>
                <w:numId w:val="2"/>
              </w:numPr>
              <w:spacing w:after="20" w:line="220"/>
            </w:pPr>
            <w:r>
              <w:rPr>
                <w:rFonts w:ascii="Times New Roman" w:cs="Times New Roman" w:eastAsia="Times New Roman" w:hAnsi="Times New Roman"/>
                <w:sz w:val="14"/>
                <w:szCs w:val="14"/>
              </w:rPr>
              <w:t xml:space="preserve">Equipo fundador: Bs 0 (sin nómina) durante el año 1</w:t>
            </w:r>
          </w:p>
          <w:p>
            <w:pPr>
              <w:pStyle w:val="ListParagraph"/>
              <w:numPr>
                <w:ilvl w:val="0"/>
                <w:numId w:val="2"/>
              </w:numPr>
              <w:spacing w:after="20" w:line="220"/>
            </w:pPr>
            <w:r>
              <w:rPr>
                <w:rFonts w:ascii="Times New Roman" w:cs="Times New Roman" w:eastAsia="Times New Roman" w:hAnsi="Times New Roman"/>
                <w:sz w:val="14"/>
                <w:szCs w:val="14"/>
              </w:rPr>
              <w:t xml:space="preserve">Capital semilla HACKBIZ: Bs 12.000 (US$ 1.200)</w:t>
            </w:r>
          </w:p>
          <w:p>
            <w:pPr>
              <w:pStyle w:val="ListParagraph"/>
              <w:numPr>
                <w:ilvl w:val="0"/>
                <w:numId w:val="2"/>
              </w:numPr>
              <w:spacing w:after="20" w:line="220"/>
            </w:pPr>
            <w:r>
              <w:rPr>
                <w:rFonts w:ascii="Times New Roman" w:cs="Times New Roman" w:eastAsia="Times New Roman" w:hAnsi="Times New Roman"/>
                <w:sz w:val="14"/>
                <w:szCs w:val="14"/>
              </w:rPr>
              <w:t xml:space="preserve">Punto de equilibrio operativo: 2 a 3 colegios</w:t>
            </w:r>
          </w:p>
          <w:p>
            <w:pPr>
              <w:pStyle w:val="ListParagraph"/>
              <w:numPr>
                <w:ilvl w:val="0"/>
                <w:numId w:val="2"/>
              </w:numPr>
              <w:spacing w:after="20" w:line="220"/>
            </w:pPr>
            <w:r>
              <w:rPr>
                <w:rFonts w:ascii="Times New Roman" w:cs="Times New Roman" w:eastAsia="Times New Roman" w:hAnsi="Times New Roman"/>
                <w:sz w:val="14"/>
                <w:szCs w:val="14"/>
              </w:rPr>
              <w:t xml:space="preserve">Equipo pagado real: requiere sumar la suscripción familiar (Sección 5)</w:t>
            </w:r>
          </w:p>
        </w:tc>
        <w:tc>
          <w:tcPr>
            <w:tcW w:type="dxa" w:w="3560"/>
            <w:gridSpan w:val="2"/>
            <w:shd w:fill="F2F2F2" w:color="auto" w:val="clear"/>
            <w:tcMar>
              <w:top w:type="dxa" w:w="90"/>
              <w:left w:type="dxa" w:w="110"/>
              <w:bottom w:type="dxa" w:w="90"/>
              <w:right w:type="dxa" w:w="110"/>
            </w:tcMar>
            <w:vAlign w:val="top"/>
          </w:tcPr>
          <w:p>
            <w:pPr>
              <w:spacing w:after="60" w:line="240"/>
            </w:pPr>
            <w:r>
              <w:rPr>
                <w:rFonts w:ascii="Times New Roman" w:cs="Times New Roman" w:eastAsia="Times New Roman" w:hAnsi="Times New Roman"/>
                <w:b/>
                <w:bCs/>
                <w:color w:val="C00000"/>
                <w:sz w:val="17"/>
                <w:szCs w:val="17"/>
              </w:rPr>
              <w:t xml:space="preserve">FUENTES DE INGRESOS</w:t>
            </w:r>
          </w:p>
          <w:p>
            <w:pPr>
              <w:pStyle w:val="ListParagraph"/>
              <w:numPr>
                <w:ilvl w:val="0"/>
                <w:numId w:val="2"/>
              </w:numPr>
              <w:spacing w:after="20" w:line="220"/>
            </w:pPr>
            <w:r>
              <w:rPr>
                <w:rFonts w:ascii="Times New Roman" w:cs="Times New Roman" w:eastAsia="Times New Roman" w:hAnsi="Times New Roman"/>
                <w:sz w:val="14"/>
                <w:szCs w:val="14"/>
              </w:rPr>
              <w:t xml:space="preserve">Licencia institucional: US$ 850 (Bs 8.500) por colegio al año</w:t>
            </w:r>
          </w:p>
          <w:p>
            <w:pPr>
              <w:pStyle w:val="ListParagraph"/>
              <w:numPr>
                <w:ilvl w:val="0"/>
                <w:numId w:val="2"/>
              </w:numPr>
              <w:spacing w:after="20" w:line="220"/>
            </w:pPr>
            <w:r>
              <w:rPr>
                <w:rFonts w:ascii="Times New Roman" w:cs="Times New Roman" w:eastAsia="Times New Roman" w:hAnsi="Times New Roman"/>
                <w:sz w:val="14"/>
                <w:szCs w:val="14"/>
              </w:rPr>
              <w:t xml:space="preserve">Becas vía ONG para escuelas fiscales</w:t>
            </w:r>
          </w:p>
          <w:p>
            <w:pPr>
              <w:pStyle w:val="ListParagraph"/>
              <w:numPr>
                <w:ilvl w:val="0"/>
                <w:numId w:val="2"/>
              </w:numPr>
              <w:spacing w:after="20" w:line="220"/>
            </w:pPr>
            <w:r>
              <w:rPr>
                <w:rFonts w:ascii="Times New Roman" w:cs="Times New Roman" w:eastAsia="Times New Roman" w:hAnsi="Times New Roman"/>
                <w:sz w:val="14"/>
                <w:szCs w:val="14"/>
              </w:rPr>
              <w:t xml:space="preserve">Capacitación, patrocinio RSE</w:t>
            </w:r>
          </w:p>
          <w:p>
            <w:pPr>
              <w:pStyle w:val="ListParagraph"/>
              <w:numPr>
                <w:ilvl w:val="0"/>
                <w:numId w:val="2"/>
              </w:numPr>
              <w:spacing w:after="20" w:line="220"/>
            </w:pPr>
            <w:r>
              <w:rPr>
                <w:rFonts w:ascii="Times New Roman" w:cs="Times New Roman" w:eastAsia="Times New Roman" w:hAnsi="Times New Roman"/>
                <w:sz w:val="14"/>
                <w:szCs w:val="14"/>
              </w:rPr>
              <w:t xml:space="preserve">Suscripción premium familiar: US$ 3/mes (expansión, año 1)</w:t>
            </w:r>
          </w:p>
          <w:p>
            <w:pPr>
              <w:pStyle w:val="ListParagraph"/>
              <w:numPr>
                <w:ilvl w:val="0"/>
                <w:numId w:val="2"/>
              </w:numPr>
              <w:spacing w:after="20" w:line="220"/>
            </w:pPr>
            <w:r>
              <w:rPr>
                <w:rFonts w:ascii="Times New Roman" w:cs="Times New Roman" w:eastAsia="Times New Roman" w:hAnsi="Times New Roman"/>
                <w:sz w:val="14"/>
                <w:szCs w:val="14"/>
              </w:rPr>
              <w:t xml:space="preserve">Subvenciones: solo desarrollo y evaluación</w:t>
            </w:r>
          </w:p>
        </w:tc>
      </w:tr>
    </w:tbl>
    <w:p>
      <w:r>
        <w:br w:type="page"/>
      </w:r>
    </w:p>
    <w:p>
      <w:pPr>
        <w:pStyle w:val="Heading2"/>
        <w:spacing w:after="160" w:before="280" w:line="360"/>
      </w:pPr>
      <w:r>
        <w:t xml:space="preserve">2.1 Bloque I: Segmento de Clientes</w:t>
      </w:r>
    </w:p>
    <w:p>
      <w:pPr>
        <w:spacing w:after="120" w:before="0" w:line="360"/>
        <w:jc w:val="left"/>
      </w:pPr>
      <w:r>
        <w:rPr>
          <w:rFonts w:ascii="Times New Roman" w:cs="Times New Roman" w:eastAsia="Times New Roman" w:hAnsi="Times New Roman"/>
          <w:b/>
          <w:bCs/>
          <w:i w:val="false"/>
          <w:iCs w:val="false"/>
          <w:sz w:val="24"/>
          <w:szCs w:val="24"/>
        </w:rPr>
        <w:t xml:space="preserve">2.1.1 Descripción de los segmentos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producto separa con claridad tres roles que habitualmente se confunden: quién usa, quién decide y quién paga.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2400"/>
        <w:gridCol w:w="2400"/>
        <w:gridCol w:w="21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Qué obtiene</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Prioridad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Niñas y niños de 6 a 12 años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Beneficiario final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 límites, red de confianza y pedir ayuda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de primaria o facilitador de ONG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Usuario operador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Kit listo para conducir la sesión y protocolo de derivación</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Transversal</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Colegios privados y de convenio de Santa Cruz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y pagador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Cumple su deber de protección con costo bajo y predecible</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ONG con programa escolar de protección</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pagador y aliado</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Herramienta alineada a su marco lógico, con indicadores reportables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Empresas con responsabilidad social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Pagador patrocinador</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Impacto medible y reportable, sin exponer a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Gobierno Municipal y Defensoría de la Niñez</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Cliente B2G</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Cobertura de su mandato de prevención a bajo costo por niño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 (año 2-3)</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 de niñas y niños en colegios aliados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Pagador directo, opcional (visión a 1 año)</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Módulos de aprendizaje adicionales para su hijo o hija, nunca el núcleo de prevención</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Ver Sección 5</w:t>
            </w:r>
          </w:p>
        </w:tc>
      </w:tr>
    </w:tbl>
    <w:p>
      <w:pPr>
        <w:spacing w:after="200" w:before="60" w:line="240"/>
      </w:pPr>
      <w:r>
        <w:rPr>
          <w:rFonts w:ascii="Times New Roman" w:cs="Times New Roman" w:eastAsia="Times New Roman" w:hAnsi="Times New Roman"/>
          <w:i/>
          <w:iCs/>
          <w:color w:val="595959"/>
          <w:sz w:val="18"/>
          <w:szCs w:val="18"/>
        </w:rPr>
        <w:t xml:space="preserve">Tabla 1. Segmentos de clientes y su rol en el modelo.</w:t>
      </w:r>
    </w:p>
    <w:p>
      <w:pPr>
        <w:spacing w:after="120" w:before="0" w:line="360"/>
        <w:jc w:val="left"/>
      </w:pPr>
      <w:r>
        <w:rPr>
          <w:rFonts w:ascii="Times New Roman" w:cs="Times New Roman" w:eastAsia="Times New Roman" w:hAnsi="Times New Roman"/>
          <w:b/>
          <w:bCs/>
          <w:i w:val="false"/>
          <w:iCs w:val="false"/>
          <w:sz w:val="24"/>
          <w:szCs w:val="24"/>
        </w:rPr>
        <w:t xml:space="preserve">2.1.2 Criterios de segmentación</w:t>
      </w:r>
    </w:p>
    <w:p>
      <w:pPr>
        <w:pStyle w:val="ListParagraph"/>
        <w:numPr>
          <w:ilvl w:val="0"/>
          <w:numId w:val="3"/>
        </w:numPr>
        <w:spacing w:after="80" w:line="360"/>
      </w:pPr>
      <w:r>
        <w:rPr>
          <w:rFonts w:ascii="Times New Roman" w:cs="Times New Roman" w:eastAsia="Times New Roman" w:hAnsi="Times New Roman"/>
          <w:sz w:val="24"/>
          <w:szCs w:val="24"/>
        </w:rPr>
        <w:t xml:space="preserve">Geográfico: departamento de Santa Cruz, con foco inicial en el área metropolitana de Santa Cruz de la Sierra.</w:t>
      </w:r>
    </w:p>
    <w:p>
      <w:pPr>
        <w:pStyle w:val="ListParagraph"/>
        <w:numPr>
          <w:ilvl w:val="0"/>
          <w:numId w:val="3"/>
        </w:numPr>
        <w:spacing w:after="80" w:line="360"/>
      </w:pPr>
      <w:r>
        <w:rPr>
          <w:rFonts w:ascii="Times New Roman" w:cs="Times New Roman" w:eastAsia="Times New Roman" w:hAnsi="Times New Roman"/>
          <w:sz w:val="24"/>
          <w:szCs w:val="24"/>
        </w:rPr>
        <w:t xml:space="preserve">Institucional: unidades educativas de nivel primario, de dependencia privada, de convenio o fiscal.</w:t>
      </w:r>
    </w:p>
    <w:p>
      <w:pPr>
        <w:pStyle w:val="ListParagraph"/>
        <w:numPr>
          <w:ilvl w:val="0"/>
          <w:numId w:val="3"/>
        </w:numPr>
        <w:spacing w:after="80" w:line="360"/>
      </w:pPr>
      <w:r>
        <w:rPr>
          <w:rFonts w:ascii="Times New Roman" w:cs="Times New Roman" w:eastAsia="Times New Roman" w:hAnsi="Times New Roman"/>
          <w:sz w:val="24"/>
          <w:szCs w:val="24"/>
        </w:rPr>
        <w:t xml:space="preserve">Operativo: instituciones que cuentan con al menos un dispositivo proyectable y conexión a internet funcional, condición necesaria para la modalidad de aula.</w:t>
      </w:r>
    </w:p>
    <w:p>
      <w:pPr>
        <w:pStyle w:val="ListParagraph"/>
        <w:numPr>
          <w:ilvl w:val="0"/>
          <w:numId w:val="3"/>
        </w:numPr>
        <w:spacing w:after="80" w:line="360"/>
      </w:pPr>
      <w:r>
        <w:rPr>
          <w:rFonts w:ascii="Times New Roman" w:cs="Times New Roman" w:eastAsia="Times New Roman" w:hAnsi="Times New Roman"/>
          <w:sz w:val="24"/>
          <w:szCs w:val="24"/>
        </w:rPr>
        <w:t xml:space="preserve">De decisión: en el segmento privado decide la dirección o propiedad, con influencia del departamento psicopedagógico; en el segmento de ONG decide la coordinación de protección o de educación del programa.</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2.1.3 Cuantificación de la demanda: análisis TAM - SAM - SOM</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aula sigue siendo la unidad de uso e impacto, porque la experiencia se ejecuta de manera grupal sobre un solo dispositivo proyectado. Pero la unidad de venta es el colegio completo: una sola licencia institucional cubre todas las aulas de primaria de la institución, lo que concentra en una sola decisión de compra lo que antes requería negociar aula por aula. El tamaño del mercado (TAM y SAM) se calcula igual, en aulas y en población; lo que cambia es cómo se agrupa para vender y, por eso, la meta comercial (SOM) y la proyección de ingresos se expresan en colegios.</w:t>
      </w:r>
    </w:p>
    <w:p>
      <w:pPr>
        <w:spacing w:after="120" w:before="160" w:line="360"/>
        <w:jc w:val="left"/>
      </w:pPr>
      <w:r>
        <w:rPr>
          <w:rFonts w:ascii="Times New Roman" w:cs="Times New Roman" w:eastAsia="Times New Roman" w:hAnsi="Times New Roman"/>
          <w:b/>
          <w:bCs/>
          <w:i w:val="false"/>
          <w:iCs w:val="false"/>
          <w:sz w:val="24"/>
          <w:szCs w:val="24"/>
        </w:rPr>
        <w:t xml:space="preserve">Datos poblacionales de referencia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680"/>
        <w:gridCol w:w="4680"/>
      </w:tblGrid>
      <w:tr>
        <w:trPr>
          <w:tblHeader/>
        </w:trPr>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 geográfico</w:t>
            </w:r>
          </w:p>
        </w:tc>
        <w:tc>
          <w:tcPr>
            <w:tcW w:type="dxa" w:w="4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Población total (habitantes)</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Bolivia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11.365.333</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Santa Cruz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3.122.605</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La Paz</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3.030.917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Cochabamba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2.016.357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Potosí</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856.419</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Chuquisaca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606.027</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Oruro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570.194</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Tarija</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534.210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Beni</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488.260</w:t>
            </w:r>
          </w:p>
        </w:tc>
      </w:tr>
      <w:tr>
        <w:tc>
          <w:tcPr>
            <w:tcW w:type="dxa" w:w="468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Pando</w:t>
            </w:r>
          </w:p>
        </w:tc>
        <w:tc>
          <w:tcPr>
            <w:tcW w:type="dxa" w:w="4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134.194</w:t>
            </w:r>
          </w:p>
        </w:tc>
      </w:tr>
    </w:tbl>
    <w:p>
      <w:pPr>
        <w:spacing w:after="200" w:before="60" w:line="240"/>
      </w:pPr>
      <w:r>
        <w:rPr>
          <w:rFonts w:ascii="Times New Roman" w:cs="Times New Roman" w:eastAsia="Times New Roman" w:hAnsi="Times New Roman"/>
          <w:i/>
          <w:iCs/>
          <w:color w:val="595959"/>
          <w:sz w:val="18"/>
          <w:szCs w:val="18"/>
        </w:rPr>
        <w:t xml:space="preserve">Tabla 2. Población por departamento. Fuente: INE, Censo de Población y Vivienda 2024 (resultados finales).</w:t>
      </w:r>
    </w:p>
    <w:p>
      <w:pPr>
        <w:spacing w:after="120" w:before="160" w:line="360"/>
        <w:jc w:val="left"/>
      </w:pPr>
      <w:r>
        <w:rPr>
          <w:rFonts w:ascii="Times New Roman" w:cs="Times New Roman" w:eastAsia="Times New Roman" w:hAnsi="Times New Roman"/>
          <w:b/>
          <w:bCs/>
          <w:i w:val="false"/>
          <w:iCs w:val="false"/>
          <w:sz w:val="24"/>
          <w:szCs w:val="24"/>
        </w:rPr>
        <w:t xml:space="preserve">Paso 1. TAM — Universo máximo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base</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educación primaria en Bolivia (INE, Anuario 2024)</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1.372.800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inicial</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Conversión a aulas, supuesto de 26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26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Total TAM (volumen, aulas)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de primaria en todo el país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52.800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Equivalente en colegios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52.800 aulas ÷ 8 aulas por colegio (estimación)</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6.600 colegios</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6.600 colegios × Bs 8.500 por año</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56.100.000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TAM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US$ 5.610.000</w:t>
            </w:r>
          </w:p>
        </w:tc>
      </w:tr>
    </w:tbl>
    <w:p>
      <w:pPr>
        <w:spacing w:after="200" w:before="60" w:line="240"/>
      </w:pPr>
      <w:r>
        <w:rPr>
          <w:rFonts w:ascii="Times New Roman" w:cs="Times New Roman" w:eastAsia="Times New Roman" w:hAnsi="Times New Roman"/>
          <w:i/>
          <w:iCs/>
          <w:color w:val="595959"/>
          <w:sz w:val="18"/>
          <w:szCs w:val="18"/>
        </w:rPr>
        <w:t xml:space="preserve">Tabla 3. Mercado total direccionable. El precio de referencia es la licencia institucional anual de US$ 850 (Bs 8.500) por colegio completo, no un precio por aula.</w:t>
      </w:r>
    </w:p>
    <w:p>
      <w:pPr>
        <w:spacing w:after="120" w:before="160" w:line="360"/>
        <w:jc w:val="left"/>
      </w:pPr>
      <w:r>
        <w:rPr>
          <w:rFonts w:ascii="Times New Roman" w:cs="Times New Roman" w:eastAsia="Times New Roman" w:hAnsi="Times New Roman"/>
          <w:b/>
          <w:bCs/>
          <w:i w:val="false"/>
          <w:iCs w:val="false"/>
          <w:sz w:val="24"/>
          <w:szCs w:val="24"/>
        </w:rPr>
        <w:t xml:space="preserve">Paso 2. SAM — Segmento objetivo del proyecto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Base geográfica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Estudiantes de primaria en el departamento de Santa Cruz</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Desagregación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Dependencia fiscal 360.400 / dependencia privada 45.300</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Aulas equivalentes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405.700 ÷ 27 estudiantes por aula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15.026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1 (perfil de usuario)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Instituciones con dispositivo proyectable y conexión operativa: 50 % (estimación)</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50 %</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Filtro 2 (problema / nicho)</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Nivel primario completo, cubierto por los dos modos de edad del producto: 100 %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100 %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(volumen, aulas)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Aulas servibles en Santa Cruz (≈ 195.000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7.500 aulas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SAM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900 aulas de pago directo (privadas y de convenio) y ≈ 6.600 vía beca</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Equivalente en colegios</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900 aulas privadas ÷ 8 por colegio · 6.600 aulas fiscales ÷ 20 por colegio (estimación, escuela fiscal más grande)</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113 colegios privados · 330 colegios fiscales</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Bs)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113 colegios × Bs 8.500 + 330 colegios × Bs 6.000 (tarifa negociada ONG)</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2.940.500</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SAM (valor anual, US$)</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Tipo de cambio referencial Bs 10,00 por dólar</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US$ 294.050</w:t>
            </w:r>
          </w:p>
        </w:tc>
      </w:tr>
    </w:tbl>
    <w:p>
      <w:pPr>
        <w:spacing w:after="200" w:before="60" w:line="240"/>
      </w:pPr>
      <w:r>
        <w:rPr>
          <w:rFonts w:ascii="Times New Roman" w:cs="Times New Roman" w:eastAsia="Times New Roman" w:hAnsi="Times New Roman"/>
          <w:i/>
          <w:iCs/>
          <w:color w:val="595959"/>
          <w:sz w:val="18"/>
          <w:szCs w:val="18"/>
        </w:rPr>
        <w:t xml:space="preserve">Tabla 4. Mercado servible disponible. El filtro de conectividad es una estimación pendiente de validar con la Dirección Departamental de Educación.</w:t>
      </w:r>
    </w:p>
    <w:p>
      <w:pPr>
        <w:spacing w:after="120" w:before="160" w:line="360"/>
        <w:jc w:val="left"/>
      </w:pPr>
      <w:r>
        <w:rPr>
          <w:rFonts w:ascii="Times New Roman" w:cs="Times New Roman" w:eastAsia="Times New Roman" w:hAnsi="Times New Roman"/>
          <w:b/>
          <w:bCs/>
          <w:i w:val="false"/>
          <w:iCs w:val="false"/>
          <w:sz w:val="24"/>
          <w:szCs w:val="24"/>
        </w:rPr>
        <w:t xml:space="preserve">Paso 3. SOM — Meta realista a corto plazo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3480"/>
        <w:gridCol w:w="24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3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Detalle</w:t>
            </w:r>
          </w:p>
        </w:tc>
        <w:tc>
          <w:tcPr>
            <w:tcW w:type="dxa" w:w="24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Capacidad de adquisición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Venta relacional de cuatro fundadores a tiempo parcial, con Bs 6.960 (US$ 696) de activación en los primeros tres meses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 a 8 instituciones contactadas por mes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Cohorte gratuita de validación</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Lanzamiento sin costo hasta 1.000 usuarios</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5 colegios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Tasa de conversión estimada</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 colegios sobre 443 colegios del SAM (7,5 %). Referencia sectorial de conversión freemium en EdTech: 2,6 % a 8,5 %</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4 %</w:t>
            </w:r>
          </w:p>
        </w:tc>
      </w:tr>
      <w:tr>
        <w:tc>
          <w:tcPr>
            <w:tcW w:type="dxa" w:w="34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SOM (volumen)</w:t>
            </w:r>
          </w:p>
        </w:tc>
        <w:tc>
          <w:tcPr>
            <w:tcW w:type="dxa" w:w="3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Colegios activos al mes 12 (136 aulas equivalentes, ≈ 3.400 niñas y niños)</w:t>
            </w:r>
          </w:p>
        </w:tc>
        <w:tc>
          <w:tcPr>
            <w:tcW w:type="dxa" w:w="24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17 colegios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Composición del SOM</w:t>
            </w:r>
          </w:p>
        </w:tc>
        <w:tc>
          <w:tcPr>
            <w:tcW w:type="dxa" w:w="3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 colegios privados con licencia pagada y 5 colegios fiscales vía convenio de beca con ONG</w:t>
            </w:r>
          </w:p>
        </w:tc>
        <w:tc>
          <w:tcPr>
            <w:tcW w:type="dxa" w:w="24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w:t>
            </w:r>
          </w:p>
        </w:tc>
      </w:tr>
    </w:tbl>
    <w:p>
      <w:pPr>
        <w:spacing w:after="200" w:before="60" w:line="240"/>
      </w:pPr>
      <w:r>
        <w:rPr>
          <w:rFonts w:ascii="Times New Roman" w:cs="Times New Roman" w:eastAsia="Times New Roman" w:hAnsi="Times New Roman"/>
          <w:i/>
          <w:iCs/>
          <w:color w:val="595959"/>
          <w:sz w:val="18"/>
          <w:szCs w:val="18"/>
        </w:rPr>
        <w:t xml:space="preserve">Tabla 5. Mercado obtenible a doce meses. El ciclo de decisión escolar en Bolivia se concentra entre noviembre y febrero, lo que condiciona el calendario comercial.</w:t>
      </w:r>
    </w:p>
    <w:p>
      <w:pPr>
        <w:spacing w:after="120" w:before="160" w:line="360"/>
        <w:jc w:val="left"/>
      </w:pPr>
      <w:r>
        <w:rPr>
          <w:rFonts w:ascii="Times New Roman" w:cs="Times New Roman" w:eastAsia="Times New Roman" w:hAnsi="Times New Roman"/>
          <w:b/>
          <w:bCs/>
          <w:i w:val="false"/>
          <w:iCs w:val="false"/>
          <w:sz w:val="24"/>
          <w:szCs w:val="24"/>
        </w:rPr>
        <w:t xml:space="preserve">Paso 4. Proyección de ingresos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60"/>
        <w:gridCol w:w="1700"/>
        <w:gridCol w:w="1750"/>
        <w:gridCol w:w="175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 de ingreso</w:t>
            </w:r>
          </w:p>
        </w:tc>
        <w:tc>
          <w:tcPr>
            <w:tcW w:type="dxa" w:w="1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Unidades</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(Bs)</w:t>
            </w:r>
          </w:p>
        </w:tc>
        <w:tc>
          <w:tcPr>
            <w:tcW w:type="dxa" w:w="175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Anual (US$)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institucional, colegios privados</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 colegios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8.500,00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102.000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10.200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Convenio ONG, colegios fiscales</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 colegios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y recertificación anual</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 colegios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Patrocinio RSE (paquete corporativo)</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patrocinio</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1.666,67</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w:t>
            </w:r>
          </w:p>
        </w:tc>
      </w:tr>
      <w:tr>
        <w:tc>
          <w:tcPr>
            <w:tcW w:type="dxa" w:w="26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Subtotal núcleo institucional (mes 12)</w:t>
            </w:r>
          </w:p>
        </w:tc>
        <w:tc>
          <w:tcPr>
            <w:tcW w:type="dxa" w:w="156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17 colegios</w:t>
            </w:r>
          </w:p>
        </w:tc>
        <w:tc>
          <w:tcPr>
            <w:tcW w:type="dxa" w:w="17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13.916,67</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167.000</w:t>
            </w:r>
          </w:p>
        </w:tc>
        <w:tc>
          <w:tcPr>
            <w:tcW w:type="dxa" w:w="175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16.700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Suscripción premium familiar (expansión)</w:t>
            </w:r>
          </w:p>
        </w:tc>
        <w:tc>
          <w:tcPr>
            <w:tcW w:type="dxa" w:w="15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 familias</w:t>
            </w:r>
          </w:p>
        </w:tc>
        <w:tc>
          <w:tcPr>
            <w:tcW w:type="dxa" w:w="17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5.100,00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61.200</w:t>
            </w:r>
          </w:p>
        </w:tc>
        <w:tc>
          <w:tcPr>
            <w:tcW w:type="dxa" w:w="175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6.120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a régimen (mes 12), con expansión</w:t>
            </w:r>
          </w:p>
        </w:tc>
        <w:tc>
          <w:tcPr>
            <w:tcW w:type="dxa" w:w="15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17 colegios + 170 familias</w:t>
            </w:r>
          </w:p>
        </w:tc>
        <w:tc>
          <w:tcPr>
            <w:tcW w:type="dxa" w:w="17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19.016,67</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228.200</w:t>
            </w:r>
          </w:p>
        </w:tc>
        <w:tc>
          <w:tcPr>
            <w:tcW w:type="dxa" w:w="175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22.820</w:t>
            </w:r>
          </w:p>
        </w:tc>
      </w:tr>
    </w:tbl>
    <w:p>
      <w:pPr>
        <w:spacing w:after="200" w:before="60" w:line="240"/>
      </w:pPr>
      <w:r>
        <w:rPr>
          <w:rFonts w:ascii="Times New Roman" w:cs="Times New Roman" w:eastAsia="Times New Roman" w:hAnsi="Times New Roman"/>
          <w:i/>
          <w:iCs/>
          <w:color w:val="595959"/>
          <w:sz w:val="18"/>
          <w:szCs w:val="18"/>
        </w:rPr>
        <w:t xml:space="preserve">Tabla 6. Proyección de ingresos al mes 12. El «subtotal núcleo institucional» es la venta a colegios y ONG por sí sola; el total incluye la suscripción premium familiar desarrollada en la Sección 5. Ambas cifras deben leerse como el nivel alcanzado al cierre del primer año, no como el promedio de los doce meses.</w:t>
      </w:r>
    </w:p>
    <w:p>
      <w:pPr>
        <w:pStyle w:val="Heading2"/>
        <w:spacing w:after="160" w:before="280" w:line="360"/>
      </w:pPr>
      <w:r>
        <w:t xml:space="preserve">2.2 Bloque II: Propuesta de Valor</w:t>
      </w:r>
    </w:p>
    <w:p>
      <w:pPr>
        <w:spacing w:after="120" w:before="0" w:line="360"/>
        <w:jc w:val="left"/>
      </w:pPr>
      <w:r>
        <w:rPr>
          <w:rFonts w:ascii="Times New Roman" w:cs="Times New Roman" w:eastAsia="Times New Roman" w:hAnsi="Times New Roman"/>
          <w:b/>
          <w:bCs/>
          <w:i w:val="false"/>
          <w:iCs w:val="false"/>
          <w:sz w:val="24"/>
          <w:szCs w:val="24"/>
        </w:rPr>
        <w:t xml:space="preserve">2.2.1 El problema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Niñas y niños de 6 a 12 años en Santa Cruz no cuentan, antes de que exista daño, con un lenguaje simple para reconocer una situación de riesgo ni con una red de personas adultas de confianza que sepa escuchar y derivar. La escuela y la familia suelen llegar tarde, minimizar el hecho o carecer de un procedimiento claro. Cuando el agresor pertenece al entorno familiar, la familia deja de ser la vía de protección disponible y el personal docente puede ser la única persona adulta a la que el niño se atreva a contar.</w:t>
      </w:r>
    </w:p>
    <w:p>
      <w:pPr>
        <w:spacing w:after="120" w:before="0" w:line="360"/>
        <w:jc w:val="left"/>
      </w:pPr>
      <w:r>
        <w:rPr>
          <w:rFonts w:ascii="Times New Roman" w:cs="Times New Roman" w:eastAsia="Times New Roman" w:hAnsi="Times New Roman"/>
          <w:b/>
          <w:bCs/>
          <w:i w:val="false"/>
          <w:iCs w:val="false"/>
          <w:sz w:val="24"/>
          <w:szCs w:val="24"/>
        </w:rPr>
        <w:t xml:space="preserve">2.2.2 La propuesta por segmento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200"/>
        <w:gridCol w:w="7160"/>
      </w:tblGrid>
      <w:tr>
        <w:trPr>
          <w:tblHeader/>
        </w:trPr>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w:t>
            </w:r>
          </w:p>
        </w:tc>
        <w:tc>
          <w:tcPr>
            <w:tcW w:type="dxa" w:w="7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Propuesta de valor</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Niña o niño</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Practicar jugando, en un entorno cerrado y sin personas desconocidas, saludos que se pueden rechazar, la diferencia entre un secreto que pesa y una sorpresa, y a quién acudir cuando algo no está bien.</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Docente o facilitador</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 kit listo para tres o cuatro sesiones de 20 a 40 minutos, con guion, cierre conversado, panel de seguimiento y un protocolo claro de qué hacer ante una revelación, repetible sin necesidad de un tallerista externo.</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Una guía breve sobre cómo escuchar sin culpar y a dónde derivar, con las rutas oficiales bolivianas.</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Institución</w:t>
            </w:r>
          </w:p>
        </w:tc>
        <w:tc>
          <w:tcPr>
            <w:tcW w:type="dxa" w:w="7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Cumplimiento del deber de prevención con un costo por aula bajo y predecible, indicadores agregados reportables y material contextualizado a la normativa nacional.</w:t>
            </w:r>
          </w:p>
        </w:tc>
      </w:tr>
    </w:tbl>
    <w:p>
      <w:pPr>
        <w:spacing w:after="200" w:before="60" w:line="240"/>
      </w:pPr>
      <w:r>
        <w:rPr>
          <w:rFonts w:ascii="Times New Roman" w:cs="Times New Roman" w:eastAsia="Times New Roman" w:hAnsi="Times New Roman"/>
          <w:i/>
          <w:iCs/>
          <w:color w:val="595959"/>
          <w:sz w:val="18"/>
          <w:szCs w:val="18"/>
        </w:rPr>
        <w:t xml:space="preserve">Tabla 7. Propuesta de valor diferenciada por segmento.</w:t>
      </w:r>
    </w:p>
    <w:p>
      <w:pPr>
        <w:spacing w:after="120" w:before="0" w:line="360"/>
        <w:jc w:val="left"/>
      </w:pPr>
      <w:r>
        <w:rPr>
          <w:rFonts w:ascii="Times New Roman" w:cs="Times New Roman" w:eastAsia="Times New Roman" w:hAnsi="Times New Roman"/>
          <w:b/>
          <w:bCs/>
          <w:i w:val="false"/>
          <w:iCs w:val="false"/>
          <w:sz w:val="24"/>
          <w:szCs w:val="24"/>
        </w:rPr>
        <w:t xml:space="preserve">2.2.3 Descripción del prototipo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experiencia consta de cuatro episodios y un cierre integrador, construidos sobre una isla que se reconstruye a medida que el aula practica cada acuerdo. Los episodios son: «Saludo que puedo elegir», «Mi círculo de 3», «Secreto que pesa o sorpresa» y «A quién le cuento». El progreso se guarda únicamente como marca de episodio completado, asociada al aula y nunca a una niña o un niño en particular.</w:t>
      </w:r>
    </w:p>
    <w:p>
      <w:pPr>
        <w:spacing w:after="120" w:before="0" w:line="360"/>
        <w:jc w:val="left"/>
      </w:pPr>
      <w:r>
        <w:rPr>
          <w:rFonts w:ascii="Times New Roman" w:cs="Times New Roman" w:eastAsia="Times New Roman" w:hAnsi="Times New Roman"/>
          <w:b/>
          <w:bCs/>
          <w:i w:val="false"/>
          <w:iCs w:val="false"/>
          <w:sz w:val="24"/>
          <w:szCs w:val="24"/>
        </w:rPr>
        <w:t xml:space="preserve">2.2.4 Lo que el producto explícitamente no hace</w:t>
      </w:r>
    </w:p>
    <w:p>
      <w:pPr>
        <w:pStyle w:val="ListParagraph"/>
        <w:numPr>
          <w:ilvl w:val="0"/>
          <w:numId w:val="3"/>
        </w:numPr>
        <w:spacing w:after="80" w:line="360"/>
      </w:pPr>
      <w:r>
        <w:rPr>
          <w:rFonts w:ascii="Times New Roman" w:cs="Times New Roman" w:eastAsia="Times New Roman" w:hAnsi="Times New Roman"/>
          <w:sz w:val="24"/>
          <w:szCs w:val="24"/>
        </w:rPr>
        <w:t xml:space="preserve">No diagnostica ni clasifica a ningún niño según nivel de riesgo.</w:t>
      </w:r>
    </w:p>
    <w:p>
      <w:pPr>
        <w:pStyle w:val="ListParagraph"/>
        <w:numPr>
          <w:ilvl w:val="0"/>
          <w:numId w:val="3"/>
        </w:numPr>
        <w:spacing w:after="80" w:line="360"/>
      </w:pPr>
      <w:r>
        <w:rPr>
          <w:rFonts w:ascii="Times New Roman" w:cs="Times New Roman" w:eastAsia="Times New Roman" w:hAnsi="Times New Roman"/>
          <w:sz w:val="24"/>
          <w:szCs w:val="24"/>
        </w:rPr>
        <w:t xml:space="preserve">No incorpora chat, diario ni ningún espacio donde un menor escriba lo que le ocurrió.</w:t>
      </w:r>
    </w:p>
    <w:p>
      <w:pPr>
        <w:pStyle w:val="ListParagraph"/>
        <w:numPr>
          <w:ilvl w:val="0"/>
          <w:numId w:val="3"/>
        </w:numPr>
        <w:spacing w:after="80" w:line="360"/>
      </w:pPr>
      <w:r>
        <w:rPr>
          <w:rFonts w:ascii="Times New Roman" w:cs="Times New Roman" w:eastAsia="Times New Roman" w:hAnsi="Times New Roman"/>
          <w:sz w:val="24"/>
          <w:szCs w:val="24"/>
        </w:rPr>
        <w:t xml:space="preserve">No almacena relatos, nombres, fotografías ni voz de menores.</w:t>
      </w:r>
    </w:p>
    <w:p>
      <w:pPr>
        <w:pStyle w:val="ListParagraph"/>
        <w:numPr>
          <w:ilvl w:val="0"/>
          <w:numId w:val="3"/>
        </w:numPr>
        <w:spacing w:after="80" w:line="360"/>
      </w:pPr>
      <w:r>
        <w:rPr>
          <w:rFonts w:ascii="Times New Roman" w:cs="Times New Roman" w:eastAsia="Times New Roman" w:hAnsi="Times New Roman"/>
          <w:sz w:val="24"/>
          <w:szCs w:val="24"/>
        </w:rPr>
        <w:t xml:space="preserve">No reemplaza el protocolo humano de la institución: deriva hacia él.</w:t>
      </w:r>
    </w:p>
    <w:p>
      <w:pPr>
        <w:spacing w:after="120"/>
      </w:pPr>
    </w:p>
    <w:p>
      <w:pPr>
        <w:pStyle w:val="Heading2"/>
        <w:spacing w:after="160" w:before="280" w:line="360"/>
      </w:pPr>
      <w:r>
        <w:t xml:space="preserve">2.3 Bloque III: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2.3.1 Descripción de canales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4160"/>
        <w:gridCol w:w="260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Canal</w:t>
            </w:r>
          </w:p>
        </w:tc>
        <w:tc>
          <w:tcPr>
            <w:tcW w:type="dxa" w:w="4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Venta directa institucional</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Reuniones con dirección y coordinación de primaria en colegios privados y de convenio de Santa Cruz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 con ONG</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Organizaciones con programas escolares ya instalados en escuelas fiscales incorporan el kit a su marco lógico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Programa de aliados en salud</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Consultorios psicológicos, pediatría y seguros de salud recomiendan la herramienta a familias que ya buscan ayuda</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Socio, indirecto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Mesas municipales de protección</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Espacios de articulación del Gobierno Municipal y la Defensoría de la Niñez</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Entrega del producto</w:t>
            </w:r>
          </w:p>
        </w:tc>
        <w:tc>
          <w:tcPr>
            <w:tcW w:type="dxa" w:w="4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web progresiva, sin instalador, en modalidad de aula proyectada con un solo dispositivo</w:t>
            </w:r>
          </w:p>
        </w:tc>
        <w:tc>
          <w:tcPr>
            <w:tcW w:type="dxa" w:w="2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Propio, digital</w:t>
            </w:r>
          </w:p>
        </w:tc>
      </w:tr>
    </w:tbl>
    <w:p>
      <w:pPr>
        <w:spacing w:after="200" w:before="60" w:line="240"/>
      </w:pPr>
      <w:r>
        <w:rPr>
          <w:rFonts w:ascii="Times New Roman" w:cs="Times New Roman" w:eastAsia="Times New Roman" w:hAnsi="Times New Roman"/>
          <w:i/>
          <w:iCs/>
          <w:color w:val="595959"/>
          <w:sz w:val="18"/>
          <w:szCs w:val="18"/>
        </w:rPr>
        <w:t xml:space="preserve">Tabla 8. Canales de distribución y comunicación.</w:t>
      </w:r>
    </w:p>
    <w:p>
      <w:pPr>
        <w:spacing w:after="120" w:before="0" w:line="360"/>
        <w:jc w:val="left"/>
      </w:pPr>
      <w:r>
        <w:rPr>
          <w:rFonts w:ascii="Times New Roman" w:cs="Times New Roman" w:eastAsia="Times New Roman" w:hAnsi="Times New Roman"/>
          <w:b/>
          <w:bCs/>
          <w:i w:val="false"/>
          <w:iCs w:val="false"/>
          <w:sz w:val="24"/>
          <w:szCs w:val="24"/>
        </w:rPr>
        <w:t xml:space="preserve">2.3.2 Flujograma del canal principal</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1100"/>
        <w:gridCol w:w="3600"/>
        <w:gridCol w:w="2330"/>
        <w:gridCol w:w="2330"/>
      </w:tblGrid>
      <w:tr>
        <w:trPr>
          <w:tblHeader/>
        </w:trPr>
        <w:tc>
          <w:tcPr>
            <w:tcW w:type="dxa" w:w="1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Fase</w:t>
            </w:r>
          </w:p>
        </w:tc>
        <w:tc>
          <w:tcPr>
            <w:tcW w:type="dxa" w:w="3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Responsable</w:t>
            </w:r>
          </w:p>
        </w:tc>
        <w:tc>
          <w:tcPr>
            <w:tcW w:type="dxa" w:w="233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Resultado esperado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1</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Identificación y contacto de la institución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marketing</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Reunión agendada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Demostración del episodio 1 en vivo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 y desarrollo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Interés validado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3</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Revisión del protocolo y aval psicológico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Confianza institucional</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4</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Acuerdo de implementación y consentimiento institucional</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Dirección del colegio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Contrato firmado</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Capacitación de docentes (4 horas, agrupada)</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Psicología y 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habilitados</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6</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Ejecución del ciclo en aula y cierre conversado</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 activa</w:t>
            </w:r>
          </w:p>
        </w:tc>
      </w:tr>
      <w:tr>
        <w:tc>
          <w:tcPr>
            <w:tcW w:type="dxa" w:w="1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7</w:t>
            </w:r>
          </w:p>
        </w:tc>
        <w:tc>
          <w:tcPr>
            <w:tcW w:type="dxa" w:w="36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Informe agregado y renovación</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Negocios</w:t>
            </w:r>
          </w:p>
        </w:tc>
        <w:tc>
          <w:tcPr>
            <w:tcW w:type="dxa" w:w="233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Renovación anual</w:t>
            </w:r>
          </w:p>
        </w:tc>
      </w:tr>
    </w:tbl>
    <w:p>
      <w:pPr>
        <w:spacing w:after="200" w:before="60" w:line="240"/>
      </w:pPr>
      <w:r>
        <w:rPr>
          <w:rFonts w:ascii="Times New Roman" w:cs="Times New Roman" w:eastAsia="Times New Roman" w:hAnsi="Times New Roman"/>
          <w:i/>
          <w:iCs/>
          <w:color w:val="595959"/>
          <w:sz w:val="18"/>
          <w:szCs w:val="18"/>
        </w:rPr>
        <w:t xml:space="preserve">Tabla 9. Flujograma del canal de venta directa institucional.</w:t>
      </w:r>
    </w:p>
    <w:p>
      <w:pPr>
        <w:spacing w:after="120" w:before="0" w:line="360"/>
        <w:jc w:val="left"/>
      </w:pPr>
      <w:r>
        <w:rPr>
          <w:rFonts w:ascii="Times New Roman" w:cs="Times New Roman" w:eastAsia="Times New Roman" w:hAnsi="Times New Roman"/>
          <w:b/>
          <w:bCs/>
          <w:i w:val="false"/>
          <w:iCs w:val="false"/>
          <w:sz w:val="24"/>
          <w:szCs w:val="24"/>
        </w:rPr>
        <w:t xml:space="preserve">2.3.3 Costos del canal</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canal está diseñado para minimizar tanto el costo como la huella ambiental. La capacitación es híbrida: la parte teórica se dicta en línea y la práctica se agrupa por sede reuniendo docentes de varios colegios, lo que reduce desplazamientos. El material para familias se envía en formato digital liviano a través del colegio y solo se imprime bajo demanda. El costo comercial se concentra en los Bs 6.960 (US$ 696) de activación de los tres primeros meses, detallados en el Bloque IX.</w:t>
      </w:r>
    </w:p>
    <w:p>
      <w:pPr>
        <w:pStyle w:val="Heading2"/>
        <w:spacing w:after="160" w:before="280" w:line="360"/>
      </w:pPr>
      <w:r>
        <w:t xml:space="preserve">2.4 Bloque IV: Relación con el Cliente</w:t>
      </w:r>
    </w:p>
    <w:p>
      <w:pPr>
        <w:spacing w:after="120" w:before="0" w:line="360"/>
        <w:jc w:val="left"/>
      </w:pPr>
      <w:r>
        <w:rPr>
          <w:rFonts w:ascii="Times New Roman" w:cs="Times New Roman" w:eastAsia="Times New Roman" w:hAnsi="Times New Roman"/>
          <w:b/>
          <w:bCs/>
          <w:i w:val="false"/>
          <w:iCs w:val="false"/>
          <w:sz w:val="24"/>
          <w:szCs w:val="24"/>
        </w:rPr>
        <w:t xml:space="preserve">2.4.1 Estrategia de relacionamiento</w:t>
      </w:r>
    </w:p>
    <w:p>
      <w:pPr>
        <w:pStyle w:val="ListParagraph"/>
        <w:numPr>
          <w:ilvl w:val="0"/>
          <w:numId w:val="3"/>
        </w:numPr>
        <w:spacing w:after="80" w:line="360"/>
      </w:pPr>
      <w:r>
        <w:rPr>
          <w:rFonts w:ascii="Times New Roman" w:cs="Times New Roman" w:eastAsia="Times New Roman" w:hAnsi="Times New Roman"/>
          <w:sz w:val="24"/>
          <w:szCs w:val="24"/>
        </w:rPr>
        <w:t xml:space="preserve">Con la niña o el niño: la relación es siempre mediada por la persona adulta facilitadora. No existe vínculo directo entre el producto y el menor.</w:t>
      </w:r>
    </w:p>
    <w:p>
      <w:pPr>
        <w:pStyle w:val="ListParagraph"/>
        <w:numPr>
          <w:ilvl w:val="0"/>
          <w:numId w:val="3"/>
        </w:numPr>
        <w:spacing w:after="80" w:line="360"/>
      </w:pPr>
      <w:r>
        <w:rPr>
          <w:rFonts w:ascii="Times New Roman" w:cs="Times New Roman" w:eastAsia="Times New Roman" w:hAnsi="Times New Roman"/>
          <w:sz w:val="24"/>
          <w:szCs w:val="24"/>
        </w:rPr>
        <w:t xml:space="preserve">Con el docente: capacitación inicial, soporte continuo y una comunidad de práctica entre facilitadores de distintas instituciones.</w:t>
      </w:r>
    </w:p>
    <w:p>
      <w:pPr>
        <w:pStyle w:val="ListParagraph"/>
        <w:numPr>
          <w:ilvl w:val="0"/>
          <w:numId w:val="3"/>
        </w:numPr>
        <w:spacing w:after="80" w:line="360"/>
      </w:pPr>
      <w:r>
        <w:rPr>
          <w:rFonts w:ascii="Times New Roman" w:cs="Times New Roman" w:eastAsia="Times New Roman" w:hAnsi="Times New Roman"/>
          <w:sz w:val="24"/>
          <w:szCs w:val="24"/>
        </w:rPr>
        <w:t xml:space="preserve">Con la familia: aviso previo al ciclo y guía breve. No hay vigilancia ni seguimiento individual.</w:t>
      </w:r>
    </w:p>
    <w:p>
      <w:pPr>
        <w:pStyle w:val="ListParagraph"/>
        <w:numPr>
          <w:ilvl w:val="0"/>
          <w:numId w:val="3"/>
        </w:numPr>
        <w:spacing w:after="80" w:line="360"/>
      </w:pPr>
      <w:r>
        <w:rPr>
          <w:rFonts w:ascii="Times New Roman" w:cs="Times New Roman" w:eastAsia="Times New Roman" w:hAnsi="Times New Roman"/>
          <w:sz w:val="24"/>
          <w:szCs w:val="24"/>
        </w:rPr>
        <w:t xml:space="preserve">Con la institución: acuerdo de implementación, protocolo de salvaguarda e informe agregado al cierre de cada ciclo.</w:t>
      </w:r>
    </w:p>
    <w:p>
      <w:pPr>
        <w:pStyle w:val="ListParagraph"/>
        <w:numPr>
          <w:ilvl w:val="0"/>
          <w:numId w:val="3"/>
        </w:numPr>
        <w:spacing w:after="80" w:line="360"/>
      </w:pPr>
      <w:r>
        <w:rPr>
          <w:rFonts w:ascii="Times New Roman" w:cs="Times New Roman" w:eastAsia="Times New Roman" w:hAnsi="Times New Roman"/>
          <w:sz w:val="24"/>
          <w:szCs w:val="24"/>
        </w:rPr>
        <w:t xml:space="preserve">Ante una revelación: se activa el protocolo humano de la institución. El producto deriva y nunca custodia la información.</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2.4.2 Modelo de consentimiento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acceso se autoriza mediante consentimiento institucional del colegio, con aviso previo a las familias y opción de no participar, en lugar de un permiso individual firmado por cada familia. La razón es de protección y no de conveniencia administrativa: dado que el agresor suele pertenecer al entorno cercano, un permiso caso por caso otorgaría a un posible agresor la capacidad de bloquear, sin que nadie lo advierta, el acceso de esa niña o ese niño precisamente a la herramienta que busca protegerlo.</w:t>
      </w:r>
    </w:p>
    <w:p>
      <w:pPr>
        <w:spacing w:after="120" w:before="0" w:line="360"/>
        <w:jc w:val="left"/>
      </w:pPr>
      <w:r>
        <w:rPr>
          <w:rFonts w:ascii="Times New Roman" w:cs="Times New Roman" w:eastAsia="Times New Roman" w:hAnsi="Times New Roman"/>
          <w:b/>
          <w:bCs/>
          <w:i w:val="false"/>
          <w:iCs w:val="false"/>
          <w:sz w:val="24"/>
          <w:szCs w:val="24"/>
        </w:rPr>
        <w:t xml:space="preserve">2.4.3 Costos de relacionamiento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costo de mantener la relación está incorporado en el costo variable por aula: Bs 13,33 mensuales de soporte y acompañamiento, y Bs 16,67 mensuales de supervisión psicológica prorrateada. En conjunto representan Bs 360 anuales por aula, equivalentes a US$ 36,00.</w:t>
      </w:r>
    </w:p>
    <w:p>
      <w:pPr>
        <w:pStyle w:val="Heading2"/>
        <w:spacing w:after="160" w:before="280" w:line="360"/>
      </w:pPr>
      <w:r>
        <w:t xml:space="preserve">2.5 Bloque V: Flujo de Ingresos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modelo distingue dos motores de ingreso con lógicas de compra distintas: uno institucional (el colegio o la ONG paga por proteger a todo un grupo) y uno directo a familias (el padre o la madre paga por contenido adicional para su propio hijo o hija). El primero financia el núcleo de prevención; el segundo, desarrollado en la Sección 5, es lo que permite que el proyecto deje de depender exclusivamente de la venta institucional y de la subvención.</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200"/>
        <w:gridCol w:w="2280"/>
        <w:gridCol w:w="228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Fuente</w:t>
            </w:r>
          </w:p>
        </w:tc>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Segmento que paga</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Precio</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Modalidad de pago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 institucional anual</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privado o de convenio, todas sus aulas de primaria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US$ 850 (Bs 8.500) por colegio al año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Pago anual anticipado, alineado al ciclo de matrícula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Convenio de beca</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ONG con programa escolar, colegio fiscal</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US$ 600 (Bs 6.000) por colegio al año, tarifa negociada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proyecto, contra convenio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y recertificación</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 ONG o empresa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US$ 88 (Bs 880) por colegio al año</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Anual, incluida en la renovación</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Patrocinio corporativo</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Empresa con responsabilidad social</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Desde US$ 2.000 (Bs 20.000) por paquete de varios colegios</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Convenio anual, con reporte de impacto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Suscripción premium familiar</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Familia, de forma directa y voluntaria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US$ 3 (Bs 30) al mes por familia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Suscripción mensual, cancelable en cualquier momento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Subvenciones</w:t>
            </w:r>
          </w:p>
        </w:tc>
        <w:tc>
          <w:tcPr>
            <w:tcW w:type="dxa" w:w="2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Fondos y cooperación</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convocatoria</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Solo desarrollo y evaluación, nunca operación</w:t>
            </w:r>
          </w:p>
        </w:tc>
      </w:tr>
    </w:tbl>
    <w:p>
      <w:pPr>
        <w:spacing w:after="200" w:before="60" w:line="240"/>
      </w:pPr>
      <w:r>
        <w:rPr>
          <w:rFonts w:ascii="Times New Roman" w:cs="Times New Roman" w:eastAsia="Times New Roman" w:hAnsi="Times New Roman"/>
          <w:i/>
          <w:iCs/>
          <w:color w:val="595959"/>
          <w:sz w:val="18"/>
          <w:szCs w:val="18"/>
        </w:rPr>
        <w:t xml:space="preserve">Tabla 10. Fuentes de ingreso, precios y modalidades de pago.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Quedan excluidas de manera permanente dos prácticas: la publicidad dentro del producto y cualquier forma de venta o aprovechamiento de datos de menores. La suscripción familiar es la única fuente que toca directamente el bolsillo de una familia, y por eso tiene una condición que no se negocia: paga por contenido adicional de aprendizaje —nunca por el núcleo de prevención, que el colegio o la ONG ya cubrieron, y que sigue siendo accesible sin ese pago—. Cobrarle a una familia por la parte de protección sería exactamente lo que este documento excluye en la Sección 2.2.4, y debilitaría la confianza institucional que sostiene la venta a colegios.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política de precios incorpora un subsidio cruzado: el margen de contribución de cada colegio privado permite financiar una parte relevante del costo variable de un colegio fiscal, lo que hace viable el compromiso de gratuidad para escuelas públicas sin depender exclusivamente de subvenciones.</w:t>
      </w:r>
    </w:p>
    <w:p>
      <w:pPr>
        <w:pStyle w:val="Heading2"/>
        <w:spacing w:after="160" w:before="280" w:line="360"/>
      </w:pPr>
      <w:r>
        <w:t xml:space="preserve">2.6 Bloque VI: Recursos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400"/>
        <w:gridCol w:w="6960"/>
      </w:tblGrid>
      <w:tr>
        <w:trPr>
          <w:tblHeader/>
        </w:trPr>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Tipo</w:t>
            </w:r>
          </w:p>
        </w:tc>
        <w:tc>
          <w:tcPr>
            <w:tcW w:type="dxa" w:w="69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Recurso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Humanos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Equipo fundador sin costo de nómina: Arianna (psicología, diseño y aval de contenido), Gabriel Mamani (desarrollo fullstack), Diego Saavedra (desarrollo y arte 3D), Mauricio Núñez (negocios y marketing).</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Tecnológicos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Blender como herramienta principal de creación 3D; aplicación web construida sobre React con React Three Fiber; Supabase como servicio de datos en plan gratuito hasta alcanzar tracción; repositorio versionado.</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Intelectuales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Guiones de los cuatro episodios, guía docente, material para familias, protocolo de derivación contextualizado a Bolivia, y biblioteca propia de modelos 3D.</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Institucionales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Cartas de aval de organizaciones de protección, Defensoría de la Niñez, UAGRM y Colegio de Psicólogos de Bolivia.</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Financieros</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Capital semilla de HACKBIZ por Bs 12.000 en efectivo (US$ 1.200).</w:t>
            </w:r>
          </w:p>
        </w:tc>
      </w:tr>
      <w:t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Del cliente</w:t>
            </w:r>
          </w:p>
        </w:tc>
        <w:tc>
          <w:tcPr>
            <w:tcW w:type="dxa" w:w="69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Proyector o computadora y conexión a internet de la propia unidad educativa. El modelo no exige compra de equipamiento.</w:t>
            </w:r>
          </w:p>
        </w:tc>
      </w:tr>
    </w:tbl>
    <w:p>
      <w:pPr>
        <w:spacing w:after="200" w:before="60" w:line="240"/>
      </w:pPr>
      <w:r>
        <w:rPr>
          <w:rFonts w:ascii="Times New Roman" w:cs="Times New Roman" w:eastAsia="Times New Roman" w:hAnsi="Times New Roman"/>
          <w:i/>
          <w:iCs/>
          <w:color w:val="595959"/>
          <w:sz w:val="18"/>
          <w:szCs w:val="18"/>
        </w:rPr>
        <w:t xml:space="preserve">Tabla 11. Recursos clave.</w:t>
      </w:r>
    </w:p>
    <w:p>
      <w:pPr>
        <w:pStyle w:val="Heading2"/>
        <w:spacing w:after="160" w:before="280" w:line="360"/>
      </w:pPr>
      <w:r>
        <w:t xml:space="preserve">2.7 Bloque VII: Actividades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4000"/>
        <w:gridCol w:w="21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Actividad</w:t>
            </w:r>
          </w:p>
        </w:tc>
        <w:tc>
          <w:tcPr>
            <w:tcW w:type="dxa" w:w="4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Descripción</w:t>
            </w:r>
          </w:p>
        </w:tc>
        <w:tc>
          <w:tcPr>
            <w:tcW w:type="dxa" w:w="2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Vínculo con la propuesta de valor</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Diseño pedagógico y revisión psicológica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Guion, decisiones, retroalimentación y cierre conversado de cada episodio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Sustenta la credibilidad y la seguridad del contenido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Desarrollo de la experiencia web 3D</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Aplicación ligera, modalidad proyector, bajo consumo de ancho de banda</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Permite operar en el aula real sin hardware nuevo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Elaboración de guía y protocolo</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Material para docentes y familias, rutas de derivación bolivianas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Convierte el software en programa acompañado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facilitadores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Taller de cuatro horas y acompañamiento del primer ciclo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factor que más influye en la fidelidad de implementación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Medición de impacto agregada</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Instrumentos anónimos, sin datos personales de menores</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Genera los indicadores que exigen ONG y patrocinadores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Alianzas institucionales</w:t>
            </w:r>
          </w:p>
        </w:tc>
        <w:tc>
          <w:tcPr>
            <w:tcW w:type="dxa" w:w="4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Colegios, ONG, salud y sector público</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 el canal principal de crecimiento</w:t>
            </w:r>
          </w:p>
        </w:tc>
      </w:tr>
    </w:tbl>
    <w:p>
      <w:pPr>
        <w:spacing w:after="200" w:before="60" w:line="240"/>
      </w:pPr>
      <w:r>
        <w:rPr>
          <w:rFonts w:ascii="Times New Roman" w:cs="Times New Roman" w:eastAsia="Times New Roman" w:hAnsi="Times New Roman"/>
          <w:i/>
          <w:iCs/>
          <w:color w:val="595959"/>
          <w:sz w:val="18"/>
          <w:szCs w:val="18"/>
        </w:rPr>
        <w:t xml:space="preserve">Tabla 12. Actividades clave y su relación con la propuesta de valor.</w:t>
      </w:r>
    </w:p>
    <w:p>
      <w:pPr>
        <w:pStyle w:val="Heading2"/>
        <w:spacing w:after="160" w:before="280" w:line="360"/>
      </w:pPr>
      <w:r>
        <w:t xml:space="preserve">2.8 Bloque VIII: Asociaciones Clave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2400"/>
        <w:gridCol w:w="4360"/>
      </w:tblGrid>
      <w:tr>
        <w:trPr>
          <w:tblHeader/>
        </w:trPr>
        <w:tc>
          <w:tcPr>
            <w:tcW w:type="dxa" w:w="2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Socio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Ubicación</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Aporte a la alianza</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CEMSE y ChildFund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Ejecutan el proyecto Escuelas Seguras y Comunidades Protectoras para la Niñez en Santa Cruz (2026-2027); aportan acceso a escuelas y legitimidad institucional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Visión Mundial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departamentos, sede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Red de facilitadores jóvenes y presencia en 50 gobiernos municipales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Save the Children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La Paz y Santa Cruz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Incidencia normativa y protocolo interinstitucional en Santa Cruz</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Educo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7 municipios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Experiencia en rutas de actuación y denuncia en unidades educativas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Defensoría de la Niñez y Adolescencia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Municipal, 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Ruta oficial de derivación y validación del protocolo</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Colegio de Psicólogos de Bolivia</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Nacional, fundado en La Paz</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Aval institucional y acceso a la red profesional</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UAGRM (FH y FICCT)</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Santa Cruz de la Sierra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Marco académico, mentoría y respaldo institucional del equipo</w:t>
            </w:r>
          </w:p>
        </w:tc>
      </w:tr>
    </w:tbl>
    <w:p>
      <w:pPr>
        <w:spacing w:after="200" w:before="60" w:line="240"/>
      </w:pPr>
      <w:r>
        <w:rPr>
          <w:rFonts w:ascii="Times New Roman" w:cs="Times New Roman" w:eastAsia="Times New Roman" w:hAnsi="Times New Roman"/>
          <w:i/>
          <w:iCs/>
          <w:color w:val="595959"/>
          <w:sz w:val="18"/>
          <w:szCs w:val="18"/>
        </w:rPr>
        <w:t xml:space="preserve">Tabla 13. Asociaciones clave con nombre y ubicación.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Los proveedores de infraestructura tecnológica, Supabase y los servicios de alojamiento, se consideran proveedores y no socios de misión: aportan capacidad técnica, no propósito compartido.</w:t>
      </w:r>
    </w:p>
    <w:p>
      <w:pPr>
        <w:pStyle w:val="Heading2"/>
        <w:spacing w:after="160" w:before="280" w:line="360"/>
      </w:pPr>
      <w:r>
        <w:t xml:space="preserve">2.9 Bloque IX: Estructura de Costos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estructura se presenta según el formato requerido, separando costos variables por uso, costos variables de mano de obra directa y costos fijos. La unidad de costeo es un aula activa durante un mes.</w:t>
      </w:r>
    </w:p>
    <w:p>
      <w:pPr>
        <w:spacing w:after="120" w:before="160" w:line="360"/>
        <w:jc w:val="left"/>
      </w:pPr>
      <w:r>
        <w:rPr>
          <w:rFonts w:ascii="Times New Roman" w:cs="Times New Roman" w:eastAsia="Times New Roman" w:hAnsi="Times New Roman"/>
          <w:b/>
          <w:bCs/>
          <w:i w:val="false"/>
          <w:iCs w:val="false"/>
          <w:sz w:val="24"/>
          <w:szCs w:val="24"/>
        </w:rPr>
        <w:t xml:space="preserve">2.9.1 Costos variables (por uso)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400"/>
        <w:gridCol w:w="1400"/>
        <w:gridCol w:w="1760"/>
        <w:gridCol w:w="200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7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20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Guía impresa del docente</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1,67</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Volantes para familias</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unidad/año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25</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0,63</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Hosting y ancho de banda marginal</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aula/año</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0,83</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7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20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3,13</w:t>
            </w:r>
          </w:p>
        </w:tc>
      </w:tr>
    </w:tbl>
    <w:p>
      <w:pPr>
        <w:spacing w:after="200" w:before="60" w:line="240"/>
      </w:pPr>
      <w:r>
        <w:rPr>
          <w:rFonts w:ascii="Times New Roman" w:cs="Times New Roman" w:eastAsia="Times New Roman" w:hAnsi="Times New Roman"/>
          <w:i/>
          <w:iCs/>
          <w:color w:val="595959"/>
          <w:sz w:val="18"/>
          <w:szCs w:val="18"/>
        </w:rPr>
        <w:t xml:space="preserve">Tabla 14. Costos variables por uso, expresados por aula y por mes. Total equivalente: US$ 0,31 mensuales, US$ 3,75 anuales por aula.</w:t>
      </w:r>
    </w:p>
    <w:p>
      <w:pPr>
        <w:spacing w:after="120" w:before="160" w:line="360"/>
        <w:jc w:val="left"/>
      </w:pPr>
      <w:r>
        <w:rPr>
          <w:rFonts w:ascii="Times New Roman" w:cs="Times New Roman" w:eastAsia="Times New Roman" w:hAnsi="Times New Roman"/>
          <w:b/>
          <w:bCs/>
          <w:i w:val="false"/>
          <w:iCs w:val="false"/>
          <w:sz w:val="24"/>
          <w:szCs w:val="24"/>
        </w:rPr>
        <w:t xml:space="preserve">2.9.2 Costo variable (mano de obra directa)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600"/>
        <w:gridCol w:w="1500"/>
        <w:gridCol w:w="1300"/>
        <w:gridCol w:w="1400"/>
        <w:gridCol w:w="1360"/>
        <w:gridCol w:w="1200"/>
      </w:tblGrid>
      <w:tr>
        <w:trPr>
          <w:tblHeader/>
        </w:trPr>
        <w:tc>
          <w:tcPr>
            <w:tcW w:type="dxa" w:w="26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Rol</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Horas por unidad</w:t>
            </w:r>
          </w:p>
        </w:tc>
        <w:tc>
          <w:tcPr>
            <w:tcW w:type="dxa" w:w="13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Cantidad</w:t>
            </w:r>
          </w:p>
        </w:tc>
        <w:tc>
          <w:tcPr>
            <w:tcW w:type="dxa" w:w="14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(Bs/h)</w:t>
            </w:r>
          </w:p>
        </w:tc>
        <w:tc>
          <w:tcPr>
            <w:tcW w:type="dxa" w:w="13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 (Bs)</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anual (Bs)</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Capacitación de docentes</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0,25</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12,50</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Soporte y acompañamiento</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0,33</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13,33</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160,00</w:t>
            </w:r>
          </w:p>
        </w:tc>
      </w:tr>
      <w:t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Supervisión psicológica</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0,08</w:t>
            </w:r>
          </w:p>
        </w:tc>
        <w:tc>
          <w:tcPr>
            <w:tcW w:type="dxa" w:w="13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aula</w:t>
            </w:r>
          </w:p>
        </w:tc>
        <w:tc>
          <w:tcPr>
            <w:tcW w:type="dxa" w:w="1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c>
          <w:tcPr>
            <w:tcW w:type="dxa" w:w="1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16,67</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200,00</w:t>
            </w:r>
          </w:p>
        </w:tc>
      </w:tr>
      <w:tr>
        <w:tc>
          <w:tcPr>
            <w:tcW w:type="dxa" w:w="26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 por aula</w:t>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0,66</w:t>
            </w:r>
          </w:p>
        </w:tc>
        <w:tc>
          <w:tcPr>
            <w:tcW w:type="dxa" w:w="13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3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42,50</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510,00</w:t>
            </w:r>
          </w:p>
        </w:tc>
      </w:tr>
    </w:tbl>
    <w:p>
      <w:pPr>
        <w:spacing w:after="200" w:before="60" w:line="240"/>
      </w:pPr>
      <w:r>
        <w:rPr>
          <w:rFonts w:ascii="Times New Roman" w:cs="Times New Roman" w:eastAsia="Times New Roman" w:hAnsi="Times New Roman"/>
          <w:i/>
          <w:iCs/>
          <w:color w:val="595959"/>
          <w:sz w:val="18"/>
          <w:szCs w:val="18"/>
        </w:rPr>
        <w:t xml:space="preserve">Tabla 15. Mano de obra directa por aula y por mes, valorizada a precio de mercado. Total equivalente: US$ 4,25 mensuales, US$ 51,00 anuales por aula.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Durante el primer año esta mano de obra la aportan los cuatro fundadores sin remuneración, de modo que el desembolso efectivo de caja es de Bs 0. Se valoriza igualmente a precio de mercado por dos razones: permite calcular un punto de equilibrio económico honesto y evita que el modelo parezca rentable únicamente porque alguien no está cobrando.</w:t>
      </w:r>
    </w:p>
    <w:p>
      <w:pPr>
        <w:spacing w:after="120" w:before="160" w:line="360"/>
        <w:jc w:val="left"/>
      </w:pPr>
      <w:r>
        <w:rPr>
          <w:rFonts w:ascii="Times New Roman" w:cs="Times New Roman" w:eastAsia="Times New Roman" w:hAnsi="Times New Roman"/>
          <w:b/>
          <w:bCs/>
          <w:i w:val="false"/>
          <w:iCs w:val="false"/>
          <w:sz w:val="24"/>
          <w:szCs w:val="24"/>
        </w:rPr>
        <w:t xml:space="preserve">2.9.3 Costos fijos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1200"/>
        <w:gridCol w:w="1100"/>
        <w:gridCol w:w="1500"/>
        <w:gridCol w:w="1500"/>
        <w:gridCol w:w="1260"/>
      </w:tblGrid>
      <w:tr>
        <w:trPr>
          <w:tblHeader/>
        </w:trPr>
        <w:tc>
          <w:tcPr>
            <w:tcW w:type="dxa" w:w="28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Ítem</w:t>
            </w:r>
          </w:p>
        </w:tc>
        <w:tc>
          <w:tcPr>
            <w:tcW w:type="dxa" w:w="12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Unidad</w:t>
            </w:r>
          </w:p>
        </w:tc>
        <w:tc>
          <w:tcPr>
            <w:tcW w:type="dxa" w:w="11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Cant.</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unit. (Bs)</w:t>
            </w:r>
          </w:p>
        </w:tc>
        <w:tc>
          <w:tcPr>
            <w:tcW w:type="dxa" w:w="150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(Bs)</w:t>
            </w:r>
          </w:p>
        </w:tc>
        <w:tc>
          <w:tcPr>
            <w:tcW w:type="dxa" w:w="1260"/>
            <w:shd w:fill="C00000"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Mensual (US$)</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Licencias de IA y desarrollo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80,00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232,00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 (amortizado 12 meses)</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1,00</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Servicios en la nube (plan gratuito)</w:t>
            </w:r>
          </w:p>
        </w:tc>
        <w:tc>
          <w:tcPr>
            <w:tcW w:type="dxa" w:w="12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mes</w:t>
            </w:r>
          </w:p>
        </w:tc>
        <w:tc>
          <w:tcPr>
            <w:tcW w:type="dxa" w:w="11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5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c>
          <w:tcPr>
            <w:tcW w:type="dxa" w:w="12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0,00</w:t>
            </w:r>
          </w:p>
        </w:tc>
      </w:tr>
      <w:tr>
        <w:tc>
          <w:tcPr>
            <w:tcW w:type="dxa" w:w="28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2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1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
            </w:r>
          </w:p>
        </w:tc>
        <w:tc>
          <w:tcPr>
            <w:tcW w:type="dxa" w:w="15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3.260,00</w:t>
            </w:r>
          </w:p>
        </w:tc>
        <w:tc>
          <w:tcPr>
            <w:tcW w:type="dxa" w:w="126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326,00</w:t>
            </w:r>
          </w:p>
        </w:tc>
      </w:tr>
    </w:tbl>
    <w:p>
      <w:pPr>
        <w:spacing w:after="200" w:before="60" w:line="240"/>
      </w:pPr>
      <w:r>
        <w:rPr>
          <w:rFonts w:ascii="Times New Roman" w:cs="Times New Roman" w:eastAsia="Times New Roman" w:hAnsi="Times New Roman"/>
          <w:i/>
          <w:iCs/>
          <w:color w:val="595959"/>
          <w:sz w:val="18"/>
          <w:szCs w:val="18"/>
        </w:rPr>
        <w:t xml:space="preserve">Tabla 16. Costos fijos mensuales durante la fase semilla (meses 1 a 3). A partir del mes 4, al agotarse el presupuesto de activación, los costos fijos bajan a Bs 940,00 mensuales (US$ 94,00).</w:t>
      </w:r>
    </w:p>
    <w:p>
      <w:pPr>
        <w:spacing w:after="120" w:before="160" w:line="360"/>
        <w:jc w:val="left"/>
      </w:pPr>
      <w:r>
        <w:rPr>
          <w:rFonts w:ascii="Times New Roman" w:cs="Times New Roman" w:eastAsia="Times New Roman" w:hAnsi="Times New Roman"/>
          <w:b/>
          <w:bCs/>
          <w:i w:val="false"/>
          <w:iCs w:val="false"/>
          <w:sz w:val="24"/>
          <w:szCs w:val="24"/>
        </w:rPr>
        <w:t xml:space="preserve">2.9.4 Destino del capital semilla</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400"/>
        <w:gridCol w:w="1800"/>
        <w:gridCol w:w="2080"/>
        <w:gridCol w:w="2080"/>
      </w:tblGrid>
      <w:tr>
        <w:trPr>
          <w:tblHeader/>
        </w:trPr>
        <w:tc>
          <w:tcPr>
            <w:tcW w:type="dxa" w:w="3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Rubro</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Porcentaje</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(Bs)</w:t>
            </w:r>
          </w:p>
        </w:tc>
        <w:tc>
          <w:tcPr>
            <w:tcW w:type="dxa" w:w="20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Monto (US$)</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Marketing y activaciones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696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Herramientas y licencias de desarrollo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20 %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240</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Legal básico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156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Reserva para imprevistos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8 %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96</w:t>
            </w:r>
          </w:p>
        </w:tc>
      </w:tr>
      <w:t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Dominio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1 %</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120</w:t>
            </w:r>
          </w:p>
        </w:tc>
        <w:tc>
          <w:tcPr>
            <w:tcW w:type="dxa" w:w="20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12</w:t>
            </w:r>
          </w:p>
        </w:tc>
      </w:tr>
      <w:tr>
        <w:tc>
          <w:tcPr>
            <w:tcW w:type="dxa" w:w="340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TOTAL</w:t>
            </w:r>
          </w:p>
        </w:tc>
        <w:tc>
          <w:tcPr>
            <w:tcW w:type="dxa" w:w="18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100 %</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12.000</w:t>
            </w:r>
          </w:p>
        </w:tc>
        <w:tc>
          <w:tcPr>
            <w:tcW w:type="dxa" w:w="208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1.200</w:t>
            </w:r>
          </w:p>
        </w:tc>
      </w:tr>
    </w:tbl>
    <w:p>
      <w:pPr>
        <w:spacing w:after="200" w:before="60" w:line="240"/>
      </w:pPr>
      <w:r>
        <w:rPr>
          <w:rFonts w:ascii="Times New Roman" w:cs="Times New Roman" w:eastAsia="Times New Roman" w:hAnsi="Times New Roman"/>
          <w:i/>
          <w:iCs/>
          <w:color w:val="595959"/>
          <w:sz w:val="18"/>
          <w:szCs w:val="18"/>
        </w:rPr>
        <w:t xml:space="preserve">Tabla 17. Asignación del capital semilla de HACKBIZ. No se destina monto alguno a remuneración del equipo ni a infraestructura en la nube, por decisión explícita.</w:t>
      </w:r>
    </w:p>
    <w:p>
      <w:pPr>
        <w:spacing w:after="120" w:before="160" w:line="360"/>
        <w:jc w:val="left"/>
      </w:pPr>
      <w:r>
        <w:rPr>
          <w:rFonts w:ascii="Times New Roman" w:cs="Times New Roman" w:eastAsia="Times New Roman" w:hAnsi="Times New Roman"/>
          <w:b/>
          <w:bCs/>
          <w:i w:val="false"/>
          <w:iCs w:val="false"/>
          <w:sz w:val="24"/>
          <w:szCs w:val="24"/>
        </w:rPr>
        <w:t xml:space="preserve">2.9.5 Total de costos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Al nivel de operación del SOM (17 colegios, 136 aulas equivalentes), el costo variable se calcula multiplicando el costo por aula de las tablas 14 y 15 por las 136 aulas atendidas.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4560"/>
        <w:gridCol w:w="2400"/>
        <w:gridCol w:w="2400"/>
      </w:tblGrid>
      <w:tr>
        <w:trPr>
          <w:tblHeader/>
        </w:trPr>
        <w:tc>
          <w:tcPr>
            <w:tcW w:type="dxa" w:w="4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(Bs)</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Total mensual (US$)</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uso) — 136 aulas (17 colegios)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425,68</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42,57</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(mano de obra directa) — 136 aulas (17 colegios)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5.780,00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578,00</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940,00</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94,00</w:t>
            </w:r>
          </w:p>
        </w:tc>
      </w:tr>
      <w:tr>
        <w:tc>
          <w:tcPr>
            <w:tcW w:type="dxa" w:w="4560"/>
            <w:shd w:fill="FBE4D5"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COSTO TOTAL</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7.145,68</w:t>
            </w:r>
          </w:p>
        </w:tc>
        <w:tc>
          <w:tcPr>
            <w:tcW w:type="dxa" w:w="2400"/>
            <w:shd w:fill="FBE4D5"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714,57</w:t>
            </w:r>
          </w:p>
        </w:tc>
      </w:tr>
      <w:tr>
        <w:tc>
          <w:tcPr>
            <w:tcW w:type="dxa" w:w="4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Ingreso a régimen, núcleo institucional (Tabla 6)</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13.916,67</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1.391,67</w:t>
            </w:r>
          </w:p>
        </w:tc>
      </w:tr>
      <w:tr>
        <w:tc>
          <w:tcPr>
            <w:tcW w:type="dxa" w:w="4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Resultado antes de sueldos</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6.770,99</w:t>
            </w:r>
          </w:p>
        </w:tc>
        <w:tc>
          <w:tcPr>
            <w:tcW w:type="dxa" w:w="24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677,10</w:t>
            </w:r>
          </w:p>
        </w:tc>
      </w:tr>
    </w:tbl>
    <w:p>
      <w:pPr>
        <w:spacing w:after="200" w:before="60" w:line="240"/>
      </w:pPr>
      <w:r>
        <w:rPr>
          <w:rFonts w:ascii="Times New Roman" w:cs="Times New Roman" w:eastAsia="Times New Roman" w:hAnsi="Times New Roman"/>
          <w:i/>
          <w:iCs/>
          <w:color w:val="595959"/>
          <w:sz w:val="18"/>
          <w:szCs w:val="18"/>
        </w:rPr>
        <w:t xml:space="preserve">Tabla 18. Total de costos mensuales al nivel del SOM (17 colegios, 136 aulas). El resultado antes de sueldos es lo disponible para pagar equipo; se compara con distintos escenarios de equipo pagado en la Sección 5.</w:t>
      </w:r>
    </w:p>
    <w:p>
      <w:pPr>
        <w:pStyle w:val="Heading1"/>
        <w:spacing w:after="160" w:before="280" w:line="360"/>
      </w:pPr>
      <w:r>
        <w:t xml:space="preserve">3. Punto de Equilibrio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punto de equilibrio monetario se calcula con la fórmula requerida:</w:t>
      </w:r>
    </w:p>
    <w:p>
      <w:pPr>
        <w:spacing w:after="160" w:before="120" w:line="360"/>
        <w:jc w:val="center"/>
      </w:pPr>
      <w:r>
        <w:rPr>
          <w:rFonts w:ascii="Times New Roman" w:cs="Times New Roman" w:eastAsia="Times New Roman" w:hAnsi="Times New Roman"/>
          <w:b/>
          <w:bCs/>
          <w:i w:val="false"/>
          <w:iCs w:val="false"/>
          <w:sz w:val="24"/>
          <w:szCs w:val="24"/>
        </w:rPr>
        <w:t xml:space="preserve">PEs = Costos Fijos ÷ [ 1 − ( Costos Variables Totales ÷ Ventas Proyectadas ) ]</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cálculo se hace sobre la unidad de venta real, el colegio completo (8 aulas en promedio), y arroja dos puntos de equilibrio distintos según si se valoriza o no el trabajo del equipo fundador.</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560"/>
        <w:gridCol w:w="2900"/>
        <w:gridCol w:w="2900"/>
      </w:tblGrid>
      <w:tr>
        <w:trPr>
          <w:tblHeader/>
        </w:trPr>
        <w:tc>
          <w:tcPr>
            <w:tcW w:type="dxa" w:w="35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de caja (año 1)</w:t>
            </w:r>
          </w:p>
        </w:tc>
        <w:tc>
          <w:tcPr>
            <w:tcW w:type="dxa" w:w="29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económico pleno</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por colegio al año</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8.500 (US$ 850)</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8.500 (US$ 850)</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por colegio al año</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300 (US$ 30)</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4.380 (US$ 438)</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Margen de contribución</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8.200 (US$ 820)</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4.120 (US$ 412)</w:t>
            </w:r>
          </w:p>
        </w:tc>
      </w:tr>
      <w:tr>
        <w:tc>
          <w:tcPr>
            <w:tcW w:type="dxa" w:w="35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Costos fijos anuales (mes 4 en adelante)</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11.280 (US$ 1.128)</w:t>
            </w:r>
          </w:p>
        </w:tc>
        <w:tc>
          <w:tcPr>
            <w:tcW w:type="dxa" w:w="2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11.280 (US$ 1.128)</w:t>
            </w:r>
          </w:p>
        </w:tc>
      </w:tr>
      <w:tr>
        <w:tc>
          <w:tcPr>
            <w:tcW w:type="dxa" w:w="356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en colegios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2 colegios</w:t>
            </w:r>
          </w:p>
        </w:tc>
        <w:tc>
          <w:tcPr>
            <w:tcW w:type="dxa" w:w="290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3 colegios</w:t>
            </w:r>
          </w:p>
        </w:tc>
      </w:tr>
      <w:tr>
        <w:tc>
          <w:tcPr>
            <w:tcW w:type="dxa" w:w="3560"/>
            <w:shd w:fill="F4B18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Punto de equilibrio monetario</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974 al mes (US$ 97)</w:t>
            </w:r>
          </w:p>
        </w:tc>
        <w:tc>
          <w:tcPr>
            <w:tcW w:type="dxa" w:w="2900"/>
            <w:shd w:fill="F4B18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1.940 al mes (US$ 194)</w:t>
            </w:r>
          </w:p>
        </w:tc>
      </w:tr>
    </w:tbl>
    <w:p>
      <w:pPr>
        <w:spacing w:after="200" w:before="60" w:line="240"/>
      </w:pPr>
      <w:r>
        <w:rPr>
          <w:rFonts w:ascii="Times New Roman" w:cs="Times New Roman" w:eastAsia="Times New Roman" w:hAnsi="Times New Roman"/>
          <w:i/>
          <w:iCs/>
          <w:color w:val="595959"/>
          <w:sz w:val="18"/>
          <w:szCs w:val="18"/>
        </w:rPr>
        <w:t xml:space="preserve">Tabla 19. Punto de equilibrio operativo. El escenario de caja refleja el primer año, con el equipo fundador aportando su trabajo; el escenario económico pleno valoriza esa mano de obra a precio de mercado. Los umbrales en colegios se redondean hacia arriba: el cálculo exacto da 1,4 y 2,7 colegios respectivamente.</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Este umbral —cubrir los desembolsos operativos, sin sueldos— se alcanza con apenas 2 o 3 colegios, muy por debajo de la meta de 17 colegios al mes 12. Es una buena noticia limitada: confirma que el producto no pierde dinero por operar, pero no dice nada todavía sobre si puede pagarle a alguien. Esa es una pregunta distinta, y la respuesta depende de cuántos colegios y cuántas familias suscritas se sumen — se desarrolla con números propios en la Sección 5.</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riesgo principal de esta proyección no está en el costo sino en el ingreso: la disposición a pagar de los colegios privados de Santa Cruz no ha sido validada todavía mediante entrevistas. El plan de validación contempla entre 45 y 54 entrevistas antes de comprometer cifras de venta.</w:t>
      </w:r>
    </w:p>
    <w:p>
      <w:pPr>
        <w:pStyle w:val="Heading1"/>
        <w:spacing w:after="160" w:before="280" w:line="360"/>
      </w:pPr>
      <w:r>
        <w:t xml:space="preserve">4. Triple Impacto y Métricas</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000"/>
        <w:gridCol w:w="3680"/>
        <w:gridCol w:w="3680"/>
      </w:tblGrid>
      <w:tr>
        <w:trPr>
          <w:tblHeader/>
        </w:trPr>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Dimensión</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Indicador</w:t>
            </w:r>
          </w:p>
        </w:tc>
        <w:tc>
          <w:tcPr>
            <w:tcW w:type="dxa" w:w="36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Método de medición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Aulas y estudiantes alcanzados; porcentaje que identifica correctamente situaciones seguras e inseguras; porcentaje que reconoce al menos tres personas adultas de confianza válidas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Cuestionario anónimo antes y después, agregado por aula, validado por psicología. Nunca se registran nombres.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Social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Docentes capacitados y confianza declarada para responder ante una revelación</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Encuesta anónima a docentes, antes y después de la capacitación</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Económico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Costo por aula y por estudiante; porcentaje de ingresos no dependiente de subvenciones</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Contabilidad de costos por ciclo y estados financieros anuales</w:t>
            </w:r>
          </w:p>
        </w:tc>
      </w:tr>
      <w:t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Ambiental</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Impresos evitados frente a una línea base contada; megabytes por sesión convertidos a CO₂ equivalente; dispositivos nuevos adquiridos, con meta de cero</w:t>
            </w:r>
          </w:p>
        </w:tc>
        <w:tc>
          <w:tcPr>
            <w:tcW w:type="dxa" w:w="36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Conteo con la institución, medición de transferencia real y registro por implementación</w:t>
            </w:r>
          </w:p>
        </w:tc>
      </w:tr>
    </w:tbl>
    <w:p>
      <w:pPr>
        <w:spacing w:after="200" w:before="60" w:line="240"/>
      </w:pPr>
      <w:r>
        <w:rPr>
          <w:rFonts w:ascii="Times New Roman" w:cs="Times New Roman" w:eastAsia="Times New Roman" w:hAnsi="Times New Roman"/>
          <w:i/>
          <w:iCs/>
          <w:color w:val="595959"/>
          <w:sz w:val="18"/>
          <w:szCs w:val="18"/>
        </w:rPr>
        <w:t xml:space="preserve">Tabla 20. Indicadores de triple impacto.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ambiental conviene una precisión honesta: el ahorro de emisiones de un producto digital de este tamaño es modesto, y presentarlo como un gran impacto sería inexacto. Lo que sí se sostiene es un diseño deliberadamente liviano, la ausencia de compra de hardware nuevo y la reducción de impresos y desplazamientos de capacitación.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Sobre la dimensión social también corresponde una advertencia metodológica: el conocimiento autoinformado por los estudiantes no equivale a una reducción de la victimización. Medir el impacto real exigiría estudios controlados con aval ético, fuera del alcance actual del equipo. Por esa razón el proyecto no promete reducir casos, sino fortalecer capacidades verificables antes de que exista daño.</w:t>
      </w:r>
    </w:p>
    <w:p>
      <w:pPr>
        <w:pStyle w:val="Heading1"/>
        <w:spacing w:after="160" w:before="280" w:line="360"/>
      </w:pPr>
      <w:r>
        <w:t xml:space="preserve">5. Ruta de Expansión y Sostenibilidad</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Esta sección responde una pregunta que el análisis de costos e ingresos deja abierta: el núcleo institucional cubre sus propios costos operativos desde apenas 2 o 3 colegios, pero eso no significa que pueda pagarle a alguien. Cubrir un equipo real —empezando por la supervisión psicológica remunerada, que hoy la aporta Arianna sin cobrar— exige una segunda fuente de ingresos, directa a las familias. Esta sección la desarrolla con números propios, y queda fuera del alcance del producto mínimo evaluado en esta convocatoria: es la hoja de ruta para el año posterior a la validación, no una promesa de esta entrega.</w:t>
      </w:r>
    </w:p>
    <w:p>
      <w:pPr>
        <w:spacing w:after="120" w:before="0" w:line="360"/>
        <w:jc w:val="left"/>
      </w:pPr>
      <w:r>
        <w:rPr>
          <w:rFonts w:ascii="Times New Roman" w:cs="Times New Roman" w:eastAsia="Times New Roman" w:hAnsi="Times New Roman"/>
          <w:b/>
          <w:bCs/>
          <w:i w:val="false"/>
          <w:iCs w:val="false"/>
          <w:sz w:val="24"/>
          <w:szCs w:val="24"/>
        </w:rPr>
        <w:t xml:space="preserve">5.1 Por qué un segundo motor de ingresos, y por qué directo a familias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Un colegio o una ONG pagan para proteger a todo un grupo: es una decisión institucional, de compra poco frecuente y ciclo largo. Una familia que quiere que su hijo aprenda inglés, entienda la inteligencia artificial o practique habilidades para la vida toma una decisión de otro tipo: individual, más frecuente, y con una disposición a pagar que el propio equipo observa en el mercado boliviano (cursos de inglés, plataformas de aprendizaje, tutorías). Son dos lógicas de compra distintas, y por eso conviene tratarlas como dos motores separados en vez de intentar que uno financie al otro.</w:t>
      </w:r>
    </w:p>
    <w:p>
      <w:pPr>
        <w:spacing w:after="120" w:before="0" w:line="360"/>
        <w:jc w:val="left"/>
      </w:pPr>
      <w:r>
        <w:rPr>
          <w:rFonts w:ascii="Times New Roman" w:cs="Times New Roman" w:eastAsia="Times New Roman" w:hAnsi="Times New Roman"/>
          <w:b/>
          <w:bCs/>
          <w:i w:val="false"/>
          <w:iCs w:val="false"/>
          <w:sz w:val="24"/>
          <w:szCs w:val="24"/>
        </w:rPr>
        <w:t xml:space="preserve">5.2 Qué se ofrece y qué principio no se negocia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El núcleo de prevención —los cuatro episodios, la capacitación docente, el panel del facilitador y el protocolo de derivación— sigue siendo lo que paga el colegio o la ONG, y sigue siendo accesible para el niño sin que la familia pague nada por él. La suscripción premium familiar desbloquea módulos adicionales, construidos sobre la misma mascota y el mismo mundo de la isla, pero con un contenido distinto: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200"/>
        <w:gridCol w:w="3160"/>
        <w:gridCol w:w="2000"/>
        <w:gridCol w:w="2000"/>
      </w:tblGrid>
      <w:tr>
        <w:trPr>
          <w:tblHeader/>
        </w:trPr>
        <w:tc>
          <w:tcPr>
            <w:tcW w:type="dxa" w:w="2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Módulo</w:t>
            </w:r>
          </w:p>
        </w:tc>
        <w:tc>
          <w:tcPr>
            <w:tcW w:type="dxa" w:w="31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Contenido</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Quién lo valida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Horizonte</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Habilidades para la vida</w:t>
            </w:r>
          </w:p>
        </w:tc>
        <w:tc>
          <w:tcPr>
            <w:tcW w:type="dxa" w:w="3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Escenarios de decisión sobre amistad, manejo de emociones y resolución de conflictos, reutilizando el motor narrativo ya construido para el núcleo de prevención</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Arianna (psicología)</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Primer trimestre de la expansión</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Alfabetización en inteligencia artificial</w:t>
            </w:r>
          </w:p>
        </w:tc>
        <w:tc>
          <w:tcPr>
            <w:tcW w:type="dxa" w:w="3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Qué es la IA, cómo reconocerla y cómo usarla con criterio, sin conversación abierta con un modelo</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Especialista en IA del equipo</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Segundo trimestre</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Introducción al inglés</w:t>
            </w:r>
          </w:p>
        </w:tc>
        <w:tc>
          <w:tcPr>
            <w:tcW w:type="dxa" w:w="3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Vocabulario y frases básicas por edad, con contenido generado con apoyo de IA generativa</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Docente calificado, pendiente de incorporar al equipo (ver 5.5)</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Tercer o cuarto trimestre, sujeto a validador</w:t>
            </w:r>
          </w:p>
        </w:tc>
      </w:tr>
      <w:t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Medio ambiente</w:t>
            </w:r>
          </w:p>
        </w:tc>
        <w:tc>
          <w:tcPr>
            <w:tcW w:type="dxa" w:w="3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Hábitos y decisiones cotidianas de cuidado ambiental, mismo formato de práctica y feedback</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definir</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Cuarto trimestre, si hay tracción</w:t>
            </w:r>
          </w:p>
        </w:tc>
      </w:tr>
    </w:tbl>
    <w:p>
      <w:pPr>
        <w:spacing w:after="200" w:before="60" w:line="240"/>
      </w:pPr>
      <w:r>
        <w:rPr>
          <w:rFonts w:ascii="Times New Roman" w:cs="Times New Roman" w:eastAsia="Times New Roman" w:hAnsi="Times New Roman"/>
          <w:i/>
          <w:iCs/>
          <w:color w:val="595959"/>
          <w:sz w:val="18"/>
          <w:szCs w:val="18"/>
        </w:rPr>
        <w:t xml:space="preserve">Tabla 21. Módulos premium propuestos y su ruta de validación.</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Ningún módulo nuevo puede convertirse en un chat ni en un asistente conversacional que interactúe libremente con un menor: esa restricción, ya establecida para el núcleo de prevención, aplica exactamente igual aquí. El módulo de inteligencia artificial enseña sobre inteligencia artificial; no es una inteligencia artificial hablándole al niño.</w:t>
      </w:r>
    </w:p>
    <w:p>
      <w:pPr>
        <w:spacing w:after="120" w:before="0" w:line="360"/>
        <w:jc w:val="left"/>
      </w:pPr>
      <w:r>
        <w:rPr>
          <w:rFonts w:ascii="Times New Roman" w:cs="Times New Roman" w:eastAsia="Times New Roman" w:hAnsi="Times New Roman"/>
          <w:b/>
          <w:bCs/>
          <w:i w:val="false"/>
          <w:iCs w:val="false"/>
          <w:sz w:val="24"/>
          <w:szCs w:val="24"/>
        </w:rPr>
        <w:t xml:space="preserve">5.3 El motor familiar, con números</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Cada colegio aliado —ya sea cliente pagador o beneficiario de una beca— es también una puerta a sus familias. Con las 17 instituciones del SOM (Tabla 5), y una estimación de 200 familias alcanzables por colegio, el cálculo es el siguiente:</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600"/>
        <w:gridCol w:w="2880"/>
        <w:gridCol w:w="2880"/>
      </w:tblGrid>
      <w:tr>
        <w:trPr>
          <w:tblHeader/>
        </w:trPr>
        <w:tc>
          <w:tcPr>
            <w:tcW w:type="dxa" w:w="3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Concepto</w:t>
            </w:r>
          </w:p>
        </w:tc>
        <w:tc>
          <w:tcPr>
            <w:tcW w:type="dxa" w:w="28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Valor</w:t>
            </w:r>
          </w:p>
        </w:tc>
        <w:tc>
          <w:tcPr>
            <w:tcW w:type="dxa" w:w="28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Base</w:t>
            </w:r>
          </w:p>
        </w:tc>
      </w:tr>
      <w:tr>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 alcanzables</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3.400</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 colegios × 200 familias (estimación)</w:t>
            </w:r>
          </w:p>
        </w:tc>
      </w:tr>
      <w:tr>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Tasa de conversión a suscripción paga</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5 %</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Referencia sectorial EdTech freemium: 2,6 % típico, 8,5 % como meta optimizada (First Page Sage, 2026)</w:t>
            </w:r>
          </w:p>
        </w:tc>
      </w:tr>
      <w:tr>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Familias suscritas al mes 12</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170</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3.400 × 5 %</w:t>
            </w:r>
          </w:p>
        </w:tc>
      </w:tr>
      <w:tr>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US$ 3,00 (Bs 30,00) al mes</w:t>
            </w:r>
          </w:p>
        </w:tc>
        <w:tc>
          <w:tcPr>
            <w:tcW w:type="dxa" w:w="28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Decisión del equipo, sin validar con familias todavía</w:t>
            </w:r>
          </w:p>
        </w:tc>
      </w:tr>
      <w:tr>
        <w:tc>
          <w:tcPr>
            <w:tcW w:type="dxa" w:w="3600"/>
            <w:shd w:fill="D9E2F3"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sz w:val="20"/>
                <w:szCs w:val="20"/>
              </w:rPr>
              <w:t xml:space="preserve">Ingreso mensual</w:t>
            </w:r>
          </w:p>
        </w:tc>
        <w:tc>
          <w:tcPr>
            <w:tcW w:type="dxa" w:w="28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Bs 5.100 (US$ 510)</w:t>
            </w:r>
          </w:p>
        </w:tc>
        <w:tc>
          <w:tcPr>
            <w:tcW w:type="dxa" w:w="2880"/>
            <w:shd w:fill="D9E2F3"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sz w:val="20"/>
                <w:szCs w:val="20"/>
              </w:rPr>
              <w:t xml:space="preserve">170 familias × Bs 30,00</w:t>
            </w:r>
          </w:p>
        </w:tc>
      </w:tr>
    </w:tbl>
    <w:p>
      <w:pPr>
        <w:spacing w:after="200" w:before="60" w:line="240"/>
      </w:pPr>
      <w:r>
        <w:rPr>
          <w:rFonts w:ascii="Times New Roman" w:cs="Times New Roman" w:eastAsia="Times New Roman" w:hAnsi="Times New Roman"/>
          <w:i/>
          <w:iCs/>
          <w:color w:val="595959"/>
          <w:sz w:val="18"/>
          <w:szCs w:val="18"/>
        </w:rPr>
        <w:t xml:space="preserve">Tabla 22. Proyección de la suscripción premium familiar al mes 12. Es una hipótesis explícita, no un dato: la conversión real solo se conoce después de lanzar el primer módulo.</w:t>
      </w:r>
    </w:p>
    <w:p>
      <w:pPr>
        <w:spacing w:after="120" w:before="0" w:line="360"/>
        <w:jc w:val="left"/>
      </w:pPr>
      <w:r>
        <w:rPr>
          <w:rFonts w:ascii="Times New Roman" w:cs="Times New Roman" w:eastAsia="Times New Roman" w:hAnsi="Times New Roman"/>
          <w:b/>
          <w:bCs/>
          <w:i w:val="false"/>
          <w:iCs w:val="false"/>
          <w:sz w:val="24"/>
          <w:szCs w:val="24"/>
        </w:rPr>
        <w:t xml:space="preserve">5.4 Lo que esto cambia en la sostenibilidad</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Tabla 23 compara el resultado disponible para pagar equipo, con y sin el motor familiar, y en dos momentos: el mes 12 (17 colegios) y una proyección de año 2 con el doble de colegios y una conversión familiar algo mejor (6 %), una vez que el producto ya tiene referencias y el equipo tiene práctica comercial.</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2800"/>
        <w:gridCol w:w="2000"/>
        <w:gridCol w:w="2280"/>
        <w:gridCol w:w="2280"/>
      </w:tblGrid>
      <w:tr>
        <w:trPr>
          <w:tblHeader/>
        </w:trPr>
        <w:tc>
          <w:tcPr>
            <w:tcW w:type="dxa" w:w="2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Escenario de equipo</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Costo mensual</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Resultado, mes 12 (17 colegios)</w:t>
            </w:r>
          </w:p>
        </w:tc>
        <w:tc>
          <w:tcPr>
            <w:tcW w:type="dxa" w:w="228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Resultado, año 2 (34 colegios, proyección)</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Solo psicóloga, medio tiempo</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3.000</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8.871</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21.472</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 desarrollo y operación, medio tiempo</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9.000</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2.871</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15.472</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Equipo de 4, medio tiempo (Bs 4.000 c/u)</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16.000</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4.129</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8.472</w:t>
            </w:r>
          </w:p>
        </w:tc>
      </w:tr>
      <w:tr>
        <w:tc>
          <w:tcPr>
            <w:tcW w:type="dxa" w:w="2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Equipo de 4, tiempo completo (Bs 6.000 c/u)</w:t>
            </w:r>
          </w:p>
        </w:tc>
        <w:tc>
          <w:tcPr>
            <w:tcW w:type="dxa" w:w="2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Bs 24.000</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12.129</w:t>
            </w:r>
          </w:p>
        </w:tc>
        <w:tc>
          <w:tcPr>
            <w:tcW w:type="dxa" w:w="228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 Bs 472</w:t>
            </w:r>
          </w:p>
        </w:tc>
      </w:tr>
    </w:tbl>
    <w:p>
      <w:pPr>
        <w:spacing w:after="200" w:before="60" w:line="240"/>
      </w:pPr>
      <w:r>
        <w:rPr>
          <w:rFonts w:ascii="Times New Roman" w:cs="Times New Roman" w:eastAsia="Times New Roman" w:hAnsi="Times New Roman"/>
          <w:i/>
          <w:iCs/>
          <w:color w:val="595959"/>
          <w:sz w:val="18"/>
          <w:szCs w:val="18"/>
        </w:rPr>
        <w:t xml:space="preserve">Tabla 23. Resultado mensual disponible (ingreso total menos costo variable, fijo y de equipo), incluyendo el motor familiar. Cifras en bolivianos; positivo (+) es superávit, negativo (−) es déficit a cubrir con capital adicional o crecimiento más lento del equipo.</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La lectura honesta: al mes 12, el motor combinado ya sostiene una psicóloga y una persona de desarrollo u operación a medio tiempo — el primer paso real hacia dejar de depender exclusivamente del trabajo no remunerado del equipo fundador. Pagar a los cuatro fundadores a tiempo completo no se alcanza en el primer año; en el segundo, si el número de colegios se duplica y la conversión familiar mejora un punto porcentual, el margen es positivo pero extremadamente ajustado (Bs 472 al mes, menos del 2 % del ingreso) — no es una holgura real, es el punto en el que el equipo completo deja de perder dinero. Presentar esto como ya resuelto sería la misma sobrepromesa que este documento evita en cada otra sección.</w:t>
      </w:r>
    </w:p>
    <w:p>
      <w:pPr>
        <w:spacing w:after="120" w:before="0" w:line="360"/>
        <w:jc w:val="left"/>
      </w:pPr>
      <w:r>
        <w:rPr>
          <w:rFonts w:ascii="Times New Roman" w:cs="Times New Roman" w:eastAsia="Times New Roman" w:hAnsi="Times New Roman"/>
          <w:b/>
          <w:bCs/>
          <w:i w:val="false"/>
          <w:iCs w:val="false"/>
          <w:sz w:val="24"/>
          <w:szCs w:val="24"/>
        </w:rPr>
        <w:t xml:space="preserve">5.5 Lo que falta para que esto sea más que una proyección</w:t>
      </w:r>
    </w:p>
    <w:p>
      <w:pPr>
        <w:pStyle w:val="ListParagraph"/>
        <w:numPr>
          <w:ilvl w:val="0"/>
          <w:numId w:val="3"/>
        </w:numPr>
        <w:spacing w:after="80" w:line="360"/>
      </w:pPr>
      <w:r>
        <w:rPr>
          <w:rFonts w:ascii="Times New Roman" w:cs="Times New Roman" w:eastAsia="Times New Roman" w:hAnsi="Times New Roman"/>
          <w:sz w:val="24"/>
          <w:szCs w:val="24"/>
        </w:rPr>
        <w:t xml:space="preserve">Validar con al menos 30 familias, dentro de los colegios piloto, si pagarían US$ 3 al mes y por cuál módulo específicamente — no se ha preguntado todavía.</w:t>
      </w:r>
    </w:p>
    <w:p>
      <w:pPr>
        <w:pStyle w:val="ListParagraph"/>
        <w:numPr>
          <w:ilvl w:val="0"/>
          <w:numId w:val="3"/>
        </w:numPr>
        <w:spacing w:after="80" w:line="360"/>
      </w:pPr>
      <w:r>
        <w:rPr>
          <w:rFonts w:ascii="Times New Roman" w:cs="Times New Roman" w:eastAsia="Times New Roman" w:hAnsi="Times New Roman"/>
          <w:sz w:val="24"/>
          <w:szCs w:val="24"/>
        </w:rPr>
        <w:t xml:space="preserve">Incorporar o contratar por proyecto a un especialista en enseñanza de inglés para niños antes de publicar ese módulo; el contenido generado con IA reduce el costo de producción, pero no reemplaza la revisión pedagógica de alguien con formación en adquisición de una segunda lengua en la niñez.</w:t>
      </w:r>
    </w:p>
    <w:p>
      <w:pPr>
        <w:pStyle w:val="ListParagraph"/>
        <w:numPr>
          <w:ilvl w:val="0"/>
          <w:numId w:val="3"/>
        </w:numPr>
        <w:spacing w:after="80" w:line="360"/>
      </w:pPr>
      <w:r>
        <w:rPr>
          <w:rFonts w:ascii="Times New Roman" w:cs="Times New Roman" w:eastAsia="Times New Roman" w:hAnsi="Times New Roman"/>
          <w:sz w:val="24"/>
          <w:szCs w:val="24"/>
        </w:rPr>
        <w:t xml:space="preserve">Que el especialista en inteligencia artificial del equipo defina, por escrito, los límites de contenido del módulo de IA antes de escribir una sola línea, siguiendo el mismo principio que ya rige el núcleo de prevención: nada de conversación abierta con un menor.</w:t>
      </w:r>
    </w:p>
    <w:p>
      <w:pPr>
        <w:pStyle w:val="ListParagraph"/>
        <w:numPr>
          <w:ilvl w:val="0"/>
          <w:numId w:val="3"/>
        </w:numPr>
        <w:spacing w:after="80" w:line="360"/>
      </w:pPr>
      <w:r>
        <w:rPr>
          <w:rFonts w:ascii="Times New Roman" w:cs="Times New Roman" w:eastAsia="Times New Roman" w:hAnsi="Times New Roman"/>
          <w:sz w:val="24"/>
          <w:szCs w:val="24"/>
        </w:rPr>
        <w:t xml:space="preserve">Mantener el módulo de habilidades para la vida —y solo ese— como candidato realista para el primer trimestre de la expansión: es el único que reutiliza directamente el motor y el contenido ya construidos, sin agregar una disciplina pedagógica nueva al equipo.</w:t>
      </w:r>
    </w:p>
    <w:p>
      <w:pPr>
        <w:spacing w:after="120"/>
      </w:pPr>
    </w:p>
    <w:p>
      <w:pPr>
        <w:pStyle w:val="Heading1"/>
        <w:spacing w:after="160" w:before="280" w:line="360"/>
      </w:pPr>
      <w:r>
        <w:t xml:space="preserve">6. Conclusiones y Recomendaciones</w:t>
      </w:r>
    </w:p>
    <w:p>
      <w:pPr>
        <w:spacing w:after="120" w:before="0" w:line="360"/>
        <w:jc w:val="left"/>
      </w:pPr>
      <w:r>
        <w:rPr>
          <w:rFonts w:ascii="Times New Roman" w:cs="Times New Roman" w:eastAsia="Times New Roman" w:hAnsi="Times New Roman"/>
          <w:b/>
          <w:bCs/>
          <w:i w:val="false"/>
          <w:iCs w:val="false"/>
          <w:sz w:val="24"/>
          <w:szCs w:val="24"/>
        </w:rPr>
        <w:t xml:space="preserve">6.1 Conclusiones</w:t>
      </w:r>
    </w:p>
    <w:p>
      <w:pPr>
        <w:pStyle w:val="ListParagraph"/>
        <w:numPr>
          <w:ilvl w:val="0"/>
          <w:numId w:val="3"/>
        </w:numPr>
        <w:spacing w:after="80" w:line="360"/>
      </w:pPr>
      <w:r>
        <w:rPr>
          <w:rFonts w:ascii="Times New Roman" w:cs="Times New Roman" w:eastAsia="Times New Roman" w:hAnsi="Times New Roman"/>
          <w:sz w:val="24"/>
          <w:szCs w:val="24"/>
        </w:rPr>
        <w:t xml:space="preserve">El problema tiene magnitud documentada y concentración geográfica en Santa Cruz, pero no existe hoy una partida presupuestaria claramente destinada a comprar herramientas de prevención: los recursos disponibles se gastan en talleres presenciales y campañas.</w:t>
      </w:r>
    </w:p>
    <w:p>
      <w:pPr>
        <w:pStyle w:val="ListParagraph"/>
        <w:numPr>
          <w:ilvl w:val="0"/>
          <w:numId w:val="3"/>
        </w:numPr>
        <w:spacing w:after="80" w:line="360"/>
      </w:pPr>
      <w:r>
        <w:rPr>
          <w:rFonts w:ascii="Times New Roman" w:cs="Times New Roman" w:eastAsia="Times New Roman" w:hAnsi="Times New Roman"/>
          <w:sz w:val="24"/>
          <w:szCs w:val="24"/>
        </w:rPr>
        <w:t xml:space="preserve">Vender por colegio completo, en vez de por aula suelta, concentra en una sola decisión de compra lo que antes exigía negociar aula por aula: el punto de equilibrio operativo baja a apenas 2 o 3 colegios.</w:t>
      </w:r>
    </w:p>
    <w:p>
      <w:pPr>
        <w:pStyle w:val="ListParagraph"/>
        <w:numPr>
          <w:ilvl w:val="0"/>
          <w:numId w:val="3"/>
        </w:numPr>
        <w:spacing w:after="80" w:line="360"/>
      </w:pPr>
      <w:r>
        <w:rPr>
          <w:rFonts w:ascii="Times New Roman" w:cs="Times New Roman" w:eastAsia="Times New Roman" w:hAnsi="Times New Roman"/>
          <w:sz w:val="24"/>
          <w:szCs w:val="24"/>
        </w:rPr>
        <w:t xml:space="preserve">Ese punto de equilibrio cubre los costos de operar, no los sueldos de un equipo. Cubrir un equipo mínimo (una psicóloga y una persona de desarrollo u operación, ambas a medio tiempo) requiere sumar el motor de suscripción familiar desarrollado en la Sección 5; un equipo completo a sueldo de mercado es una meta de año 2, no de año 1.</w:t>
      </w:r>
    </w:p>
    <w:p>
      <w:pPr>
        <w:pStyle w:val="ListParagraph"/>
        <w:numPr>
          <w:ilvl w:val="0"/>
          <w:numId w:val="3"/>
        </w:numPr>
        <w:spacing w:after="80" w:line="360"/>
      </w:pPr>
      <w:r>
        <w:rPr>
          <w:rFonts w:ascii="Times New Roman" w:cs="Times New Roman" w:eastAsia="Times New Roman" w:hAnsi="Times New Roman"/>
          <w:sz w:val="24"/>
          <w:szCs w:val="24"/>
        </w:rPr>
        <w:t xml:space="preserve">La estructura de costos es intensiva en personal, no en tecnología: el 93 % del costo variable corresponde a mano de obra de acompañamiento. Esto coincide con la evidencia internacional, donde el personal representa el 72 % del costo de programas equivalentes, con un costo de referencia de US$ 859 (Bs 8.590) por aula.</w:t>
      </w:r>
    </w:p>
    <w:p>
      <w:pPr>
        <w:pStyle w:val="ListParagraph"/>
        <w:numPr>
          <w:ilvl w:val="0"/>
          <w:numId w:val="3"/>
        </w:numPr>
        <w:spacing w:after="80" w:line="360"/>
      </w:pPr>
      <w:r>
        <w:rPr>
          <w:rFonts w:ascii="Times New Roman" w:cs="Times New Roman" w:eastAsia="Times New Roman" w:hAnsi="Times New Roman"/>
          <w:sz w:val="24"/>
          <w:szCs w:val="24"/>
        </w:rPr>
        <w:t xml:space="preserve">La ventaja competitiva no es tecnológica sino de confianza institucional: aval profesional, protocolo alineado a la normativa boliviana y una arquitectura que no recolecta datos de menores. La expansión a otros módulos de aprendizaje no debe diluir esa confianza — por eso la suscripción familiar nunca cobra por el núcleo de prevención.</w:t>
      </w:r>
    </w:p>
    <w:p>
      <w:pPr>
        <w:spacing w:after="120"/>
      </w:pPr>
    </w:p>
    <w:p>
      <w:pPr>
        <w:spacing w:after="120" w:before="0" w:line="360"/>
        <w:jc w:val="left"/>
      </w:pPr>
      <w:r>
        <w:rPr>
          <w:rFonts w:ascii="Times New Roman" w:cs="Times New Roman" w:eastAsia="Times New Roman" w:hAnsi="Times New Roman"/>
          <w:b/>
          <w:bCs/>
          <w:i w:val="false"/>
          <w:iCs w:val="false"/>
          <w:sz w:val="24"/>
          <w:szCs w:val="24"/>
        </w:rPr>
        <w:t xml:space="preserve">6.2 Recomendaciones</w:t>
      </w:r>
    </w:p>
    <w:p>
      <w:pPr>
        <w:pStyle w:val="ListParagraph"/>
        <w:numPr>
          <w:ilvl w:val="0"/>
          <w:numId w:val="3"/>
        </w:numPr>
        <w:spacing w:after="80" w:line="360"/>
      </w:pPr>
      <w:r>
        <w:rPr>
          <w:rFonts w:ascii="Times New Roman" w:cs="Times New Roman" w:eastAsia="Times New Roman" w:hAnsi="Times New Roman"/>
          <w:sz w:val="24"/>
          <w:szCs w:val="24"/>
        </w:rPr>
        <w:t xml:space="preserve">Ejecutar el plan de entrevistas antes de comprometer precios en una propuesta formal: la disposición a pagar —tanto de colegios como de familias— sigue siendo la hipótesis más frágil del modelo.</w:t>
      </w:r>
    </w:p>
    <w:p>
      <w:pPr>
        <w:pStyle w:val="ListParagraph"/>
        <w:numPr>
          <w:ilvl w:val="0"/>
          <w:numId w:val="3"/>
        </w:numPr>
        <w:spacing w:after="80" w:line="360"/>
      </w:pPr>
      <w:r>
        <w:rPr>
          <w:rFonts w:ascii="Times New Roman" w:cs="Times New Roman" w:eastAsia="Times New Roman" w:hAnsi="Times New Roman"/>
          <w:sz w:val="24"/>
          <w:szCs w:val="24"/>
        </w:rPr>
        <w:t xml:space="preserve">Priorizar el contrato con una ONG aliada por encima de la venta individual a colegios: concentra más aulas por unidad de esfuerzo comercial y aporta legitimidad.</w:t>
      </w:r>
    </w:p>
    <w:p>
      <w:pPr>
        <w:pStyle w:val="ListParagraph"/>
        <w:numPr>
          <w:ilvl w:val="0"/>
          <w:numId w:val="3"/>
        </w:numPr>
        <w:spacing w:after="80" w:line="360"/>
      </w:pPr>
      <w:r>
        <w:rPr>
          <w:rFonts w:ascii="Times New Roman" w:cs="Times New Roman" w:eastAsia="Times New Roman" w:hAnsi="Times New Roman"/>
          <w:sz w:val="24"/>
          <w:szCs w:val="24"/>
        </w:rPr>
        <w:t xml:space="preserve">Mantener la regla de destinar las subvenciones exclusivamente a desarrollo y evaluación, y no a operación, para evitar una dependencia que ya se observa en organizaciones comparables de la región.</w:t>
      </w:r>
    </w:p>
    <w:p>
      <w:pPr>
        <w:pStyle w:val="ListParagraph"/>
        <w:numPr>
          <w:ilvl w:val="0"/>
          <w:numId w:val="3"/>
        </w:numPr>
        <w:spacing w:after="80" w:line="360"/>
      </w:pPr>
      <w:r>
        <w:rPr>
          <w:rFonts w:ascii="Times New Roman" w:cs="Times New Roman" w:eastAsia="Times New Roman" w:hAnsi="Times New Roman"/>
          <w:sz w:val="24"/>
          <w:szCs w:val="24"/>
        </w:rPr>
        <w:t xml:space="preserve">Completar la validación psicológica del contenido antes de cualquier despliegue con niñas y niños reales. Ningún argumento comercial justifica adelantarse a ese paso.</w:t>
      </w:r>
    </w:p>
    <w:p>
      <w:pPr>
        <w:pStyle w:val="ListParagraph"/>
        <w:numPr>
          <w:ilvl w:val="0"/>
          <w:numId w:val="3"/>
        </w:numPr>
        <w:spacing w:after="80" w:line="360"/>
      </w:pPr>
      <w:r>
        <w:rPr>
          <w:rFonts w:ascii="Times New Roman" w:cs="Times New Roman" w:eastAsia="Times New Roman" w:hAnsi="Times New Roman"/>
          <w:sz w:val="24"/>
          <w:szCs w:val="24"/>
        </w:rPr>
        <w:t xml:space="preserve">No anunciar los módulos premium (inglés, inteligencia artificial, medio ambiente) como parte del producto actual frente a un colegio o una ONG: son visión de producto a un año, y presentarlos como disponibles hoy generaría una expectativa que el equipo todavía no puede cumplir.</w:t>
      </w:r>
    </w:p>
    <w:p>
      <w:pPr>
        <w:spacing w:after="120"/>
      </w:pPr>
    </w:p>
    <w:p>
      <w:pPr>
        <w:pStyle w:val="Heading1"/>
        <w:spacing w:after="160" w:before="280" w:line="360"/>
      </w:pPr>
      <w:r>
        <w:t xml:space="preserve">7. Bibliografía</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(2025). Censo de Población y Vivienda 2024: resultados finales. https://cpv2024.ine.gob.bo/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Instituto Nacional de Estadística de Bolivia. (2024). Anuario Estadístico 2024, capítulo 3: Educación, cuadros 3.02.02.01 y 3.02.02.06. https://anuario.ine.gob.bo/2024/paginas/cap03.html</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Correo del Sur. (10 de agosto de 2026). Bolivia registra 965 casos de violencia sexual contra niños. https://correodelsur.com/seguridad/20260810/</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Opinión. (16 de septiembre de 2025). Bolivia registra más de 180 violaciones infantiles cada mes. https://www.opinion.com.bo/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(2014). Ley N.º 548, Código Niña, Niño y Adolescente, artículos 106 y 159.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Estado Plurinacional de Bolivia. (2025). Ley N.º 1636, de Protección de la Integridad Sexual de Niñas, Niños y Adolescentes en Entornos Digitales.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Shipe, S. L., et al. (2022). Taking a School-Based Child Sexual Abuse Prevention Program to Scale: a Cost Analysis. Prevention Science, 23(8). https://pmc.ncbi.nlm.nih.gov/articles/PMC11318369/</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Journal of Prevention. (2025). School-Based Prevention Programmes for Sexual Abuse: A Meta-Analysis Study. https://link.springer.com/article/10.1007/s10935-025-00885-4</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Durlak, J. A., et al. (2011). The Impact of Enhancing Students' Social and Emotional Learning: A Meta-Analysis of School-Based Universal Interventions. Child Development, 82(1), 405-432.</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UNICEF. Procedure on Ethical Standards in Research, Evaluation, Data Collection and Analysis.</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Banco Central de Bolivia. (17 de septiembre de 2026). Tabla de cotizaciones oficiales. https://www.bcb.gob.bo/</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First Page Sage. (2026). Freemium to paid conversion rate benchmarks by industry.</w:t>
      </w:r>
    </w:p>
    <w:p>
      <w:pPr>
        <w:spacing w:after="100" w:before="0" w:line="360"/>
        <w:jc w:val="left"/>
      </w:pPr>
      <w:r>
        <w:rPr>
          <w:rFonts w:ascii="Times New Roman" w:cs="Times New Roman" w:eastAsia="Times New Roman" w:hAnsi="Times New Roman"/>
          <w:b w:val="false"/>
          <w:bCs w:val="false"/>
          <w:i w:val="false"/>
          <w:iCs w:val="false"/>
          <w:sz w:val="24"/>
          <w:szCs w:val="24"/>
        </w:rPr>
        <w:t xml:space="preserve">CEMSE. (29 de junio de 2026). Santa Cruz fortalece la prevención de la violencia con el proyecto Escuelas Seguras y Comunidades Protectoras para la Niñez.</w:t>
      </w:r>
    </w:p>
    <w:p>
      <w:r>
        <w:br w:type="page"/>
      </w:r>
    </w:p>
    <w:p>
      <w:pPr>
        <w:pStyle w:val="Heading1"/>
        <w:spacing w:after="160" w:before="280" w:line="360"/>
      </w:pPr>
      <w:r>
        <w:t xml:space="preserve">Anexo A. Supuestos y nivel de evidencia</w:t>
      </w:r>
    </w:p>
    <w:p>
      <w:pPr>
        <w:spacing w:after="120" w:before="0" w:line="360"/>
        <w:ind w:firstLine="720"/>
        <w:jc w:val="left"/>
      </w:pPr>
      <w:r>
        <w:rPr>
          <w:rFonts w:ascii="Times New Roman" w:cs="Times New Roman" w:eastAsia="Times New Roman" w:hAnsi="Times New Roman"/>
          <w:b w:val="false"/>
          <w:bCs w:val="false"/>
          <w:i w:val="false"/>
          <w:iCs w:val="false"/>
          <w:sz w:val="24"/>
          <w:szCs w:val="24"/>
        </w:rPr>
        <w:t xml:space="preserve">Esta sección declara el origen de cada cifra utilizada, para que quien evalúe el proyecto pueda distinguir lo verificado de lo estimado.</w:t>
      </w:r>
    </w:p>
    <w:tbl>
      <w:tblPr>
        <w:tblW w:type="dxa" w:w="9360"/>
        <w:tblBorders>
          <w:top w:val="single" w:color="808080" w:sz="4"/>
          <w:left w:val="single" w:color="808080" w:sz="4"/>
          <w:bottom w:val="single" w:color="808080" w:sz="4"/>
          <w:right w:val="single" w:color="808080" w:sz="4"/>
          <w:insideH w:val="single" w:color="BFBFBF" w:sz="2"/>
          <w:insideV w:val="single" w:color="BFBFBF" w:sz="2"/>
        </w:tblBorders>
      </w:tblPr>
      <w:tblGrid>
        <w:gridCol w:w="3200"/>
        <w:gridCol w:w="1800"/>
        <w:gridCol w:w="4360"/>
      </w:tblGrid>
      <w:tr>
        <w:trPr>
          <w:tblHeader/>
        </w:trPr>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Supuesto o cifra</w:t>
            </w:r>
          </w:p>
        </w:tc>
        <w:tc>
          <w:tcPr>
            <w:tcW w:type="dxa" w:w="1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Nivel</w:t>
            </w:r>
          </w:p>
        </w:tc>
        <w:tc>
          <w:tcPr>
            <w:tcW w:type="dxa" w:w="436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20"/>
                <w:szCs w:val="20"/>
              </w:rPr>
              <w:t xml:space="preserve">Origen y observación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Población de Bolivia y por departamento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Censo 2024, resultados finales</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Estudiantes de primaria en Bolivia y Santa Cruz</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oficial</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INE, Anuario Estadístico 2024, con datos del Ministerio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Denuncias por violación de NNA en 2025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Dato de prensa</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Ministerio Público citado por prensa nacional; son denuncias, no prevalencia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26 a 27 estudiantes por aula</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del equipo. No se halló dato oficial reciente de tamaño de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50 % de instituciones con dispositivo y conexión</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Pendiente de validar con la Dirección Departamental de Educación</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8 aulas de primaria por colegio, en promedio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del equipo para pasar de aulas a colegios. No se halló dato oficial de tamaño promedio de colegio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Precio de US$ 850 (Bs 8.500) por colegio al año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Decisión del equipo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No validado con entrevistas a colegios. Es la hipótesis más frágil del modelo institucional</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Costo variable de Bs 550 (US$ 55) por aula al año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por componentes; referencia internacional comparable: US$ 859 (Bs 8.590) por aula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SOM de 17 colegios al mes 12</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Hipótesis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Construida de abajo hacia arriba según capacidad comercial (5 a 8 instituciones contactadas por mes), no como porcentaje del SAM</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Suscripción familiar de US$ 3 (Bs 30) al mes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Decisión del equipo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No validada con familias. Es la hipótesis más frágil del motor de expansión (Sección 5)</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Conversión familiar del 5 % al mes 12</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Hipótesis</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Referencia sectorial EdTech: 2,6 % típico, 8,5 % como meta optimizada (First Page Sage, 2026). 5 % es un punto medio, no un dato propio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200 familias alcanzables por colegio aliado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Estimación</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del equipo a partir del tamaño promedio de colegio; no verificado</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Tipo de cambio referencial Bs 10,00 por dólar</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Supuesto declarado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Oficial BCB al 17-09-2026: Bs 9,83. Paralelo en la misma semana: Bs 10,9 a 11,9. Se adopta Bs 10,00 como referencia conservadora y legible</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Capital semilla de Bs 12.000 (US$ 1.200) en efectivo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Por confirmar</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Confirmar con la organización de HACKBIZ la modalidad de entrega</w:t>
            </w:r>
          </w:p>
        </w:tc>
      </w:tr>
      <w:tr>
        <w:tc>
          <w:tcPr>
            <w:tcW w:type="dxa" w:w="3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sz w:val="20"/>
                <w:szCs w:val="20"/>
              </w:rPr>
              <w:t xml:space="preserve">Módulos premium (inglés, IA, ambiente) validables en un año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Hipótesis del equipo</w:t>
            </w:r>
          </w:p>
        </w:tc>
        <w:tc>
          <w:tcPr>
            <w:tcW w:type="dxa" w:w="43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sz w:val="20"/>
                <w:szCs w:val="20"/>
              </w:rPr>
              <w:t xml:space="preserve">Depende de incorporar un especialista en inglés, hoy inexistente en el equipo; el de IA sí está disponible</w:t>
            </w:r>
          </w:p>
        </w:tc>
      </w:tr>
    </w:tbl>
    <w:p>
      <w:pPr>
        <w:spacing w:after="200" w:before="60" w:line="240"/>
      </w:pPr>
      <w:r>
        <w:rPr>
          <w:rFonts w:ascii="Times New Roman" w:cs="Times New Roman" w:eastAsia="Times New Roman" w:hAnsi="Times New Roman"/>
          <w:i/>
          <w:iCs/>
          <w:color w:val="595959"/>
          <w:sz w:val="18"/>
          <w:szCs w:val="18"/>
        </w:rPr>
        <w:t xml:space="preserve">Tabla A1. Trazabilidad de supuestos.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lin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40" w:before="260" w:line="36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Isla de los Acuerdos — Modelo de Negocio</dc:title>
  <dc:creator>YAIS-RED</dc:creator>
  <dc:description>Documento de modelo de negocio para HACKBIZ UAGRM 2026</dc:description>
  <cp:lastModifiedBy>Un-named</cp:lastModifiedBy>
  <cp:revision>1</cp:revision>
  <dcterms:created xsi:type="dcterms:W3CDTF">2026-09-17T20:32:01.584Z</dcterms:created>
  <dcterms:modified xsi:type="dcterms:W3CDTF">2026-09-17T20:32:01.586Z</dcterms:modified>
</cp:coreProperties>
</file>

<file path=docProps/custom.xml><?xml version="1.0" encoding="utf-8"?>
<Properties xmlns="http://schemas.openxmlformats.org/officeDocument/2006/custom-properties" xmlns:vt="http://schemas.openxmlformats.org/officeDocument/2006/docPropsVTypes"/>
</file>