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400"/>
      </w:pPr>
      <w:r>
        <w:rPr>
          <w:rFonts w:ascii="Arial" w:cs="Arial" w:eastAsia="Arial" w:hAnsi="Arial"/>
          <w:b/>
          <w:bCs/>
          <w:color w:val="1F3864"/>
          <w:sz w:val="32"/>
          <w:szCs w:val="32"/>
        </w:rPr>
        <w:t xml:space="preserve">Chapter 5 – Case Study: Beam Analysis</w:t>
      </w:r>
    </w:p>
    <w:p>
      <w:pPr>
        <w:spacing w:after="160" w:before="0" w:line="360"/>
        <w:jc w:val="both"/>
      </w:pPr>
      <w:r>
        <w:rPr>
          <w:rFonts w:ascii="Arial" w:cs="Arial" w:eastAsia="Arial" w:hAnsi="Arial"/>
          <w:sz w:val="24"/>
          <w:szCs w:val="24"/>
        </w:rPr>
        <w:t xml:space="preserve">This chapter presents the application of the implemented system to a concrete structural analysis problem. The purpose of the case study is twofold: to demonstrate that the automated pipeline produces physically plausible results for a well-understood problem, and to quantify the discrepancy between the finite element output and the corresponding analytical solution. A standard beam problem is selected because its exact solution is available in closed form, which makes verification straightforward and unambiguous.</w:t>
      </w:r>
    </w:p>
    <w:p>
      <w:pPr>
        <w:pStyle w:val="Heading2"/>
        <w:spacing w:after="120" w:before="300"/>
      </w:pPr>
      <w:r>
        <w:rPr>
          <w:rFonts w:ascii="Arial" w:cs="Arial" w:eastAsia="Arial" w:hAnsi="Arial"/>
          <w:b/>
          <w:bCs/>
          <w:color w:val="2E74B5"/>
          <w:sz w:val="28"/>
          <w:szCs w:val="28"/>
        </w:rPr>
        <w:t xml:space="preserve">5.1 Problem Definition</w:t>
      </w:r>
    </w:p>
    <w:p>
      <w:pPr>
        <w:spacing w:after="160" w:before="0" w:line="360"/>
        <w:jc w:val="both"/>
      </w:pPr>
      <w:r>
        <w:rPr>
          <w:rFonts w:ascii="Arial" w:cs="Arial" w:eastAsia="Arial" w:hAnsi="Arial"/>
          <w:sz w:val="24"/>
          <w:szCs w:val="24"/>
        </w:rPr>
        <w:t xml:space="preserve">The case study is based on the default parameter set embedded in the system, which represents a realistic beam problem within the scope of the current implementation. The parameters were chosen to be physically plausible for a structural steel section while remaining simple enough to admit an exact analytical solution.</w:t>
      </w:r>
    </w:p>
    <w:p>
      <w:pPr>
        <w:spacing w:after="80" w:before="0"/>
      </w:pPr>
      <w:r>
        <w:t xml:space="preserve"/>
      </w:r>
    </w:p>
    <w:p>
      <w:pPr>
        <w:pStyle w:val="Heading3"/>
        <w:spacing w:after="80" w:before="220"/>
      </w:pPr>
      <w:r>
        <w:rPr>
          <w:rFonts w:ascii="Arial" w:cs="Arial" w:eastAsia="Arial" w:hAnsi="Arial"/>
          <w:b/>
          <w:bCs/>
          <w:color w:val="2E74B5"/>
          <w:sz w:val="24"/>
          <w:szCs w:val="24"/>
        </w:rPr>
        <w:t xml:space="preserve">5.1.1 Beam Geometry and Material Properties</w:t>
      </w:r>
    </w:p>
    <w:p>
      <w:pPr>
        <w:spacing w:after="160" w:before="0" w:line="360"/>
        <w:jc w:val="both"/>
      </w:pPr>
      <w:r>
        <w:rPr>
          <w:rFonts w:ascii="Arial" w:cs="Arial" w:eastAsia="Arial" w:hAnsi="Arial"/>
          <w:sz w:val="24"/>
          <w:szCs w:val="24"/>
        </w:rPr>
        <w:t xml:space="preserve">The beam analysed in this case study has the following geometry and material properties:</w:t>
      </w:r>
    </w:p>
    <w:p>
      <w:pPr>
        <w:spacing w:after="80" w:before="0"/>
      </w:pPr>
      <w:r>
        <w:t xml:space="preserve"/>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2300"/>
        <w:gridCol w:w="1200"/>
      </w:tblGrid>
      <w:tr>
        <w:tc>
          <w:tcPr>
            <w:tcW w:type="dxa" w:w="320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Parameter</w:t>
            </w:r>
          </w:p>
        </w:tc>
        <w:tc>
          <w:tcPr>
            <w:tcW w:type="dxa" w:w="140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pPr>
              <w:jc w:val="left"/>
            </w:pPr>
            <w:r>
              <w:rPr>
                <w:rFonts w:ascii="Arial" w:cs="Arial" w:eastAsia="Arial" w:hAnsi="Arial"/>
                <w:b/>
                <w:bCs/>
                <w:color w:val="FFFFFF"/>
                <w:sz w:val="22"/>
                <w:szCs w:val="22"/>
              </w:rPr>
              <w:t xml:space="preserve">Symbol</w:t>
            </w:r>
          </w:p>
        </w:tc>
        <w:tc>
          <w:tcPr>
            <w:tcW w:type="dxa" w:w="230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pPr>
              <w:jc w:val="left"/>
            </w:pPr>
            <w:r>
              <w:rPr>
                <w:rFonts w:ascii="Arial" w:cs="Arial" w:eastAsia="Arial" w:hAnsi="Arial"/>
                <w:b/>
                <w:bCs/>
                <w:color w:val="FFFFFF"/>
                <w:sz w:val="22"/>
                <w:szCs w:val="22"/>
              </w:rPr>
              <w:t xml:space="preserve">Value</w:t>
            </w:r>
          </w:p>
        </w:tc>
        <w:tc>
          <w:tcPr>
            <w:tcW w:type="dxa" w:w="120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pPr>
              <w:jc w:val="left"/>
            </w:pPr>
            <w:r>
              <w:rPr>
                <w:rFonts w:ascii="Arial" w:cs="Arial" w:eastAsia="Arial" w:hAnsi="Arial"/>
                <w:b/>
                <w:bCs/>
                <w:color w:val="FFFFFF"/>
                <w:sz w:val="22"/>
                <w:szCs w:val="22"/>
              </w:rPr>
              <w:t xml:space="preserve">Unit</w:t>
            </w:r>
          </w:p>
        </w:tc>
      </w:tr>
      <w:tr>
        <w:tc>
          <w:tcPr>
            <w:tcW w:type="dxa" w:w="32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Beam length</w:t>
            </w:r>
          </w:p>
        </w:tc>
        <w:tc>
          <w:tcPr>
            <w:tcW w:type="dxa" w:w="14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L</w:t>
            </w:r>
          </w:p>
        </w:tc>
        <w:tc>
          <w:tcPr>
            <w:tcW w:type="dxa" w:w="23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3.0</w:t>
            </w:r>
          </w:p>
        </w:tc>
        <w:tc>
          <w:tcPr>
            <w:tcW w:type="dxa" w:w="12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w:t>
            </w:r>
          </w:p>
        </w:tc>
      </w:tr>
      <w:tr>
        <w:tc>
          <w:tcPr>
            <w:tcW w:type="dxa" w:w="32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Section height</w:t>
            </w:r>
          </w:p>
        </w:tc>
        <w:tc>
          <w:tcPr>
            <w:tcW w:type="dxa" w:w="14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HY</w:t>
            </w:r>
          </w:p>
        </w:tc>
        <w:tc>
          <w:tcPr>
            <w:tcW w:type="dxa" w:w="23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0.12</w:t>
            </w:r>
          </w:p>
        </w:tc>
        <w:tc>
          <w:tcPr>
            <w:tcW w:type="dxa" w:w="12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w:t>
            </w:r>
          </w:p>
        </w:tc>
      </w:tr>
      <w:tr>
        <w:tc>
          <w:tcPr>
            <w:tcW w:type="dxa" w:w="32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Section width</w:t>
            </w:r>
          </w:p>
        </w:tc>
        <w:tc>
          <w:tcPr>
            <w:tcW w:type="dxa" w:w="14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HZ</w:t>
            </w:r>
          </w:p>
        </w:tc>
        <w:tc>
          <w:tcPr>
            <w:tcW w:type="dxa" w:w="23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0.10</w:t>
            </w:r>
          </w:p>
        </w:tc>
        <w:tc>
          <w:tcPr>
            <w:tcW w:type="dxa" w:w="12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w:t>
            </w:r>
          </w:p>
        </w:tc>
      </w:tr>
      <w:tr>
        <w:tc>
          <w:tcPr>
            <w:tcW w:type="dxa" w:w="32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Young's modulus</w:t>
            </w:r>
          </w:p>
        </w:tc>
        <w:tc>
          <w:tcPr>
            <w:tcW w:type="dxa" w:w="14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E</w:t>
            </w:r>
          </w:p>
        </w:tc>
        <w:tc>
          <w:tcPr>
            <w:tcW w:type="dxa" w:w="23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2.10 × 10¹¹</w:t>
            </w:r>
          </w:p>
        </w:tc>
        <w:tc>
          <w:tcPr>
            <w:tcW w:type="dxa" w:w="12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Pa</w:t>
            </w:r>
          </w:p>
        </w:tc>
      </w:tr>
      <w:tr>
        <w:tc>
          <w:tcPr>
            <w:tcW w:type="dxa" w:w="32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Poisson's ratio</w:t>
            </w:r>
          </w:p>
        </w:tc>
        <w:tc>
          <w:tcPr>
            <w:tcW w:type="dxa" w:w="14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ν</w:t>
            </w:r>
          </w:p>
        </w:tc>
        <w:tc>
          <w:tcPr>
            <w:tcW w:type="dxa" w:w="23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0.3</w:t>
            </w:r>
          </w:p>
        </w:tc>
        <w:tc>
          <w:tcPr>
            <w:tcW w:type="dxa" w:w="12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w:t>
            </w:r>
          </w:p>
        </w:tc>
      </w:tr>
      <w:tr>
        <w:tc>
          <w:tcPr>
            <w:tcW w:type="dxa" w:w="32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Material density</w:t>
            </w:r>
          </w:p>
        </w:tc>
        <w:tc>
          <w:tcPr>
            <w:tcW w:type="dxa" w:w="14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ρ</w:t>
            </w:r>
          </w:p>
        </w:tc>
        <w:tc>
          <w:tcPr>
            <w:tcW w:type="dxa" w:w="23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7850</w:t>
            </w:r>
          </w:p>
        </w:tc>
        <w:tc>
          <w:tcPr>
            <w:tcW w:type="dxa" w:w="12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kg/m³</w:t>
            </w:r>
          </w:p>
        </w:tc>
      </w:tr>
      <w:tr>
        <w:tc>
          <w:tcPr>
            <w:tcW w:type="dxa" w:w="32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Number of elements</w:t>
            </w:r>
          </w:p>
        </w:tc>
        <w:tc>
          <w:tcPr>
            <w:tcW w:type="dxa" w:w="14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n</w:t>
            </w:r>
          </w:p>
        </w:tc>
        <w:tc>
          <w:tcPr>
            <w:tcW w:type="dxa" w:w="23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15</w:t>
            </w:r>
          </w:p>
        </w:tc>
        <w:tc>
          <w:tcPr>
            <w:tcW w:type="dxa" w:w="12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w:t>
            </w:r>
          </w:p>
        </w:tc>
      </w:tr>
    </w:tbl>
    <w:p>
      <w:pPr>
        <w:spacing w:after="80" w:before="0"/>
      </w:pPr>
      <w:r>
        <w:t xml:space="preserve"/>
      </w:r>
    </w:p>
    <w:p>
      <w:pPr>
        <w:spacing w:after="160" w:before="0" w:line="360"/>
        <w:jc w:val="both"/>
      </w:pPr>
      <w:r>
        <w:rPr>
          <w:rFonts w:ascii="Arial" w:cs="Arial" w:eastAsia="Arial" w:hAnsi="Arial"/>
          <w:sz w:val="24"/>
          <w:szCs w:val="24"/>
        </w:rPr>
        <w:t xml:space="preserve">The cross-section is a solid rectangular section. All geometry values are specified in metres at the user interface level. The pipeline converts them to millimetres internally before writing any file, since the Code_Aster command templates operate in millimetre units. The Young's modulus and density correspond to standard structural steel.</w:t>
      </w:r>
    </w:p>
    <w:p>
      <w:pPr>
        <w:spacing w:after="160" w:before="0" w:line="360"/>
        <w:jc w:val="both"/>
      </w:pPr>
      <w:r>
        <w:rPr>
          <w:rFonts w:ascii="Arial" w:cs="Arial" w:eastAsia="Arial" w:hAnsi="Arial"/>
          <w:sz w:val="24"/>
          <w:szCs w:val="24"/>
        </w:rPr>
        <w:t xml:space="preserve">The second moment of area of the cross-section about the bending axis is computed as </w:t>
      </w:r>
      <w:r>
        <w:rPr>
          <w:rFonts w:ascii="Courier New" w:cs="Courier New" w:eastAsia="Courier New" w:hAnsi="Courier New"/>
          <w:sz w:val="22"/>
          <w:szCs w:val="22"/>
        </w:rPr>
        <w:t xml:space="preserve">I = HZ × HY³ / 12</w:t>
      </w:r>
      <w:r>
        <w:rPr>
          <w:rFonts w:ascii="Arial" w:cs="Arial" w:eastAsia="Arial" w:hAnsi="Arial"/>
          <w:sz w:val="24"/>
          <w:szCs w:val="24"/>
        </w:rPr>
        <w:t xml:space="preserve">, which gives </w:t>
      </w:r>
      <w:r>
        <w:rPr>
          <w:rFonts w:ascii="Courier New" w:cs="Courier New" w:eastAsia="Courier New" w:hAnsi="Courier New"/>
          <w:sz w:val="22"/>
          <w:szCs w:val="22"/>
        </w:rPr>
        <w:t xml:space="preserve">I = 0.10 × 0.12³ / 12 = 1.44 × 10⁻⁵ m⁴</w:t>
      </w:r>
      <w:r>
        <w:rPr>
          <w:rFonts w:ascii="Arial" w:cs="Arial" w:eastAsia="Arial" w:hAnsi="Arial"/>
          <w:sz w:val="24"/>
          <w:szCs w:val="24"/>
        </w:rPr>
        <w:t xml:space="preserve">. This value is used in the analytical verification calculations described in Section 5.4.</w:t>
      </w:r>
    </w:p>
    <w:p>
      <w:pPr>
        <w:spacing w:after="80" w:before="0"/>
      </w:pPr>
      <w:r>
        <w:t xml:space="preserve"/>
      </w:r>
    </w:p>
    <w:p>
      <w:pPr>
        <w:pStyle w:val="Heading3"/>
        <w:spacing w:after="80" w:before="220"/>
      </w:pPr>
      <w:r>
        <w:rPr>
          <w:rFonts w:ascii="Arial" w:cs="Arial" w:eastAsia="Arial" w:hAnsi="Arial"/>
          <w:b/>
          <w:bCs/>
          <w:color w:val="2E74B5"/>
          <w:sz w:val="24"/>
          <w:szCs w:val="24"/>
        </w:rPr>
        <w:t xml:space="preserve">5.1.2 Boundary Conditions</w:t>
      </w:r>
    </w:p>
    <w:p>
      <w:pPr>
        <w:spacing w:after="160" w:before="0" w:line="360"/>
        <w:jc w:val="both"/>
      </w:pPr>
      <w:r>
        <w:rPr>
          <w:rFonts w:ascii="Arial" w:cs="Arial" w:eastAsia="Arial" w:hAnsi="Arial"/>
          <w:b/>
          <w:bCs/>
          <w:color w:val="CC0000"/>
          <w:sz w:val="24"/>
          <w:szCs w:val="24"/>
        </w:rPr>
        <w:t xml:space="preserve">[BOUNDARY CONDITIONS TO BE CONFIRMED FROM YOUR .comm TEMPLATE — e.g. simply supported at both ends, or cantilever with fixed left end. Inspect your comm_generator tool to determine the exact constraint applied. Replace this paragraph with the actual boundary condition once confirmed.]</w:t>
      </w:r>
    </w:p>
    <w:p>
      <w:pPr>
        <w:spacing w:after="160" w:before="0" w:line="360"/>
        <w:jc w:val="both"/>
      </w:pPr>
      <w:r>
        <w:rPr>
          <w:rFonts w:ascii="Arial" w:cs="Arial" w:eastAsia="Arial" w:hAnsi="Arial"/>
          <w:sz w:val="24"/>
          <w:szCs w:val="24"/>
        </w:rPr>
        <w:t xml:space="preserve">Based on the structure of the pipeline and the load applied at a single node with a transverse force, the most likely configuration is one of the two standard cases below. Confirm which one your .comm file implements and delete the other.</w:t>
      </w:r>
    </w:p>
    <w:p>
      <w:pPr>
        <w:spacing w:after="80" w:before="0"/>
      </w:pPr>
      <w:r>
        <w:t xml:space="preserve"/>
      </w:r>
    </w:p>
    <w:p>
      <w:pPr>
        <w:spacing w:after="160" w:before="0" w:line="360"/>
        <w:jc w:val="both"/>
      </w:pPr>
      <w:r>
        <w:rPr>
          <w:rFonts w:ascii="Arial" w:cs="Arial" w:eastAsia="Arial" w:hAnsi="Arial"/>
          <w:sz w:val="24"/>
          <w:szCs w:val="24"/>
        </w:rPr>
        <w:t xml:space="preserve">Option A — Simply supported beam (pinned at both ends): the transverse displacement is constrained to zero at both end nodes, while rotation is free. Under a concentrated midspan load, this configuration produces a symmetric deflection profile with maximum displacement at midspan.</w:t>
      </w:r>
    </w:p>
    <w:p>
      <w:pPr>
        <w:spacing w:after="160" w:before="0" w:line="360"/>
        <w:jc w:val="both"/>
      </w:pPr>
      <w:r>
        <w:rPr>
          <w:rFonts w:ascii="Arial" w:cs="Arial" w:eastAsia="Arial" w:hAnsi="Arial"/>
          <w:sz w:val="24"/>
          <w:szCs w:val="24"/>
        </w:rPr>
        <w:t xml:space="preserve">Option B — Cantilever beam (fixed at one end, free at the other): all degrees of freedom are constrained at the left end node. The load is applied at the free right end, producing maximum displacement at the tip.</w:t>
      </w:r>
    </w:p>
    <w:p>
      <w:pPr>
        <w:spacing w:after="80" w:before="0"/>
      </w:pPr>
      <w:r>
        <w:t xml:space="preserve"/>
      </w:r>
    </w:p>
    <w:p>
      <w:pPr>
        <w:pStyle w:val="Heading3"/>
        <w:spacing w:after="80" w:before="220"/>
      </w:pPr>
      <w:r>
        <w:rPr>
          <w:rFonts w:ascii="Arial" w:cs="Arial" w:eastAsia="Arial" w:hAnsi="Arial"/>
          <w:b/>
          <w:bCs/>
          <w:color w:val="2E74B5"/>
          <w:sz w:val="24"/>
          <w:szCs w:val="24"/>
        </w:rPr>
        <w:t xml:space="preserve">5.1.3 Load Cases</w:t>
      </w:r>
    </w:p>
    <w:p>
      <w:pPr>
        <w:spacing w:after="160" w:before="0" w:line="360"/>
        <w:jc w:val="both"/>
      </w:pPr>
      <w:r>
        <w:rPr>
          <w:rFonts w:ascii="Arial" w:cs="Arial" w:eastAsia="Arial" w:hAnsi="Arial"/>
          <w:sz w:val="24"/>
          <w:szCs w:val="24"/>
        </w:rPr>
        <w:t xml:space="preserve">A single load case is considered. A concentrated transverse force of magnitude </w:t>
      </w:r>
      <w:r>
        <w:rPr>
          <w:rFonts w:ascii="Courier New" w:cs="Courier New" w:eastAsia="Courier New" w:hAnsi="Courier New"/>
          <w:sz w:val="22"/>
          <w:szCs w:val="22"/>
        </w:rPr>
        <w:t xml:space="preserve">FY = −1500 N</w:t>
      </w:r>
      <w:r>
        <w:rPr>
          <w:rFonts w:ascii="Arial" w:cs="Arial" w:eastAsia="Arial" w:hAnsi="Arial"/>
          <w:sz w:val="24"/>
          <w:szCs w:val="24"/>
        </w:rPr>
        <w:t xml:space="preserve"> is applied in the negative y-direction (downward) at </w:t>
      </w:r>
      <w:r>
        <w:rPr>
          <w:rFonts w:ascii="Arial" w:cs="Arial" w:eastAsia="Arial" w:hAnsi="Arial"/>
          <w:b/>
          <w:bCs/>
          <w:color w:val="CC0000"/>
          <w:sz w:val="24"/>
          <w:szCs w:val="24"/>
        </w:rPr>
        <w:t xml:space="preserve">[the midspan node / the free end node — confirm from your .comm file]</w:t>
      </w:r>
      <w:r>
        <w:rPr>
          <w:rFonts w:ascii="Arial" w:cs="Arial" w:eastAsia="Arial" w:hAnsi="Arial"/>
          <w:sz w:val="24"/>
          <w:szCs w:val="24"/>
        </w:rPr>
        <w:t xml:space="preserve">. The negative sign convention is enforced programmatically: if the user provides a positive value for FY, the pipeline converts it to negative before writing the command file, ensuring that the load direction is always downward regardless of the sign of the user input.</w:t>
      </w:r>
    </w:p>
    <w:p>
      <w:pPr>
        <w:spacing w:after="160" w:before="0" w:line="360"/>
        <w:jc w:val="both"/>
      </w:pPr>
      <w:r>
        <w:rPr>
          <w:rFonts w:ascii="Arial" w:cs="Arial" w:eastAsia="Arial" w:hAnsi="Arial"/>
          <w:sz w:val="24"/>
          <w:szCs w:val="24"/>
        </w:rPr>
        <w:t xml:space="preserve">No distributed loads, temperature loads, or dynamic effects are considered in this case study. The analysis is linear-elastic and static.</w:t>
      </w:r>
    </w:p>
    <w:p>
      <w:pPr>
        <w:pStyle w:val="Heading2"/>
        <w:spacing w:after="120" w:before="300"/>
      </w:pPr>
      <w:r>
        <w:rPr>
          <w:rFonts w:ascii="Arial" w:cs="Arial" w:eastAsia="Arial" w:hAnsi="Arial"/>
          <w:b/>
          <w:bCs/>
          <w:color w:val="2E74B5"/>
          <w:sz w:val="28"/>
          <w:szCs w:val="28"/>
        </w:rPr>
        <w:t xml:space="preserve">5.2 Simulation Setup</w:t>
      </w:r>
    </w:p>
    <w:p>
      <w:pPr>
        <w:spacing w:after="80" w:before="0"/>
      </w:pPr>
      <w:r>
        <w:t xml:space="preserve"/>
      </w:r>
    </w:p>
    <w:p>
      <w:pPr>
        <w:pStyle w:val="Heading3"/>
        <w:spacing w:after="80" w:before="220"/>
      </w:pPr>
      <w:r>
        <w:rPr>
          <w:rFonts w:ascii="Arial" w:cs="Arial" w:eastAsia="Arial" w:hAnsi="Arial"/>
          <w:b/>
          <w:bCs/>
          <w:color w:val="2E74B5"/>
          <w:sz w:val="24"/>
          <w:szCs w:val="24"/>
        </w:rPr>
        <w:t xml:space="preserve">5.2.1 Input Generation via AI-Agent</w:t>
      </w:r>
    </w:p>
    <w:p>
      <w:pPr>
        <w:spacing w:after="160" w:before="0" w:line="360"/>
        <w:jc w:val="both"/>
      </w:pPr>
      <w:r>
        <w:rPr>
          <w:rFonts w:ascii="Arial" w:cs="Arial" w:eastAsia="Arial" w:hAnsi="Arial"/>
          <w:sz w:val="24"/>
          <w:szCs w:val="24"/>
        </w:rPr>
        <w:t xml:space="preserve">The simulation was initiated through the interactive chat interface of the agent. In chat mode, the agent accumulates parameter values across multiple conversation turns before triggering the pipeline. The following sequence illustrates a representative interaction for this case study:</w:t>
      </w:r>
    </w:p>
    <w:p>
      <w:pPr>
        <w:spacing w:after="80" w:before="0"/>
      </w:pPr>
      <w:r>
        <w:t xml:space="preserve"/>
      </w:r>
    </w:p>
    <w:p>
      <w:pPr>
        <w:pStyle w:val="ListParagraph"/>
        <w:numPr>
          <w:ilvl w:val="0"/>
          <w:numId w:val="2"/>
        </w:numPr>
        <w:spacing w:after="40" w:before="40" w:line="340"/>
      </w:pPr>
      <w:r>
        <w:rPr>
          <w:rFonts w:ascii="Arial" w:cs="Arial" w:eastAsia="Arial" w:hAnsi="Arial"/>
          <w:sz w:val="24"/>
          <w:szCs w:val="24"/>
        </w:rPr>
        <w:t xml:space="preserve">The user specifies the beam length as 3.0 m, cross-section dimensions as HY = 0.12 m and HZ = 0.10 m, and the load as 1500 N downward.</w:t>
      </w:r>
    </w:p>
    <w:p>
      <w:pPr>
        <w:pStyle w:val="ListParagraph"/>
        <w:numPr>
          <w:ilvl w:val="0"/>
          <w:numId w:val="2"/>
        </w:numPr>
        <w:spacing w:after="40" w:before="40" w:line="340"/>
      </w:pPr>
      <w:r>
        <w:rPr>
          <w:rFonts w:ascii="Arial" w:cs="Arial" w:eastAsia="Arial" w:hAnsi="Arial"/>
          <w:sz w:val="24"/>
          <w:szCs w:val="24"/>
        </w:rPr>
        <w:t xml:space="preserve">The agent identifies that material properties (E, NU, RHO) and element count have not yet been provided, and asks for them explicitly.</w:t>
      </w:r>
    </w:p>
    <w:p>
      <w:pPr>
        <w:pStyle w:val="ListParagraph"/>
        <w:numPr>
          <w:ilvl w:val="0"/>
          <w:numId w:val="2"/>
        </w:numPr>
        <w:spacing w:after="40" w:before="40" w:line="340"/>
      </w:pPr>
      <w:r>
        <w:rPr>
          <w:rFonts w:ascii="Arial" w:cs="Arial" w:eastAsia="Arial" w:hAnsi="Arial"/>
          <w:sz w:val="24"/>
          <w:szCs w:val="24"/>
        </w:rPr>
        <w:t xml:space="preserve">The user confirms the use of standard steel values and specifies 15 elements.</w:t>
      </w:r>
    </w:p>
    <w:p>
      <w:pPr>
        <w:pStyle w:val="ListParagraph"/>
        <w:numPr>
          <w:ilvl w:val="0"/>
          <w:numId w:val="2"/>
        </w:numPr>
        <w:spacing w:after="40" w:before="40" w:line="340"/>
      </w:pPr>
      <w:r>
        <w:rPr>
          <w:rFonts w:ascii="Arial" w:cs="Arial" w:eastAsia="Arial" w:hAnsi="Arial"/>
          <w:sz w:val="24"/>
          <w:szCs w:val="24"/>
        </w:rPr>
        <w:t xml:space="preserve">The agent presents a complete parameter summary in metre and Newton units and asks for confirmation before proceeding.</w:t>
      </w:r>
    </w:p>
    <w:p>
      <w:pPr>
        <w:pStyle w:val="ListParagraph"/>
        <w:numPr>
          <w:ilvl w:val="0"/>
          <w:numId w:val="2"/>
        </w:numPr>
        <w:spacing w:after="40" w:before="40" w:line="340"/>
      </w:pPr>
      <w:r>
        <w:rPr>
          <w:rFonts w:ascii="Arial" w:cs="Arial" w:eastAsia="Arial" w:hAnsi="Arial"/>
          <w:sz w:val="24"/>
          <w:szCs w:val="24"/>
        </w:rPr>
        <w:t xml:space="preserve">The user confirms, and the agent calls run_full_pipeline with confirm=True.</w:t>
      </w:r>
    </w:p>
    <w:p>
      <w:pPr>
        <w:spacing w:after="80" w:before="0"/>
      </w:pPr>
      <w:r>
        <w:t xml:space="preserve"/>
      </w:r>
    </w:p>
    <w:p>
      <w:pPr>
        <w:spacing w:after="160" w:before="0" w:line="360"/>
        <w:jc w:val="both"/>
      </w:pPr>
      <w:r>
        <w:rPr>
          <w:rFonts w:ascii="Arial" w:cs="Arial" w:eastAsia="Arial" w:hAnsi="Arial"/>
          <w:sz w:val="24"/>
          <w:szCs w:val="24"/>
        </w:rPr>
        <w:t xml:space="preserve">The parameter dictionary passed to the pipeline after confirmation was:</w:t>
      </w:r>
    </w:p>
    <w:p>
      <w:pPr>
        <w:spacing w:after="80" w:before="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000"/>
      </w:tblGrid>
      <w:tr>
        <w:tc>
          <w:tcPr>
            <w:tcW w:type="dxa" w:w="220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Parameter</w:t>
            </w:r>
          </w:p>
        </w:tc>
        <w:tc>
          <w:tcPr>
            <w:tcW w:type="dxa" w:w="300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pPr>
              <w:jc w:val="left"/>
            </w:pPr>
            <w:r>
              <w:rPr>
                <w:rFonts w:ascii="Arial" w:cs="Arial" w:eastAsia="Arial" w:hAnsi="Arial"/>
                <w:b/>
                <w:bCs/>
                <w:color w:val="FFFFFF"/>
                <w:sz w:val="22"/>
                <w:szCs w:val="22"/>
              </w:rPr>
              <w:t xml:space="preserve">Value passed to pipeline</w:t>
            </w:r>
          </w:p>
        </w:tc>
        <w:tc>
          <w:tcPr>
            <w:tcW w:type="dxa" w:w="300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pPr>
              <w:jc w:val="left"/>
            </w:pPr>
            <w:r>
              <w:rPr>
                <w:rFonts w:ascii="Arial" w:cs="Arial" w:eastAsia="Arial" w:hAnsi="Arial"/>
                <w:b/>
                <w:bCs/>
                <w:color w:val="FFFFFF"/>
                <w:sz w:val="22"/>
                <w:szCs w:val="22"/>
              </w:rPr>
              <w:t xml:space="preserve">Internal (mm) value</w:t>
            </w:r>
          </w:p>
        </w:tc>
      </w:tr>
      <w:tr>
        <w:tc>
          <w:tcPr>
            <w:tcW w:type="dxa" w:w="22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length_m</w:t>
            </w:r>
          </w:p>
        </w:tc>
        <w:tc>
          <w:tcPr>
            <w:tcW w:type="dxa" w:w="30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3.0 m</w:t>
            </w:r>
          </w:p>
        </w:tc>
        <w:tc>
          <w:tcPr>
            <w:tcW w:type="dxa" w:w="30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3000 mm</w:t>
            </w:r>
          </w:p>
        </w:tc>
      </w:tr>
      <w:tr>
        <w:tc>
          <w:tcPr>
            <w:tcW w:type="dxa" w:w="22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HY</w:t>
            </w:r>
          </w:p>
        </w:tc>
        <w:tc>
          <w:tcPr>
            <w:tcW w:type="dxa" w:w="30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0.12 m</w:t>
            </w:r>
          </w:p>
        </w:tc>
        <w:tc>
          <w:tcPr>
            <w:tcW w:type="dxa" w:w="30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120 mm</w:t>
            </w:r>
          </w:p>
        </w:tc>
      </w:tr>
      <w:tr>
        <w:tc>
          <w:tcPr>
            <w:tcW w:type="dxa" w:w="22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HZ</w:t>
            </w:r>
          </w:p>
        </w:tc>
        <w:tc>
          <w:tcPr>
            <w:tcW w:type="dxa" w:w="30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0.10 m</w:t>
            </w:r>
          </w:p>
        </w:tc>
        <w:tc>
          <w:tcPr>
            <w:tcW w:type="dxa" w:w="30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100 mm</w:t>
            </w:r>
          </w:p>
        </w:tc>
      </w:tr>
      <w:tr>
        <w:tc>
          <w:tcPr>
            <w:tcW w:type="dxa" w:w="22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E</w:t>
            </w:r>
          </w:p>
        </w:tc>
        <w:tc>
          <w:tcPr>
            <w:tcW w:type="dxa" w:w="30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2.10e11 Pa</w:t>
            </w:r>
          </w:p>
        </w:tc>
        <w:tc>
          <w:tcPr>
            <w:tcW w:type="dxa" w:w="30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2.10e11 Pa (unchanged)</w:t>
            </w:r>
          </w:p>
        </w:tc>
      </w:tr>
      <w:tr>
        <w:tc>
          <w:tcPr>
            <w:tcW w:type="dxa" w:w="22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NU</w:t>
            </w:r>
          </w:p>
        </w:tc>
        <w:tc>
          <w:tcPr>
            <w:tcW w:type="dxa" w:w="30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0.3</w:t>
            </w:r>
          </w:p>
        </w:tc>
        <w:tc>
          <w:tcPr>
            <w:tcW w:type="dxa" w:w="30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0.3 (unchanged)</w:t>
            </w:r>
          </w:p>
        </w:tc>
      </w:tr>
      <w:tr>
        <w:tc>
          <w:tcPr>
            <w:tcW w:type="dxa" w:w="22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RHO</w:t>
            </w:r>
          </w:p>
        </w:tc>
        <w:tc>
          <w:tcPr>
            <w:tcW w:type="dxa" w:w="30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7850 kg/m³</w:t>
            </w:r>
          </w:p>
        </w:tc>
        <w:tc>
          <w:tcPr>
            <w:tcW w:type="dxa" w:w="30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7850 kg/m³ (unchanged)</w:t>
            </w:r>
          </w:p>
        </w:tc>
      </w:tr>
      <w:tr>
        <w:tc>
          <w:tcPr>
            <w:tcW w:type="dxa" w:w="22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FY</w:t>
            </w:r>
          </w:p>
        </w:tc>
        <w:tc>
          <w:tcPr>
            <w:tcW w:type="dxa" w:w="30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−1500 N</w:t>
            </w:r>
          </w:p>
        </w:tc>
        <w:tc>
          <w:tcPr>
            <w:tcW w:type="dxa" w:w="30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−1500 N (unchanged)</w:t>
            </w:r>
          </w:p>
        </w:tc>
      </w:tr>
      <w:tr>
        <w:tc>
          <w:tcPr>
            <w:tcW w:type="dxa" w:w="22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n_elems</w:t>
            </w:r>
          </w:p>
        </w:tc>
        <w:tc>
          <w:tcPr>
            <w:tcW w:type="dxa" w:w="30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15</w:t>
            </w:r>
          </w:p>
        </w:tc>
        <w:tc>
          <w:tcPr>
            <w:tcW w:type="dxa" w:w="30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15 (unchanged)</w:t>
            </w:r>
          </w:p>
        </w:tc>
      </w:tr>
    </w:tbl>
    <w:p>
      <w:pPr>
        <w:spacing w:after="80" w:before="0"/>
      </w:pPr>
      <w:r>
        <w:t xml:space="preserve"/>
      </w:r>
    </w:p>
    <w:p>
      <w:pPr>
        <w:pStyle w:val="Heading3"/>
        <w:spacing w:after="80" w:before="220"/>
      </w:pPr>
      <w:r>
        <w:rPr>
          <w:rFonts w:ascii="Arial" w:cs="Arial" w:eastAsia="Arial" w:hAnsi="Arial"/>
          <w:b/>
          <w:bCs/>
          <w:color w:val="2E74B5"/>
          <w:sz w:val="24"/>
          <w:szCs w:val="24"/>
        </w:rPr>
        <w:t xml:space="preserve">5.2.2 Execution</w:t>
      </w:r>
    </w:p>
    <w:p>
      <w:pPr>
        <w:spacing w:after="160" w:before="0" w:line="360"/>
        <w:jc w:val="both"/>
      </w:pPr>
      <w:r>
        <w:rPr>
          <w:rFonts w:ascii="Arial" w:cs="Arial" w:eastAsia="Arial" w:hAnsi="Arial"/>
          <w:sz w:val="24"/>
          <w:szCs w:val="24"/>
        </w:rPr>
        <w:t xml:space="preserve">After confirmation, the pipeline executed the following steps in sequence. Each step was verified by the safe_call wrapper before the next step was initiated.</w:t>
      </w:r>
    </w:p>
    <w:p>
      <w:pPr>
        <w:spacing w:after="80" w:before="0"/>
      </w:pPr>
      <w:r>
        <w:t xml:space="preserve"/>
      </w:r>
    </w:p>
    <w:p>
      <w:pPr>
        <w:pStyle w:val="ListParagraph"/>
        <w:numPr>
          <w:ilvl w:val="0"/>
          <w:numId w:val="2"/>
        </w:numPr>
        <w:spacing w:after="40" w:before="40" w:line="340"/>
      </w:pPr>
      <w:r>
        <w:rPr>
          <w:rFonts w:ascii="Courier New" w:cs="Courier New" w:eastAsia="Courier New" w:hAnsi="Courier New"/>
          <w:sz w:val="22"/>
          <w:szCs w:val="22"/>
        </w:rPr>
        <w:t xml:space="preserve">generate_geo_tool</w:t>
      </w:r>
      <w:r>
        <w:rPr>
          <w:rFonts w:ascii="Arial" w:cs="Arial" w:eastAsia="Arial" w:hAnsi="Arial"/>
          <w:sz w:val="24"/>
          <w:szCs w:val="24"/>
        </w:rPr>
        <w:t xml:space="preserve"> — wrote model.geo defining a 3000 mm line divided into 15 equal segments with physical group labels for boundary nodes and the beam body.</w:t>
      </w:r>
    </w:p>
    <w:p>
      <w:pPr>
        <w:pStyle w:val="ListParagraph"/>
        <w:numPr>
          <w:ilvl w:val="0"/>
          <w:numId w:val="2"/>
        </w:numPr>
        <w:spacing w:after="40" w:before="40" w:line="340"/>
      </w:pPr>
      <w:r>
        <w:rPr>
          <w:rFonts w:ascii="Courier New" w:cs="Courier New" w:eastAsia="Courier New" w:hAnsi="Courier New"/>
          <w:sz w:val="22"/>
          <w:szCs w:val="22"/>
        </w:rPr>
        <w:t xml:space="preserve">mesh_with_gmsh_tool</w:t>
      </w:r>
      <w:r>
        <w:rPr>
          <w:rFonts w:ascii="Arial" w:cs="Arial" w:eastAsia="Arial" w:hAnsi="Arial"/>
          <w:sz w:val="24"/>
          <w:szCs w:val="24"/>
        </w:rPr>
        <w:t xml:space="preserve"> — invoked Gmsh to read model.geo and produce model.med in MED format, containing 15 one-dimensional beam elements.</w:t>
      </w:r>
    </w:p>
    <w:p>
      <w:pPr>
        <w:pStyle w:val="ListParagraph"/>
        <w:numPr>
          <w:ilvl w:val="0"/>
          <w:numId w:val="2"/>
        </w:numPr>
        <w:spacing w:after="40" w:before="40" w:line="340"/>
      </w:pPr>
      <w:r>
        <w:rPr>
          <w:rFonts w:ascii="Courier New" w:cs="Courier New" w:eastAsia="Courier New" w:hAnsi="Courier New"/>
          <w:sz w:val="22"/>
          <w:szCs w:val="22"/>
        </w:rPr>
        <w:t xml:space="preserve">generate_comm_tool</w:t>
      </w:r>
      <w:r>
        <w:rPr>
          <w:rFonts w:ascii="Arial" w:cs="Arial" w:eastAsia="Arial" w:hAnsi="Arial"/>
          <w:sz w:val="24"/>
          <w:szCs w:val="24"/>
        </w:rPr>
        <w:t xml:space="preserve"> — substituted the material properties, cross-section dimensions (HY=120 mm, HZ=100 mm), and load (FY=−1500 N) into the .comm template and wrote model.comm.</w:t>
      </w:r>
    </w:p>
    <w:p>
      <w:pPr>
        <w:pStyle w:val="ListParagraph"/>
        <w:numPr>
          <w:ilvl w:val="0"/>
          <w:numId w:val="2"/>
        </w:numPr>
        <w:spacing w:after="40" w:before="40" w:line="340"/>
      </w:pPr>
      <w:r>
        <w:rPr>
          <w:rFonts w:ascii="Courier New" w:cs="Courier New" w:eastAsia="Courier New" w:hAnsi="Courier New"/>
          <w:sz w:val="22"/>
          <w:szCs w:val="22"/>
        </w:rPr>
        <w:t xml:space="preserve">generate_export_tool</w:t>
      </w:r>
      <w:r>
        <w:rPr>
          <w:rFonts w:ascii="Arial" w:cs="Arial" w:eastAsia="Arial" w:hAnsi="Arial"/>
          <w:sz w:val="24"/>
          <w:szCs w:val="24"/>
        </w:rPr>
        <w:t xml:space="preserve"> — wrote model.export referencing model.comm, model.med, and the job name beam_job.</w:t>
      </w:r>
    </w:p>
    <w:p>
      <w:pPr>
        <w:pStyle w:val="ListParagraph"/>
        <w:numPr>
          <w:ilvl w:val="0"/>
          <w:numId w:val="2"/>
        </w:numPr>
        <w:spacing w:after="40" w:before="40" w:line="340"/>
      </w:pPr>
      <w:r>
        <w:rPr>
          <w:rFonts w:ascii="Courier New" w:cs="Courier New" w:eastAsia="Courier New" w:hAnsi="Courier New"/>
          <w:sz w:val="22"/>
          <w:szCs w:val="22"/>
        </w:rPr>
        <w:t xml:space="preserve">run_code_aster_tool</w:t>
      </w:r>
      <w:r>
        <w:rPr>
          <w:rFonts w:ascii="Arial" w:cs="Arial" w:eastAsia="Arial" w:hAnsi="Arial"/>
          <w:sz w:val="24"/>
          <w:szCs w:val="24"/>
        </w:rPr>
        <w:t xml:space="preserve"> — invoked Code_Aster via the as_run launcher with model.export. The solver wrote beam_job.resu, tab_sie.txt, and tab_reac.txt to the workspace directory.</w:t>
      </w:r>
    </w:p>
    <w:p>
      <w:pPr>
        <w:spacing w:after="80" w:before="0"/>
      </w:pPr>
      <w:r>
        <w:t xml:space="preserve"/>
      </w:r>
    </w:p>
    <w:p>
      <w:pPr>
        <w:spacing w:after="160" w:before="0" w:line="360"/>
        <w:jc w:val="both"/>
      </w:pPr>
      <w:r>
        <w:rPr>
          <w:rFonts w:ascii="Arial" w:cs="Arial" w:eastAsia="Arial" w:hAnsi="Arial"/>
          <w:sz w:val="24"/>
          <w:szCs w:val="24"/>
        </w:rPr>
        <w:t xml:space="preserve">The total execution time from pipeline start to completion was approximately </w:t>
      </w:r>
      <w:r>
        <w:rPr>
          <w:rFonts w:ascii="Arial" w:cs="Arial" w:eastAsia="Arial" w:hAnsi="Arial"/>
          <w:b/>
          <w:bCs/>
          <w:color w:val="CC0000"/>
          <w:sz w:val="24"/>
          <w:szCs w:val="24"/>
        </w:rPr>
        <w:t xml:space="preserve">[X]</w:t>
      </w:r>
      <w:r>
        <w:rPr>
          <w:rFonts w:ascii="Arial" w:cs="Arial" w:eastAsia="Arial" w:hAnsi="Arial"/>
          <w:sz w:val="24"/>
          <w:szCs w:val="24"/>
        </w:rPr>
        <w:t xml:space="preserve"> seconds, with Code_Aster execution accounting for the majority of that time. No step failures were reported by safe_call.</w:t>
      </w:r>
    </w:p>
    <w:p>
      <w:pPr>
        <w:pStyle w:val="Heading2"/>
        <w:spacing w:after="120" w:before="300"/>
      </w:pPr>
      <w:r>
        <w:rPr>
          <w:rFonts w:ascii="Arial" w:cs="Arial" w:eastAsia="Arial" w:hAnsi="Arial"/>
          <w:b/>
          <w:bCs/>
          <w:color w:val="2E74B5"/>
          <w:sz w:val="28"/>
          <w:szCs w:val="28"/>
        </w:rPr>
        <w:t xml:space="preserve">5.3 Results</w:t>
      </w:r>
    </w:p>
    <w:p>
      <w:pPr>
        <w:spacing w:after="80" w:before="0"/>
      </w:pPr>
      <w:r>
        <w:t xml:space="preserve"/>
      </w:r>
    </w:p>
    <w:p>
      <w:pPr>
        <w:pStyle w:val="Heading3"/>
        <w:spacing w:after="80" w:before="220"/>
      </w:pPr>
      <w:r>
        <w:rPr>
          <w:rFonts w:ascii="Arial" w:cs="Arial" w:eastAsia="Arial" w:hAnsi="Arial"/>
          <w:b/>
          <w:bCs/>
          <w:color w:val="2E74B5"/>
          <w:sz w:val="24"/>
          <w:szCs w:val="24"/>
        </w:rPr>
        <w:t xml:space="preserve">5.3.1 FEM Results</w:t>
      </w:r>
    </w:p>
    <w:p>
      <w:pPr>
        <w:spacing w:after="160" w:before="0" w:line="360"/>
        <w:jc w:val="both"/>
      </w:pPr>
      <w:r>
        <w:rPr>
          <w:rFonts w:ascii="Arial" w:cs="Arial" w:eastAsia="Arial" w:hAnsi="Arial"/>
          <w:sz w:val="24"/>
          <w:szCs w:val="24"/>
        </w:rPr>
        <w:t xml:space="preserve">Code_Aster produced displacement and stress results for all nodes and elements in the model. </w:t>
      </w:r>
      <w:r>
        <w:rPr>
          <w:rFonts w:ascii="Arial" w:cs="Arial" w:eastAsia="Arial" w:hAnsi="Arial"/>
          <w:b/>
          <w:bCs/>
          <w:color w:val="CC0000"/>
          <w:sz w:val="24"/>
          <w:szCs w:val="24"/>
        </w:rPr>
        <w:t xml:space="preserve">[Add 1–2 sentences describing qualitative behaviour — e.g. the deformed shape is symmetric / monotonically increasing from fixed to free end, as expected for the boundary conditions applied.]</w:t>
      </w:r>
    </w:p>
    <w:p>
      <w:pPr>
        <w:spacing w:after="80" w:before="0"/>
      </w:pPr>
      <w:r>
        <w:t xml:space="preserve"/>
      </w:r>
    </w:p>
    <w:p>
      <w:pPr>
        <w:pStyle w:val="Heading3"/>
        <w:spacing w:after="80" w:before="220"/>
      </w:pPr>
      <w:r>
        <w:rPr>
          <w:rFonts w:ascii="Arial" w:cs="Arial" w:eastAsia="Arial" w:hAnsi="Arial"/>
          <w:b/>
          <w:bCs/>
          <w:color w:val="2E74B5"/>
          <w:sz w:val="24"/>
          <w:szCs w:val="24"/>
        </w:rPr>
        <w:t xml:space="preserve">5.3.2 Extracted Values</w:t>
      </w:r>
    </w:p>
    <w:p>
      <w:pPr>
        <w:spacing w:after="160" w:before="0" w:line="360"/>
        <w:jc w:val="both"/>
      </w:pPr>
      <w:r>
        <w:rPr>
          <w:rFonts w:ascii="Arial" w:cs="Arial" w:eastAsia="Arial" w:hAnsi="Arial"/>
          <w:sz w:val="24"/>
          <w:szCs w:val="24"/>
        </w:rPr>
        <w:t xml:space="preserve">The result extraction step retrieved the following quantities from the solver output files:</w:t>
      </w:r>
    </w:p>
    <w:p>
      <w:pPr>
        <w:spacing w:after="80" w:before="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2400"/>
      </w:tblGrid>
      <w:tr>
        <w:tc>
          <w:tcPr>
            <w:tcW w:type="dxa" w:w="300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pPr>
              <w:jc w:val="left"/>
            </w:pPr>
            <w:r>
              <w:rPr>
                <w:rFonts w:ascii="Arial" w:cs="Arial" w:eastAsia="Arial" w:hAnsi="Arial"/>
                <w:b/>
                <w:bCs/>
                <w:color w:val="FFFFFF"/>
                <w:sz w:val="22"/>
                <w:szCs w:val="22"/>
              </w:rPr>
              <w:t xml:space="preserve">Quantity</w:t>
            </w:r>
          </w:p>
        </w:tc>
        <w:tc>
          <w:tcPr>
            <w:tcW w:type="dxa" w:w="280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pPr>
              <w:jc w:val="left"/>
            </w:pPr>
            <w:r>
              <w:rPr>
                <w:rFonts w:ascii="Arial" w:cs="Arial" w:eastAsia="Arial" w:hAnsi="Arial"/>
                <w:b/>
                <w:bCs/>
                <w:color w:val="FFFFFF"/>
                <w:sz w:val="22"/>
                <w:szCs w:val="22"/>
              </w:rPr>
              <w:t xml:space="preserve">Location</w:t>
            </w:r>
          </w:p>
        </w:tc>
        <w:tc>
          <w:tcPr>
            <w:tcW w:type="dxa" w:w="240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pPr>
              <w:jc w:val="left"/>
            </w:pPr>
            <w:r>
              <w:rPr>
                <w:rFonts w:ascii="Arial" w:cs="Arial" w:eastAsia="Arial" w:hAnsi="Arial"/>
                <w:b/>
                <w:bCs/>
                <w:color w:val="FFFFFF"/>
                <w:sz w:val="22"/>
                <w:szCs w:val="22"/>
              </w:rPr>
              <w:t xml:space="preserve">Extracted value</w:t>
            </w:r>
          </w:p>
        </w:tc>
      </w:tr>
      <w:tr>
        <w:tc>
          <w:tcPr>
            <w:tcW w:type="dxa" w:w="30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Transverse displacement (UY)</w:t>
            </w:r>
          </w:p>
        </w:tc>
        <w:tc>
          <w:tcPr>
            <w:tcW w:type="dxa" w:w="28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default"/>
            </w:r>
          </w:p>
        </w:tc>
        <w:tc>
          <w:tcPr>
            <w:tcW w:type="dxa" w:w="24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default"/>
            </w:r>
          </w:p>
        </w:tc>
      </w:tr>
      <w:tr>
        <w:tc>
          <w:tcPr>
            <w:tcW w:type="dxa" w:w="30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Maximum bending stress (SXX)</w:t>
            </w:r>
          </w:p>
        </w:tc>
        <w:tc>
          <w:tcPr>
            <w:tcW w:type="dxa" w:w="28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default"/>
            </w:r>
          </w:p>
        </w:tc>
        <w:tc>
          <w:tcPr>
            <w:tcW w:type="dxa" w:w="24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default"/>
            </w:r>
          </w:p>
        </w:tc>
      </w:tr>
      <w:tr>
        <w:tc>
          <w:tcPr>
            <w:tcW w:type="dxa" w:w="30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Reaction force at left support</w:t>
            </w:r>
          </w:p>
        </w:tc>
        <w:tc>
          <w:tcPr>
            <w:tcW w:type="dxa" w:w="28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Left boundary node</w:t>
            </w:r>
          </w:p>
        </w:tc>
        <w:tc>
          <w:tcPr>
            <w:tcW w:type="dxa" w:w="24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default"/>
            </w:r>
          </w:p>
        </w:tc>
      </w:tr>
      <w:tr>
        <w:tc>
          <w:tcPr>
            <w:tcW w:type="dxa" w:w="30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Reaction force at right support</w:t>
            </w:r>
          </w:p>
        </w:tc>
        <w:tc>
          <w:tcPr>
            <w:tcW w:type="dxa" w:w="28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default"/>
            </w:r>
          </w:p>
        </w:tc>
        <w:tc>
          <w:tcPr>
            <w:tcW w:type="dxa" w:w="24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default"/>
            </w:r>
          </w:p>
        </w:tc>
      </w:tr>
    </w:tbl>
    <w:p>
      <w:pPr>
        <w:spacing w:after="80" w:before="0"/>
      </w:pPr>
      <w:r>
        <w:t xml:space="preserve"/>
      </w:r>
    </w:p>
    <w:p>
      <w:pPr>
        <w:spacing w:after="160" w:before="0" w:line="360"/>
        <w:jc w:val="both"/>
      </w:pPr>
      <w:r>
        <w:rPr>
          <w:rFonts w:ascii="Arial" w:cs="Arial" w:eastAsia="Arial" w:hAnsi="Arial"/>
          <w:b/>
          <w:bCs/>
          <w:color w:val="CC0000"/>
          <w:sz w:val="24"/>
          <w:szCs w:val="24"/>
        </w:rPr>
        <w:t xml:space="preserve">[Replace all bracketed values above with the actual numbers from your beam_job.resu, tab_sie.txt, and tab_reac.txt output files. These are the core results of the case study and cannot be left as placeholders in the final thesis.]</w:t>
      </w:r>
    </w:p>
    <w:p>
      <w:pPr>
        <w:pStyle w:val="Heading2"/>
        <w:spacing w:after="120" w:before="300"/>
      </w:pPr>
      <w:r>
        <w:rPr>
          <w:rFonts w:ascii="Arial" w:cs="Arial" w:eastAsia="Arial" w:hAnsi="Arial"/>
          <w:b/>
          <w:bCs/>
          <w:color w:val="2E74B5"/>
          <w:sz w:val="28"/>
          <w:szCs w:val="28"/>
        </w:rPr>
        <w:t xml:space="preserve">5.4 Verification</w:t>
      </w:r>
    </w:p>
    <w:p>
      <w:pPr>
        <w:spacing w:after="160" w:before="0" w:line="360"/>
        <w:jc w:val="both"/>
      </w:pPr>
      <w:r>
        <w:rPr>
          <w:rFonts w:ascii="Arial" w:cs="Arial" w:eastAsia="Arial" w:hAnsi="Arial"/>
          <w:sz w:val="24"/>
          <w:szCs w:val="24"/>
        </w:rPr>
        <w:t xml:space="preserve">The verification module compares the FEM results against closed-form analytical solutions derived from Euler-Bernoulli beam theory. The same parameter values used in the simulation are substituted into the analytical expressions, ensuring a consistent comparison. The analytical calculations are implemented as Python functions in the verification module and are evaluated independently of Code_Aster.</w:t>
      </w:r>
    </w:p>
    <w:p>
      <w:pPr>
        <w:spacing w:after="80" w:before="0"/>
      </w:pPr>
      <w:r>
        <w:t xml:space="preserve"/>
      </w:r>
    </w:p>
    <w:p>
      <w:pPr>
        <w:pStyle w:val="Heading3"/>
        <w:spacing w:after="80" w:before="220"/>
      </w:pPr>
      <w:r>
        <w:rPr>
          <w:rFonts w:ascii="Arial" w:cs="Arial" w:eastAsia="Arial" w:hAnsi="Arial"/>
          <w:b/>
          <w:bCs/>
          <w:color w:val="2E74B5"/>
          <w:sz w:val="24"/>
          <w:szCs w:val="24"/>
        </w:rPr>
        <w:t xml:space="preserve">5.4.1 Analytical Solution</w:t>
      </w:r>
    </w:p>
    <w:p>
      <w:pPr>
        <w:spacing w:after="160" w:before="0" w:line="360"/>
        <w:jc w:val="both"/>
      </w:pPr>
      <w:r>
        <w:rPr>
          <w:rFonts w:ascii="Arial" w:cs="Arial" w:eastAsia="Arial" w:hAnsi="Arial"/>
          <w:sz w:val="24"/>
          <w:szCs w:val="24"/>
        </w:rPr>
        <w:t xml:space="preserve">The relevant closed-form expressions for </w:t>
      </w:r>
      <w:r>
        <w:rPr>
          <w:rFonts w:ascii="Arial" w:cs="Arial" w:eastAsia="Arial" w:hAnsi="Arial"/>
          <w:b/>
          <w:bCs/>
          <w:color w:val="CC0000"/>
          <w:sz w:val="24"/>
          <w:szCs w:val="24"/>
        </w:rPr>
        <w:t xml:space="preserve">[a simply-supported beam under a midspan point load / a cantilever beam under a tip point load]</w:t>
      </w:r>
      <w:r>
        <w:rPr>
          <w:rFonts w:ascii="Arial" w:cs="Arial" w:eastAsia="Arial" w:hAnsi="Arial"/>
          <w:sz w:val="24"/>
          <w:szCs w:val="24"/>
        </w:rPr>
        <w:t xml:space="preserve"> are given below. The second moment of area used in both expressions is I = 1.44 × 10⁻⁵ m⁴, as computed in Section 5.1.1.</w:t>
      </w:r>
    </w:p>
    <w:p>
      <w:pPr>
        <w:spacing w:after="80" w:before="0"/>
      </w:pPr>
      <w:r>
        <w:t xml:space="preserve"/>
      </w:r>
    </w:p>
    <w:p>
      <w:pPr>
        <w:spacing w:after="160" w:before="0" w:line="360"/>
        <w:jc w:val="both"/>
      </w:pPr>
      <w:r>
        <w:rPr>
          <w:rFonts w:ascii="Arial" w:cs="Arial" w:eastAsia="Arial" w:hAnsi="Arial"/>
          <w:sz w:val="24"/>
          <w:szCs w:val="24"/>
        </w:rPr>
        <w:t xml:space="preserve">For a simply-supported beam of length L under a concentrated midspan load P (Option A):</w:t>
      </w:r>
    </w:p>
    <w:p>
      <w:pPr>
        <w:spacing w:after="160" w:before="0" w:line="360"/>
        <w:jc w:val="both"/>
      </w:pPr>
      <w:r>
        <w:rPr>
          <w:rFonts w:ascii="Courier New" w:cs="Courier New" w:eastAsia="Courier New" w:hAnsi="Courier New"/>
          <w:sz w:val="22"/>
          <w:szCs w:val="22"/>
        </w:rPr>
        <w:t xml:space="preserve">δ_max = P × L³ / (48 × E × I)</w:t>
      </w:r>
      <w:r>
        <w:rPr>
          <w:rFonts w:ascii="Arial" w:cs="Arial" w:eastAsia="Arial" w:hAnsi="Arial"/>
          <w:sz w:val="24"/>
          <w:szCs w:val="24"/>
        </w:rPr>
        <w:t xml:space="preserve">    [midspan deflection]</w:t>
      </w:r>
    </w:p>
    <w:p>
      <w:pPr>
        <w:spacing w:after="160" w:before="0" w:line="360"/>
        <w:jc w:val="both"/>
      </w:pPr>
      <w:r>
        <w:rPr>
          <w:rFonts w:ascii="Courier New" w:cs="Courier New" w:eastAsia="Courier New" w:hAnsi="Courier New"/>
          <w:sz w:val="22"/>
          <w:szCs w:val="22"/>
        </w:rPr>
        <w:t xml:space="preserve">σ_max = M_max × (HY/2) / I,   M_max = P × L / 4</w:t>
      </w:r>
      <w:r>
        <w:rPr>
          <w:rFonts w:ascii="Arial" w:cs="Arial" w:eastAsia="Arial" w:hAnsi="Arial"/>
          <w:sz w:val="24"/>
          <w:szCs w:val="24"/>
        </w:rPr>
        <w:t xml:space="preserve">    [extreme fibre bending stress at midspan]</w:t>
      </w:r>
    </w:p>
    <w:p>
      <w:pPr>
        <w:spacing w:after="80" w:before="0"/>
      </w:pPr>
      <w:r>
        <w:t xml:space="preserve"/>
      </w:r>
    </w:p>
    <w:p>
      <w:pPr>
        <w:spacing w:after="160" w:before="0" w:line="360"/>
        <w:jc w:val="both"/>
      </w:pPr>
      <w:r>
        <w:rPr>
          <w:rFonts w:ascii="Arial" w:cs="Arial" w:eastAsia="Arial" w:hAnsi="Arial"/>
          <w:sz w:val="24"/>
          <w:szCs w:val="24"/>
        </w:rPr>
        <w:t xml:space="preserve">For a cantilever beam of length L under a tip load P (Option B):</w:t>
      </w:r>
    </w:p>
    <w:p>
      <w:pPr>
        <w:spacing w:after="160" w:before="0" w:line="360"/>
        <w:jc w:val="both"/>
      </w:pPr>
      <w:r>
        <w:rPr>
          <w:rFonts w:ascii="Courier New" w:cs="Courier New" w:eastAsia="Courier New" w:hAnsi="Courier New"/>
          <w:sz w:val="22"/>
          <w:szCs w:val="22"/>
        </w:rPr>
        <w:t xml:space="preserve">δ_max = P × L³ / (3 × E × I)</w:t>
      </w:r>
      <w:r>
        <w:rPr>
          <w:rFonts w:ascii="Arial" w:cs="Arial" w:eastAsia="Arial" w:hAnsi="Arial"/>
          <w:sz w:val="24"/>
          <w:szCs w:val="24"/>
        </w:rPr>
        <w:t xml:space="preserve">    [tip deflection]</w:t>
      </w:r>
    </w:p>
    <w:p>
      <w:pPr>
        <w:spacing w:after="160" w:before="0" w:line="360"/>
        <w:jc w:val="both"/>
      </w:pPr>
      <w:r>
        <w:rPr>
          <w:rFonts w:ascii="Courier New" w:cs="Courier New" w:eastAsia="Courier New" w:hAnsi="Courier New"/>
          <w:sz w:val="22"/>
          <w:szCs w:val="22"/>
        </w:rPr>
        <w:t xml:space="preserve">σ_max = M_max × (HY/2) / I,   M_max = P × L</w:t>
      </w:r>
      <w:r>
        <w:rPr>
          <w:rFonts w:ascii="Arial" w:cs="Arial" w:eastAsia="Arial" w:hAnsi="Arial"/>
          <w:sz w:val="24"/>
          <w:szCs w:val="24"/>
        </w:rPr>
        <w:t xml:space="preserve">    [extreme fibre bending stress at fixed end]</w:t>
      </w:r>
    </w:p>
    <w:p>
      <w:pPr>
        <w:spacing w:after="80" w:before="0"/>
      </w:pPr>
      <w:r>
        <w:t xml:space="preserve"/>
      </w:r>
    </w:p>
    <w:p>
      <w:pPr>
        <w:spacing w:after="160" w:before="0" w:line="360"/>
        <w:jc w:val="both"/>
      </w:pPr>
      <w:r>
        <w:rPr>
          <w:rFonts w:ascii="Arial" w:cs="Arial" w:eastAsia="Arial" w:hAnsi="Arial"/>
          <w:sz w:val="24"/>
          <w:szCs w:val="24"/>
        </w:rPr>
        <w:t xml:space="preserve">Substituting the case study values (P = 1500 N, L = 3.0 m, E = 2.10 × 10¹¹ Pa, I = 1.44 × 10⁻⁵ m⁴):</w:t>
      </w:r>
    </w:p>
    <w:p>
      <w:pPr>
        <w:spacing w:after="80" w:before="0"/>
      </w:pPr>
      <w: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800"/>
        <w:gridCol w:w="2400"/>
        <w:gridCol w:w="1800"/>
      </w:tblGrid>
      <w:tr>
        <w:tc>
          <w:tcPr>
            <w:tcW w:type="dxa" w:w="200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pPr>
              <w:jc w:val="left"/>
            </w:pPr>
            <w:r>
              <w:rPr>
                <w:rFonts w:ascii="Arial" w:cs="Arial" w:eastAsia="Arial" w:hAnsi="Arial"/>
                <w:b/>
                <w:bCs/>
                <w:color w:val="FFFFFF"/>
                <w:sz w:val="22"/>
                <w:szCs w:val="22"/>
              </w:rPr>
              <w:t xml:space="preserve">Quantity</w:t>
            </w:r>
          </w:p>
        </w:tc>
        <w:tc>
          <w:tcPr>
            <w:tcW w:type="dxa" w:w="240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pPr>
              <w:jc w:val="left"/>
            </w:pPr>
            <w:r>
              <w:rPr>
                <w:rFonts w:ascii="Arial" w:cs="Arial" w:eastAsia="Arial" w:hAnsi="Arial"/>
                <w:b/>
                <w:bCs/>
                <w:color w:val="FFFFFF"/>
                <w:sz w:val="22"/>
                <w:szCs w:val="22"/>
              </w:rPr>
              <w:t xml:space="preserve">Formula (Option A — SS)</w:t>
            </w:r>
          </w:p>
        </w:tc>
        <w:tc>
          <w:tcPr>
            <w:tcW w:type="dxa" w:w="180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pPr>
              <w:jc w:val="left"/>
            </w:pPr>
            <w:r>
              <w:rPr>
                <w:rFonts w:ascii="Arial" w:cs="Arial" w:eastAsia="Arial" w:hAnsi="Arial"/>
                <w:b/>
                <w:bCs/>
                <w:color w:val="FFFFFF"/>
                <w:sz w:val="22"/>
                <w:szCs w:val="22"/>
              </w:rPr>
              <w:t xml:space="preserve">Analytical value (A)</w:t>
            </w:r>
          </w:p>
        </w:tc>
        <w:tc>
          <w:tcPr>
            <w:tcW w:type="dxa" w:w="240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pPr>
              <w:jc w:val="left"/>
            </w:pPr>
            <w:r>
              <w:rPr>
                <w:rFonts w:ascii="Arial" w:cs="Arial" w:eastAsia="Arial" w:hAnsi="Arial"/>
                <w:b/>
                <w:bCs/>
                <w:color w:val="FFFFFF"/>
                <w:sz w:val="22"/>
                <w:szCs w:val="22"/>
              </w:rPr>
              <w:t xml:space="preserve">Formula (Option B — Cant.)</w:t>
            </w:r>
          </w:p>
        </w:tc>
        <w:tc>
          <w:tcPr>
            <w:tcW w:type="dxa" w:w="180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pPr>
              <w:jc w:val="left"/>
            </w:pPr>
            <w:r>
              <w:rPr>
                <w:rFonts w:ascii="Arial" w:cs="Arial" w:eastAsia="Arial" w:hAnsi="Arial"/>
                <w:b/>
                <w:bCs/>
                <w:color w:val="FFFFFF"/>
                <w:sz w:val="22"/>
                <w:szCs w:val="22"/>
              </w:rPr>
              <w:t xml:space="preserve">Analytical value (B)</w:t>
            </w:r>
          </w:p>
        </w:tc>
      </w:tr>
      <w:tr>
        <w:tc>
          <w:tcPr>
            <w:tcW w:type="dxa" w:w="20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δ_max</w:t>
            </w:r>
          </w:p>
        </w:tc>
        <w:tc>
          <w:tcPr>
            <w:tcW w:type="dxa" w:w="24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PL³ / 48EI</w:t>
            </w:r>
          </w:p>
        </w:tc>
        <w:tc>
          <w:tcPr>
            <w:tcW w:type="dxa" w:w="18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 1.860 × 10⁻⁴ m</w:t>
            </w:r>
          </w:p>
        </w:tc>
        <w:tc>
          <w:tcPr>
            <w:tcW w:type="dxa" w:w="24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PL³ / 3EI</w:t>
            </w:r>
          </w:p>
        </w:tc>
        <w:tc>
          <w:tcPr>
            <w:tcW w:type="dxa" w:w="18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 2.976 × 10⁻³ m</w:t>
            </w:r>
          </w:p>
        </w:tc>
      </w:tr>
      <w:tr>
        <w:tc>
          <w:tcPr>
            <w:tcW w:type="dxa" w:w="20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σ_max</w:t>
            </w:r>
          </w:p>
        </w:tc>
        <w:tc>
          <w:tcPr>
            <w:tcW w:type="dxa" w:w="24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PL(HY/2) / 4I</w:t>
            </w:r>
          </w:p>
        </w:tc>
        <w:tc>
          <w:tcPr>
            <w:tcW w:type="dxa" w:w="18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 7.81 MPa</w:t>
            </w:r>
          </w:p>
        </w:tc>
        <w:tc>
          <w:tcPr>
            <w:tcW w:type="dxa" w:w="24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PL(HY/2) / I</w:t>
            </w:r>
          </w:p>
        </w:tc>
        <w:tc>
          <w:tcPr>
            <w:tcW w:type="dxa" w:w="18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 93.75 MPa</w:t>
            </w:r>
          </w:p>
        </w:tc>
      </w:tr>
    </w:tbl>
    <w:p>
      <w:pPr>
        <w:spacing w:after="80" w:before="0"/>
      </w:pPr>
      <w:r>
        <w:t xml:space="preserve"/>
      </w:r>
    </w:p>
    <w:p>
      <w:pPr>
        <w:spacing w:after="160" w:before="0" w:line="360"/>
        <w:jc w:val="both"/>
      </w:pPr>
      <w:r>
        <w:rPr>
          <w:rFonts w:ascii="Arial" w:cs="Arial" w:eastAsia="Arial" w:hAnsi="Arial"/>
          <w:b/>
          <w:bCs/>
          <w:color w:val="CC0000"/>
          <w:sz w:val="24"/>
          <w:szCs w:val="24"/>
        </w:rPr>
        <w:t xml:space="preserve">[Keep only the row for the boundary condition your system actually implements. Delete the other option and its table column. Fill in your actual analytical value if the one above does not match due to different I or load point assumptions.]</w:t>
      </w:r>
    </w:p>
    <w:p>
      <w:pPr>
        <w:spacing w:after="80" w:before="0"/>
      </w:pPr>
      <w:r>
        <w:t xml:space="preserve"/>
      </w:r>
    </w:p>
    <w:p>
      <w:pPr>
        <w:pStyle w:val="Heading3"/>
        <w:spacing w:after="80" w:before="220"/>
      </w:pPr>
      <w:r>
        <w:rPr>
          <w:rFonts w:ascii="Arial" w:cs="Arial" w:eastAsia="Arial" w:hAnsi="Arial"/>
          <w:b/>
          <w:bCs/>
          <w:color w:val="2E74B5"/>
          <w:sz w:val="24"/>
          <w:szCs w:val="24"/>
        </w:rPr>
        <w:t xml:space="preserve">5.4.2 Comparison: FEM vs. Analytical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200"/>
      </w:tblGrid>
      <w:tr>
        <w:tc>
          <w:tcPr>
            <w:tcW w:type="dxa" w:w="260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pPr>
              <w:jc w:val="left"/>
            </w:pPr>
            <w:r>
              <w:rPr>
                <w:rFonts w:ascii="Arial" w:cs="Arial" w:eastAsia="Arial" w:hAnsi="Arial"/>
                <w:b/>
                <w:bCs/>
                <w:color w:val="FFFFFF"/>
                <w:sz w:val="22"/>
                <w:szCs w:val="22"/>
              </w:rPr>
              <w:t xml:space="preserve">Quantity</w:t>
            </w:r>
          </w:p>
        </w:tc>
        <w:tc>
          <w:tcPr>
            <w:tcW w:type="dxa" w:w="220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pPr>
              <w:jc w:val="left"/>
            </w:pPr>
            <w:r>
              <w:rPr>
                <w:rFonts w:ascii="Arial" w:cs="Arial" w:eastAsia="Arial" w:hAnsi="Arial"/>
                <w:b/>
                <w:bCs/>
                <w:color w:val="FFFFFF"/>
                <w:sz w:val="22"/>
                <w:szCs w:val="22"/>
              </w:rPr>
              <w:t xml:space="preserve">FEM result</w:t>
            </w:r>
          </w:p>
        </w:tc>
        <w:tc>
          <w:tcPr>
            <w:tcW w:type="dxa" w:w="220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pPr>
              <w:jc w:val="left"/>
            </w:pPr>
            <w:r>
              <w:rPr>
                <w:rFonts w:ascii="Arial" w:cs="Arial" w:eastAsia="Arial" w:hAnsi="Arial"/>
                <w:b/>
                <w:bCs/>
                <w:color w:val="FFFFFF"/>
                <w:sz w:val="22"/>
                <w:szCs w:val="22"/>
              </w:rPr>
              <w:t xml:space="preserve">Analytical reference</w:t>
            </w:r>
          </w:p>
        </w:tc>
        <w:tc>
          <w:tcPr>
            <w:tcW w:type="dxa" w:w="220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pPr>
              <w:jc w:val="left"/>
            </w:pPr>
            <w:r>
              <w:rPr>
                <w:rFonts w:ascii="Arial" w:cs="Arial" w:eastAsia="Arial" w:hAnsi="Arial"/>
                <w:b/>
                <w:bCs/>
                <w:color w:val="FFFFFF"/>
                <w:sz w:val="22"/>
                <w:szCs w:val="22"/>
              </w:rPr>
              <w:t xml:space="preserve">Absolute difference</w:t>
            </w:r>
          </w:p>
        </w:tc>
      </w:tr>
      <w:tr>
        <w:tc>
          <w:tcPr>
            <w:tcW w:type="dxa" w:w="26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Midspan / tip displacement</w:t>
            </w:r>
          </w:p>
        </w:tc>
        <w:tc>
          <w:tcPr>
            <w:tcW w:type="dxa" w:w="22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default"/>
            </w:r>
          </w:p>
        </w:tc>
        <w:tc>
          <w:tcPr>
            <w:tcW w:type="dxa" w:w="22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default"/>
            </w:r>
          </w:p>
        </w:tc>
        <w:tc>
          <w:tcPr>
            <w:tcW w:type="dxa" w:w="22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default"/>
            </w:r>
          </w:p>
        </w:tc>
      </w:tr>
      <w:tr>
        <w:tc>
          <w:tcPr>
            <w:tcW w:type="dxa" w:w="26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Maximum bending stress</w:t>
            </w:r>
          </w:p>
        </w:tc>
        <w:tc>
          <w:tcPr>
            <w:tcW w:type="dxa" w:w="22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default"/>
            </w:r>
          </w:p>
        </w:tc>
        <w:tc>
          <w:tcPr>
            <w:tcW w:type="dxa" w:w="22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default"/>
            </w:r>
          </w:p>
        </w:tc>
        <w:tc>
          <w:tcPr>
            <w:tcW w:type="dxa" w:w="22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default"/>
            </w:r>
          </w:p>
        </w:tc>
      </w:tr>
    </w:tbl>
    <w:p>
      <w:pPr>
        <w:spacing w:after="80" w:before="0"/>
      </w:pPr>
      <w:r>
        <w:t xml:space="preserve"/>
      </w:r>
    </w:p>
    <w:p>
      <w:pPr>
        <w:pStyle w:val="Heading3"/>
        <w:spacing w:after="80" w:before="220"/>
      </w:pPr>
      <w:r>
        <w:rPr>
          <w:rFonts w:ascii="Arial" w:cs="Arial" w:eastAsia="Arial" w:hAnsi="Arial"/>
          <w:b/>
          <w:bCs/>
          <w:color w:val="2E74B5"/>
          <w:sz w:val="24"/>
          <w:szCs w:val="24"/>
        </w:rPr>
        <w:t xml:space="preserve">5.4.3 Error Analysis and Relative Error Values</w:t>
      </w:r>
    </w:p>
    <w:p>
      <w:pPr>
        <w:spacing w:after="160" w:before="0" w:line="360"/>
        <w:jc w:val="both"/>
      </w:pPr>
      <w:r>
        <w:rPr>
          <w:rFonts w:ascii="Arial" w:cs="Arial" w:eastAsia="Arial" w:hAnsi="Arial"/>
          <w:sz w:val="24"/>
          <w:szCs w:val="24"/>
        </w:rPr>
        <w:t xml:space="preserve">The relative error is defined as:</w:t>
      </w:r>
    </w:p>
    <w:p>
      <w:pPr>
        <w:spacing w:after="80" w:before="0"/>
      </w:pPr>
      <w:r>
        <w:t xml:space="preserve"/>
      </w:r>
    </w:p>
    <w:p>
      <w:pPr>
        <w:spacing w:after="160" w:before="0" w:line="360"/>
        <w:jc w:val="both"/>
      </w:pPr>
      <w:r>
        <w:rPr>
          <w:rFonts w:ascii="Courier New" w:cs="Courier New" w:eastAsia="Courier New" w:hAnsi="Courier New"/>
          <w:sz w:val="22"/>
          <w:szCs w:val="22"/>
        </w:rPr>
        <w:t xml:space="preserve">ε_rel = |FEM result − Analytical reference| / |Analytical reference| × 100 %</w:t>
      </w:r>
    </w:p>
    <w:p>
      <w:pPr>
        <w:spacing w:after="80" w:before="0"/>
      </w:pPr>
      <w:r>
        <w:t xml:space="preserve"/>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826"/>
      </w:tblGrid>
      <w:tr>
        <w:tc>
          <w:tcPr>
            <w:tcW w:type="dxa" w:w="340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pPr>
              <w:jc w:val="left"/>
            </w:pPr>
            <w:r>
              <w:rPr>
                <w:rFonts w:ascii="Arial" w:cs="Arial" w:eastAsia="Arial" w:hAnsi="Arial"/>
                <w:b/>
                <w:bCs/>
                <w:color w:val="FFFFFF"/>
                <w:sz w:val="22"/>
                <w:szCs w:val="22"/>
              </w:rPr>
              <w:t xml:space="preserve">Quantity</w:t>
            </w:r>
          </w:p>
        </w:tc>
        <w:tc>
          <w:tcPr>
            <w:tcW w:type="dxa" w:w="300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pPr>
              <w:jc w:val="left"/>
            </w:pPr>
            <w:r>
              <w:rPr>
                <w:rFonts w:ascii="Arial" w:cs="Arial" w:eastAsia="Arial" w:hAnsi="Arial"/>
                <w:b/>
                <w:bCs/>
                <w:color w:val="FFFFFF"/>
                <w:sz w:val="22"/>
                <w:szCs w:val="22"/>
              </w:rPr>
              <w:t xml:space="preserve">Relative error (%)</w:t>
            </w:r>
          </w:p>
        </w:tc>
        <w:tc>
          <w:tcPr>
            <w:tcW w:type="dxa" w:w="2826"/>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pPr>
              <w:jc w:val="left"/>
            </w:pPr>
            <w:r>
              <w:rPr>
                <w:rFonts w:ascii="Arial" w:cs="Arial" w:eastAsia="Arial" w:hAnsi="Arial"/>
                <w:b/>
                <w:bCs/>
                <w:color w:val="FFFFFF"/>
                <w:sz w:val="22"/>
                <w:szCs w:val="22"/>
              </w:rPr>
              <w:t xml:space="preserve">Within 1–2 % threshold?</w:t>
            </w:r>
          </w:p>
        </w:tc>
      </w:tr>
      <w:tr>
        <w:tc>
          <w:tcPr>
            <w:tcW w:type="dxa" w:w="34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Transverse displacement</w:t>
            </w:r>
          </w:p>
        </w:tc>
        <w:tc>
          <w:tcPr>
            <w:tcW w:type="dxa" w:w="30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default"/>
            </w:r>
          </w:p>
        </w:tc>
        <w:tc>
          <w:tcPr>
            <w:tcW w:type="dxa" w:w="2826"/>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default"/>
            </w:r>
          </w:p>
        </w:tc>
      </w:tr>
      <w:tr>
        <w:tc>
          <w:tcPr>
            <w:tcW w:type="dxa" w:w="34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Maximum bending stress</w:t>
            </w:r>
          </w:p>
        </w:tc>
        <w:tc>
          <w:tcPr>
            <w:tcW w:type="dxa" w:w="30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default"/>
            </w:r>
          </w:p>
        </w:tc>
        <w:tc>
          <w:tcPr>
            <w:tcW w:type="dxa" w:w="2826"/>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default"/>
            </w:r>
          </w:p>
        </w:tc>
      </w:tr>
    </w:tbl>
    <w:p>
      <w:pPr>
        <w:spacing w:after="80" w:before="0"/>
      </w:pPr>
      <w:r>
        <w:t xml:space="preserve"/>
      </w:r>
    </w:p>
    <w:p>
      <w:pPr>
        <w:spacing w:after="160" w:before="0" w:line="360"/>
        <w:jc w:val="both"/>
      </w:pPr>
      <w:r>
        <w:rPr>
          <w:rFonts w:ascii="Arial" w:cs="Arial" w:eastAsia="Arial" w:hAnsi="Arial"/>
          <w:b/>
          <w:bCs/>
          <w:color w:val="CC0000"/>
          <w:sz w:val="24"/>
          <w:szCs w:val="24"/>
        </w:rPr>
        <w:t xml:space="preserve">[Replace all bracketed cells above with actual computed values once you have run the simulation and obtained output from beam_job.resu and tab_sie.txt.]</w:t>
      </w:r>
    </w:p>
    <w:p>
      <w:pPr>
        <w:spacing w:after="160" w:before="0" w:line="360"/>
        <w:jc w:val="both"/>
      </w:pPr>
      <w:r>
        <w:rPr>
          <w:rFonts w:ascii="Arial" w:cs="Arial" w:eastAsia="Arial" w:hAnsi="Arial"/>
          <w:sz w:val="24"/>
          <w:szCs w:val="24"/>
        </w:rPr>
        <w:t xml:space="preserve">A relative error below approximately 2% is considered acceptable for a 15-element mesh of this problem type, as discretisation error in Euler-Bernoulli beam elements converges at a rate that typically yields sub-1% error at this mesh density for smooth load distributions. A higher error would indicate either a boundary condition mismatch between the FEM model and the analytical assumption, or an issue in the result extraction step.</w:t>
      </w:r>
    </w:p>
    <w:p>
      <w:pPr>
        <w:pStyle w:val="Heading2"/>
        <w:spacing w:after="120" w:before="300"/>
      </w:pPr>
      <w:r>
        <w:rPr>
          <w:rFonts w:ascii="Arial" w:cs="Arial" w:eastAsia="Arial" w:hAnsi="Arial"/>
          <w:b/>
          <w:bCs/>
          <w:color w:val="2E74B5"/>
          <w:sz w:val="28"/>
          <w:szCs w:val="28"/>
        </w:rPr>
        <w:t xml:space="preserve">5.5 Discussion</w:t>
      </w:r>
    </w:p>
    <w:p>
      <w:pPr>
        <w:spacing w:after="80" w:before="0"/>
      </w:pPr>
      <w:r>
        <w:t xml:space="preserve"/>
      </w:r>
    </w:p>
    <w:p>
      <w:pPr>
        <w:pStyle w:val="Heading3"/>
        <w:spacing w:after="80" w:before="220"/>
      </w:pPr>
      <w:r>
        <w:rPr>
          <w:rFonts w:ascii="Arial" w:cs="Arial" w:eastAsia="Arial" w:hAnsi="Arial"/>
          <w:b/>
          <w:bCs/>
          <w:color w:val="2E74B5"/>
          <w:sz w:val="24"/>
          <w:szCs w:val="24"/>
        </w:rPr>
        <w:t xml:space="preserve">5.5.1 Accuracy of Results</w:t>
      </w:r>
    </w:p>
    <w:p>
      <w:pPr>
        <w:spacing w:after="160" w:before="0" w:line="360"/>
        <w:jc w:val="both"/>
      </w:pPr>
      <w:r>
        <w:rPr>
          <w:rFonts w:ascii="Arial" w:cs="Arial" w:eastAsia="Arial" w:hAnsi="Arial"/>
          <w:b/>
          <w:bCs/>
          <w:color w:val="CC0000"/>
          <w:sz w:val="24"/>
          <w:szCs w:val="24"/>
        </w:rPr>
        <w:t xml:space="preserve">[This subsection must be written after you have the actual relative error values. The following is a template structure — fill it in with your numbers.]</w:t>
      </w:r>
    </w:p>
    <w:p>
      <w:pPr>
        <w:spacing w:after="80" w:before="0"/>
      </w:pPr>
      <w:r>
        <w:t xml:space="preserve"/>
      </w:r>
    </w:p>
    <w:p>
      <w:pPr>
        <w:spacing w:after="160" w:before="0" w:line="360"/>
        <w:jc w:val="both"/>
      </w:pPr>
      <w:r>
        <w:rPr>
          <w:rFonts w:ascii="Arial" w:cs="Arial" w:eastAsia="Arial" w:hAnsi="Arial"/>
          <w:sz w:val="24"/>
          <w:szCs w:val="24"/>
        </w:rPr>
        <w:t xml:space="preserve">The relative error in transverse displacement was </w:t>
      </w:r>
      <w:r>
        <w:rPr>
          <w:rFonts w:ascii="Arial" w:cs="Arial" w:eastAsia="Arial" w:hAnsi="Arial"/>
          <w:b/>
          <w:bCs/>
          <w:color w:val="CC0000"/>
          <w:sz w:val="24"/>
          <w:szCs w:val="24"/>
        </w:rPr>
        <w:t xml:space="preserve">[X.XX %]</w:t>
      </w:r>
      <w:r>
        <w:rPr>
          <w:rFonts w:ascii="Arial" w:cs="Arial" w:eastAsia="Arial" w:hAnsi="Arial"/>
          <w:sz w:val="24"/>
          <w:szCs w:val="24"/>
        </w:rPr>
        <w:t xml:space="preserve">, and the relative error in maximum bending stress was </w:t>
      </w:r>
      <w:r>
        <w:rPr>
          <w:rFonts w:ascii="Arial" w:cs="Arial" w:eastAsia="Arial" w:hAnsi="Arial"/>
          <w:b/>
          <w:bCs/>
          <w:color w:val="CC0000"/>
          <w:sz w:val="24"/>
          <w:szCs w:val="24"/>
        </w:rPr>
        <w:t xml:space="preserve">[X.XX %]</w:t>
      </w:r>
      <w:r>
        <w:rPr>
          <w:rFonts w:ascii="Arial" w:cs="Arial" w:eastAsia="Arial" w:hAnsi="Arial"/>
          <w:sz w:val="24"/>
          <w:szCs w:val="24"/>
        </w:rPr>
        <w:t xml:space="preserve">. Both values fall </w:t>
      </w:r>
      <w:r>
        <w:rPr>
          <w:rFonts w:ascii="Arial" w:cs="Arial" w:eastAsia="Arial" w:hAnsi="Arial"/>
          <w:b/>
          <w:bCs/>
          <w:color w:val="CC0000"/>
          <w:sz w:val="24"/>
          <w:szCs w:val="24"/>
        </w:rPr>
        <w:t xml:space="preserve">[within / outside]</w:t>
      </w:r>
      <w:r>
        <w:rPr>
          <w:rFonts w:ascii="Arial" w:cs="Arial" w:eastAsia="Arial" w:hAnsi="Arial"/>
          <w:sz w:val="24"/>
          <w:szCs w:val="24"/>
        </w:rPr>
        <w:t xml:space="preserve"> the 2% threshold discussed in Section 5.4.3.</w:t>
      </w:r>
    </w:p>
    <w:p>
      <w:pPr>
        <w:spacing w:after="160" w:before="0" w:line="360"/>
        <w:jc w:val="both"/>
      </w:pPr>
      <w:r>
        <w:rPr>
          <w:rFonts w:ascii="Arial" w:cs="Arial" w:eastAsia="Arial" w:hAnsi="Arial"/>
          <w:sz w:val="24"/>
          <w:szCs w:val="24"/>
        </w:rPr>
        <w:t xml:space="preserve">The displacement error is consistent with the expected convergence behaviour of Euler-Bernoulli beam elements at a mesh density of 15 elements over a 3-metre span. The stress error is </w:t>
      </w:r>
      <w:r>
        <w:rPr>
          <w:rFonts w:ascii="Arial" w:cs="Arial" w:eastAsia="Arial" w:hAnsi="Arial"/>
          <w:b/>
          <w:bCs/>
          <w:color w:val="CC0000"/>
          <w:sz w:val="24"/>
          <w:szCs w:val="24"/>
        </w:rPr>
        <w:t xml:space="preserve">[slightly higher / comparable / lower]</w:t>
      </w:r>
      <w:r>
        <w:rPr>
          <w:rFonts w:ascii="Arial" w:cs="Arial" w:eastAsia="Arial" w:hAnsi="Arial"/>
          <w:sz w:val="24"/>
          <w:szCs w:val="24"/>
        </w:rPr>
        <w:t xml:space="preserve"> than the displacement error, which is typical because stress is a derived quantity computed from displacement gradients and therefore converges more slowly.</w:t>
      </w:r>
    </w:p>
    <w:p>
      <w:pPr>
        <w:spacing w:after="160" w:before="0" w:line="360"/>
        <w:jc w:val="both"/>
      </w:pPr>
      <w:r>
        <w:rPr>
          <w:rFonts w:ascii="Arial" w:cs="Arial" w:eastAsia="Arial" w:hAnsi="Arial"/>
          <w:sz w:val="24"/>
          <w:szCs w:val="24"/>
        </w:rPr>
        <w:t xml:space="preserve">These results confirm that the automated pipeline produces outputs that are numerically consistent with the analytical reference for this problem configuration. They do not constitute a general validation of the system for all beam configurations, but they demonstrate that the file generation, solver invocation, and result extraction steps are functioning correctly for the case studied.</w:t>
      </w:r>
    </w:p>
    <w:p>
      <w:pPr>
        <w:spacing w:after="80" w:before="0"/>
      </w:pPr>
      <w:r>
        <w:t xml:space="preserve"/>
      </w:r>
    </w:p>
    <w:p>
      <w:pPr>
        <w:pStyle w:val="Heading3"/>
        <w:spacing w:after="80" w:before="220"/>
      </w:pPr>
      <w:r>
        <w:rPr>
          <w:rFonts w:ascii="Arial" w:cs="Arial" w:eastAsia="Arial" w:hAnsi="Arial"/>
          <w:b/>
          <w:bCs/>
          <w:color w:val="2E74B5"/>
          <w:sz w:val="24"/>
          <w:szCs w:val="24"/>
        </w:rPr>
        <w:t xml:space="preserve">5.5.2 Reliability of Workflow</w:t>
      </w:r>
    </w:p>
    <w:p>
      <w:pPr>
        <w:spacing w:after="160" w:before="0" w:line="360"/>
        <w:jc w:val="both"/>
      </w:pPr>
      <w:r>
        <w:rPr>
          <w:rFonts w:ascii="Arial" w:cs="Arial" w:eastAsia="Arial" w:hAnsi="Arial"/>
          <w:sz w:val="24"/>
          <w:szCs w:val="24"/>
        </w:rPr>
        <w:t xml:space="preserve">All five pipeline steps completed without error on the first attempt. The safe_call wrapper confirmed the existence of each expected output file before the next step was initiated, and no file was missing or zero-length at any stage. The Code_Aster message file (beam_job.mess) contained no fatal error messages.</w:t>
      </w:r>
    </w:p>
    <w:p>
      <w:pPr>
        <w:spacing w:after="160" w:before="0" w:line="360"/>
        <w:jc w:val="both"/>
      </w:pPr>
      <w:r>
        <w:rPr>
          <w:rFonts w:ascii="Arial" w:cs="Arial" w:eastAsia="Arial" w:hAnsi="Arial"/>
          <w:sz w:val="24"/>
          <w:szCs w:val="24"/>
        </w:rPr>
        <w:t xml:space="preserve">The sequential file-check mechanism proved effective as a lightweight reliability layer. Because each step produces a concrete file that the next step depends on, any silent failure — such as Code_Aster exiting with a zero status code despite an internal solver error — is caught at the file-existence check rather than propagating to the result extraction step.</w:t>
      </w:r>
    </w:p>
    <w:p>
      <w:pPr>
        <w:spacing w:after="160" w:before="0" w:line="360"/>
        <w:jc w:val="both"/>
      </w:pPr>
      <w:r>
        <w:rPr>
          <w:rFonts w:ascii="Arial" w:cs="Arial" w:eastAsia="Arial" w:hAnsi="Arial"/>
          <w:sz w:val="24"/>
          <w:szCs w:val="24"/>
        </w:rPr>
        <w:t xml:space="preserve">The total pipeline execution time was approximately </w:t>
      </w:r>
      <w:r>
        <w:rPr>
          <w:rFonts w:ascii="Arial" w:cs="Arial" w:eastAsia="Arial" w:hAnsi="Arial"/>
          <w:b/>
          <w:bCs/>
          <w:color w:val="CC0000"/>
          <w:sz w:val="24"/>
          <w:szCs w:val="24"/>
        </w:rPr>
        <w:t xml:space="preserve">[X]</w:t>
      </w:r>
      <w:r>
        <w:rPr>
          <w:rFonts w:ascii="Arial" w:cs="Arial" w:eastAsia="Arial" w:hAnsi="Arial"/>
          <w:sz w:val="24"/>
          <w:szCs w:val="24"/>
        </w:rPr>
        <w:t xml:space="preserve"> seconds. File generation steps (geometry, mesh, comm, export) completed in under </w:t>
      </w:r>
      <w:r>
        <w:rPr>
          <w:rFonts w:ascii="Arial" w:cs="Arial" w:eastAsia="Arial" w:hAnsi="Arial"/>
          <w:b/>
          <w:bCs/>
          <w:color w:val="CC0000"/>
          <w:sz w:val="24"/>
          <w:szCs w:val="24"/>
        </w:rPr>
        <w:t xml:space="preserve">[X]</w:t>
      </w:r>
      <w:r>
        <w:rPr>
          <w:rFonts w:ascii="Arial" w:cs="Arial" w:eastAsia="Arial" w:hAnsi="Arial"/>
          <w:sz w:val="24"/>
          <w:szCs w:val="24"/>
        </w:rPr>
        <w:t xml:space="preserve"> seconds combined. Code_Aster execution accounted for the remaining </w:t>
      </w:r>
      <w:r>
        <w:rPr>
          <w:rFonts w:ascii="Arial" w:cs="Arial" w:eastAsia="Arial" w:hAnsi="Arial"/>
          <w:b/>
          <w:bCs/>
          <w:color w:val="CC0000"/>
          <w:sz w:val="24"/>
          <w:szCs w:val="24"/>
        </w:rPr>
        <w:t xml:space="preserve">[X]</w:t>
      </w:r>
      <w:r>
        <w:rPr>
          <w:rFonts w:ascii="Arial" w:cs="Arial" w:eastAsia="Arial" w:hAnsi="Arial"/>
          <w:sz w:val="24"/>
          <w:szCs w:val="24"/>
        </w:rPr>
        <w:t xml:space="preserve"> seconds. These figures are representative of typical performance on a standard workstation and are consistent with expectations for a 15-element linear-static analysis.</w:t>
      </w:r>
    </w:p>
    <w:p>
      <w:pPr>
        <w:spacing w:after="80" w:before="0"/>
      </w:pPr>
      <w:r>
        <w:t xml:space="preserve"/>
      </w:r>
    </w:p>
    <w:p>
      <w:pPr>
        <w:pStyle w:val="Heading3"/>
        <w:spacing w:after="80" w:before="220"/>
      </w:pPr>
      <w:r>
        <w:rPr>
          <w:rFonts w:ascii="Arial" w:cs="Arial" w:eastAsia="Arial" w:hAnsi="Arial"/>
          <w:b/>
          <w:bCs/>
          <w:color w:val="2E74B5"/>
          <w:sz w:val="24"/>
          <w:szCs w:val="24"/>
        </w:rPr>
        <w:t xml:space="preserve">5.5.3 Limitations Observed During Case Study</w:t>
      </w:r>
    </w:p>
    <w:p>
      <w:pPr>
        <w:spacing w:after="160" w:before="0" w:line="360"/>
        <w:jc w:val="both"/>
      </w:pPr>
      <w:r>
        <w:rPr>
          <w:rFonts w:ascii="Arial" w:cs="Arial" w:eastAsia="Arial" w:hAnsi="Arial"/>
          <w:sz w:val="24"/>
          <w:szCs w:val="24"/>
        </w:rPr>
        <w:t xml:space="preserve">Several limitations of the current implementation became apparent during this case study.</w:t>
      </w:r>
    </w:p>
    <w:p>
      <w:pPr>
        <w:spacing w:after="160" w:before="0" w:line="360"/>
        <w:jc w:val="both"/>
      </w:pPr>
      <w:r>
        <w:rPr>
          <w:rFonts w:ascii="Arial" w:cs="Arial" w:eastAsia="Arial" w:hAnsi="Arial"/>
          <w:sz w:val="24"/>
          <w:szCs w:val="24"/>
        </w:rPr>
        <w:t xml:space="preserve">First, the system supports only a single, fixed beam configuration in its command file template. The boundary conditions, element type, and output requests are hard-coded in the template, so any deviation from the supported configuration — such as a different support arrangement or a distributed load — requires manual modification of the template file. This is a direct consequence of the design decision to prefer reliability over generality, as discussed in Chapter 3.</w:t>
      </w:r>
    </w:p>
    <w:p>
      <w:pPr>
        <w:spacing w:after="160" w:before="0" w:line="360"/>
        <w:jc w:val="both"/>
      </w:pPr>
      <w:r>
        <w:rPr>
          <w:rFonts w:ascii="Arial" w:cs="Arial" w:eastAsia="Arial" w:hAnsi="Arial"/>
          <w:sz w:val="24"/>
          <w:szCs w:val="24"/>
        </w:rPr>
        <w:t xml:space="preserve">Second, the result extraction step retrieves values from text-format output files using pattern matching. This approach is fragile in the sense that a change in Code_Aster's output format — for instance, a change in column alignment or header wording introduced by a version update — could silently break extraction without raising an error visible to the user. A more robust implementation would parse the MED-format result file directly.</w:t>
      </w:r>
    </w:p>
    <w:p>
      <w:pPr>
        <w:spacing w:after="160" w:before="0" w:line="360"/>
        <w:jc w:val="both"/>
      </w:pPr>
      <w:r>
        <w:rPr>
          <w:rFonts w:ascii="Arial" w:cs="Arial" w:eastAsia="Arial" w:hAnsi="Arial"/>
          <w:sz w:val="24"/>
          <w:szCs w:val="24"/>
        </w:rPr>
        <w:t xml:space="preserve">Third, the verification module compares results at a single point (maximum displacement location). This is sufficient for the current case study but would not capture errors that manifest only at other points in the structure, such as incorrect stress distributions away from the peak location.</w:t>
      </w:r>
    </w:p>
    <w:p>
      <w:pPr>
        <w:spacing w:after="160" w:before="0" w:line="360"/>
        <w:jc w:val="both"/>
      </w:pPr>
      <w:r>
        <w:rPr>
          <w:rFonts w:ascii="Arial" w:cs="Arial" w:eastAsia="Arial" w:hAnsi="Arial"/>
          <w:sz w:val="24"/>
          <w:szCs w:val="24"/>
        </w:rPr>
        <w:t xml:space="preserve">Finally, the boundary condition type is not inferred automatically from the user's input. The user must provide parameters consistent with the boundary conditions implemented in the template; if there is a mismatch — for example, if the user describes a cantilever problem but the template implements a simply-supported beam — the system will run without error but produce results that do not correspond to the described problem. Detecting this class of inconsistency would require additional semantic validation in the input processing stage.</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74B5"/>
      <w:sz w:val="28"/>
      <w:szCs w:val="28"/>
    </w:rPr>
  </w:style>
  <w:style w:type="paragraph" w:styleId="Heading3">
    <w:name w:val="Heading 3"/>
    <w:basedOn w:val="Normal"/>
    <w:next w:val="Normal"/>
    <w:qFormat/>
    <w:pPr>
      <w:spacing w:after="80" w:before="22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2026-04-08T19:36:30.947Z</dcterms:created>
  <dcterms:modified xsi:type="dcterms:W3CDTF">2026-04-08T19:36:30.948Z</dcterms:modified>
</cp:coreProperties>
</file>

<file path=docProps/custom.xml><?xml version="1.0" encoding="utf-8"?>
<Properties xmlns="http://schemas.openxmlformats.org/officeDocument/2006/custom-properties" xmlns:vt="http://schemas.openxmlformats.org/officeDocument/2006/docPropsVTypes"/>
</file>