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00"/>
      </w:pPr>
      <w:r>
        <w:rPr>
          <w:rFonts w:ascii="Arial" w:cs="Arial" w:eastAsia="Arial" w:hAnsi="Arial"/>
          <w:b/>
          <w:bCs/>
          <w:color w:val="1F3864"/>
          <w:sz w:val="32"/>
          <w:szCs w:val="32"/>
        </w:rPr>
        <w:t xml:space="preserve">Chapter 4 – Implementation</w:t>
      </w:r>
    </w:p>
    <w:p>
      <w:pPr>
        <w:spacing w:after="160" w:before="0" w:line="360"/>
        <w:jc w:val="both"/>
      </w:pPr>
      <w:r>
        <w:rPr>
          <w:rFonts w:ascii="Arial" w:cs="Arial" w:eastAsia="Arial" w:hAnsi="Arial"/>
          <w:sz w:val="24"/>
          <w:szCs w:val="24"/>
        </w:rPr>
        <w:t xml:space="preserve">This chapter describes the concrete implementation choices made in realising the system architecture outlined in Chapter 3. Where the previous chapter focused on design rationale, the present chapter details the tools selected, the specific software components built, and the technical decisions taken during development. The implementation is structured around a Python-based automation core that drives Gmsh, Code_Aster, and a LangChain agent, each playing a well-defined role in the execution pipeline.</w:t>
      </w:r>
    </w:p>
    <w:p>
      <w:pPr>
        <w:pStyle w:val="Heading2"/>
        <w:spacing w:after="120" w:before="300"/>
      </w:pPr>
      <w:r>
        <w:rPr>
          <w:rFonts w:ascii="Arial" w:cs="Arial" w:eastAsia="Arial" w:hAnsi="Arial"/>
          <w:b/>
          <w:bCs/>
          <w:color w:val="2E74B5"/>
          <w:sz w:val="28"/>
          <w:szCs w:val="28"/>
        </w:rPr>
        <w:t xml:space="preserve">4.1 Technology Stack</w:t>
      </w:r>
    </w:p>
    <w:p>
      <w:pPr>
        <w:spacing w:after="160" w:before="0" w:line="360"/>
        <w:jc w:val="both"/>
      </w:pPr>
      <w:r>
        <w:rPr>
          <w:rFonts w:ascii="Arial" w:cs="Arial" w:eastAsia="Arial" w:hAnsi="Arial"/>
          <w:sz w:val="24"/>
          <w:szCs w:val="24"/>
        </w:rPr>
        <w:t xml:space="preserve">The system is built on four primary technologies: Python as the integration and automation environment, Code_Aster as the finite element solver, Gmsh as the meshing engine, and LangChain as the agent framework. These were chosen for their maturity, open-source availability, and compatibility with a Linux-based execution environment. The following subsections describe the configuration and role of each.</w:t>
      </w:r>
    </w:p>
    <w:p>
      <w:pPr>
        <w:spacing w:after="60" w:before="0"/>
      </w:pPr>
      <w:r>
        <w:t xml:space="preserve"/>
      </w:r>
    </w:p>
    <w:p>
      <w:pPr>
        <w:pStyle w:val="Heading3"/>
        <w:spacing w:after="80" w:before="220"/>
      </w:pPr>
      <w:r>
        <w:rPr>
          <w:rFonts w:ascii="Arial" w:cs="Arial" w:eastAsia="Arial" w:hAnsi="Arial"/>
          <w:b/>
          <w:bCs/>
          <w:color w:val="2E74B5"/>
          <w:sz w:val="24"/>
          <w:szCs w:val="24"/>
        </w:rPr>
        <w:t xml:space="preserve">4.1.1 Python Environment and Dependencies</w:t>
      </w:r>
    </w:p>
    <w:p>
      <w:pPr>
        <w:spacing w:after="160" w:before="0" w:line="360"/>
        <w:jc w:val="both"/>
      </w:pPr>
      <w:r>
        <w:rPr>
          <w:rFonts w:ascii="Arial" w:cs="Arial" w:eastAsia="Arial" w:hAnsi="Arial"/>
          <w:sz w:val="24"/>
          <w:szCs w:val="24"/>
        </w:rPr>
        <w:t xml:space="preserve">Python 3 serves as the central environment in which all workflow logic is implemented. It is responsible for constructing file content, invoking external tools, managing the workspace directory, and routing data between stages. No graphical interface is used; the entire system is operated from the command line.</w:t>
      </w:r>
    </w:p>
    <w:p>
      <w:pPr>
        <w:spacing w:after="160" w:before="0" w:line="360"/>
        <w:jc w:val="both"/>
      </w:pPr>
      <w:r>
        <w:rPr>
          <w:rFonts w:ascii="Arial" w:cs="Arial" w:eastAsia="Arial" w:hAnsi="Arial"/>
          <w:sz w:val="24"/>
          <w:szCs w:val="24"/>
        </w:rPr>
        <w:t xml:space="preserve">The main external Python dependencies are LangChain and langchain-openai, which provide the agent infrastructure, and python-dotenv, which manages API credentials. All geometry and unit-conversion logic is implemented in plain Python without additional numerical libraries, keeping the execution environment lightweight.</w:t>
      </w:r>
    </w:p>
    <w:p>
      <w:pPr>
        <w:spacing w:after="60" w:before="0"/>
      </w:pPr>
      <w:r>
        <w:t xml:space="preserve"/>
      </w:r>
    </w:p>
    <w:p>
      <w:pPr>
        <w:pStyle w:val="Heading3"/>
        <w:spacing w:after="80" w:before="220"/>
      </w:pPr>
      <w:r>
        <w:rPr>
          <w:rFonts w:ascii="Arial" w:cs="Arial" w:eastAsia="Arial" w:hAnsi="Arial"/>
          <w:b/>
          <w:bCs/>
          <w:color w:val="2E74B5"/>
          <w:sz w:val="24"/>
          <w:szCs w:val="24"/>
        </w:rPr>
        <w:t xml:space="preserve">4.1.2 Code_Aster Setup and Invocation</w:t>
      </w:r>
    </w:p>
    <w:p>
      <w:pPr>
        <w:spacing w:after="160" w:before="0" w:line="360"/>
        <w:jc w:val="both"/>
      </w:pPr>
      <w:r>
        <w:rPr>
          <w:rFonts w:ascii="Arial" w:cs="Arial" w:eastAsia="Arial" w:hAnsi="Arial"/>
          <w:sz w:val="24"/>
          <w:szCs w:val="24"/>
        </w:rPr>
        <w:t xml:space="preserve">Code_Aster is invoked through its command-line launcher, </w:t>
      </w:r>
      <w:r>
        <w:rPr>
          <w:rFonts w:ascii="Courier New" w:cs="Courier New" w:eastAsia="Courier New" w:hAnsi="Courier New"/>
          <w:sz w:val="22"/>
          <w:szCs w:val="22"/>
        </w:rPr>
        <w:t xml:space="preserve">as_run</w:t>
      </w:r>
      <w:r>
        <w:rPr>
          <w:rFonts w:ascii="Arial" w:cs="Arial" w:eastAsia="Arial" w:hAnsi="Arial"/>
          <w:sz w:val="24"/>
          <w:szCs w:val="24"/>
        </w:rPr>
        <w:t xml:space="preserve">, using the Python </w:t>
      </w:r>
      <w:r>
        <w:rPr>
          <w:rFonts w:ascii="Courier New" w:cs="Courier New" w:eastAsia="Courier New" w:hAnsi="Courier New"/>
          <w:sz w:val="22"/>
          <w:szCs w:val="22"/>
        </w:rPr>
        <w:t xml:space="preserve">subprocess</w:t>
      </w:r>
      <w:r>
        <w:rPr>
          <w:rFonts w:ascii="Arial" w:cs="Arial" w:eastAsia="Arial" w:hAnsi="Arial"/>
          <w:sz w:val="24"/>
          <w:szCs w:val="24"/>
        </w:rPr>
        <w:t xml:space="preserve"> module. The launcher accepts an </w:t>
      </w:r>
      <w:r>
        <w:rPr>
          <w:rFonts w:ascii="Courier New" w:cs="Courier New" w:eastAsia="Courier New" w:hAnsi="Courier New"/>
          <w:sz w:val="22"/>
          <w:szCs w:val="22"/>
        </w:rPr>
        <w:t xml:space="preserve">.export</w:t>
      </w:r>
      <w:r>
        <w:rPr>
          <w:rFonts w:ascii="Arial" w:cs="Arial" w:eastAsia="Arial" w:hAnsi="Arial"/>
          <w:sz w:val="24"/>
          <w:szCs w:val="24"/>
        </w:rPr>
        <w:t xml:space="preserve"> file that specifies the locations of all required input files and the job configuration. This interface is used as-is, without any modification to Code_Aster itself. The system treats the solver as an opaque executable: it prepares the inputs, triggers execution, and reads the outputs.</w:t>
      </w:r>
    </w:p>
    <w:p>
      <w:pPr>
        <w:spacing w:after="160" w:before="0" w:line="360"/>
        <w:jc w:val="both"/>
      </w:pPr>
      <w:r>
        <w:rPr>
          <w:rFonts w:ascii="Arial" w:cs="Arial" w:eastAsia="Arial" w:hAnsi="Arial"/>
          <w:sz w:val="24"/>
          <w:szCs w:val="24"/>
        </w:rPr>
        <w:t xml:space="preserve">Before invoking the solver, the pipeline verifies that all expected files exist in the workspace directory. After execution, it checks for the presence of the output result file. A missing file at either stage is treated as a hard failure and halts the pipeline, since Code_Aster may exit with a zero status code even when a run has failed internally.</w:t>
      </w:r>
    </w:p>
    <w:p>
      <w:pPr>
        <w:spacing w:after="60" w:before="0"/>
      </w:pPr>
      <w:r>
        <w:t xml:space="preserve"/>
      </w:r>
    </w:p>
    <w:p>
      <w:pPr>
        <w:pStyle w:val="Heading3"/>
        <w:spacing w:after="80" w:before="220"/>
      </w:pPr>
      <w:r>
        <w:rPr>
          <w:rFonts w:ascii="Arial" w:cs="Arial" w:eastAsia="Arial" w:hAnsi="Arial"/>
          <w:b/>
          <w:bCs/>
          <w:color w:val="2E74B5"/>
          <w:sz w:val="24"/>
          <w:szCs w:val="24"/>
        </w:rPr>
        <w:t xml:space="preserve">4.1.3 Gmsh Integration</w:t>
      </w:r>
    </w:p>
    <w:p>
      <w:pPr>
        <w:spacing w:after="160" w:before="0" w:line="360"/>
        <w:jc w:val="both"/>
      </w:pPr>
      <w:r>
        <w:rPr>
          <w:rFonts w:ascii="Arial" w:cs="Arial" w:eastAsia="Arial" w:hAnsi="Arial"/>
          <w:sz w:val="24"/>
          <w:szCs w:val="24"/>
        </w:rPr>
        <w:t xml:space="preserve">Gmsh is used to convert the geometry definition file (</w:t>
      </w:r>
      <w:r>
        <w:rPr>
          <w:rFonts w:ascii="Courier New" w:cs="Courier New" w:eastAsia="Courier New" w:hAnsi="Courier New"/>
          <w:sz w:val="22"/>
          <w:szCs w:val="22"/>
        </w:rPr>
        <w:t xml:space="preserve">.geo</w:t>
      </w:r>
      <w:r>
        <w:rPr>
          <w:rFonts w:ascii="Arial" w:cs="Arial" w:eastAsia="Arial" w:hAnsi="Arial"/>
          <w:sz w:val="24"/>
          <w:szCs w:val="24"/>
        </w:rPr>
        <w:t xml:space="preserve">) into a mesh file in MED format (</w:t>
      </w:r>
      <w:r>
        <w:rPr>
          <w:rFonts w:ascii="Courier New" w:cs="Courier New" w:eastAsia="Courier New" w:hAnsi="Courier New"/>
          <w:sz w:val="22"/>
          <w:szCs w:val="22"/>
        </w:rPr>
        <w:t xml:space="preserve">.med</w:t>
      </w:r>
      <w:r>
        <w:rPr>
          <w:rFonts w:ascii="Arial" w:cs="Arial" w:eastAsia="Arial" w:hAnsi="Arial"/>
          <w:sz w:val="24"/>
          <w:szCs w:val="24"/>
        </w:rPr>
        <w:t xml:space="preserve">), which is the format expected by Code_Aster. Gmsh is called as an external process from Python, passing the </w:t>
      </w:r>
      <w:r>
        <w:rPr>
          <w:rFonts w:ascii="Courier New" w:cs="Courier New" w:eastAsia="Courier New" w:hAnsi="Courier New"/>
          <w:sz w:val="22"/>
          <w:szCs w:val="22"/>
        </w:rPr>
        <w:t xml:space="preserve">.geo</w:t>
      </w:r>
      <w:r>
        <w:rPr>
          <w:rFonts w:ascii="Arial" w:cs="Arial" w:eastAsia="Arial" w:hAnsi="Arial"/>
          <w:sz w:val="24"/>
          <w:szCs w:val="24"/>
        </w:rPr>
        <w:t xml:space="preserve"> file path and the output file name as command-line arguments. The mesh density is controlled by the number of elements specified in the parameter dictionary, which is embedded in the </w:t>
      </w:r>
      <w:r>
        <w:rPr>
          <w:rFonts w:ascii="Courier New" w:cs="Courier New" w:eastAsia="Courier New" w:hAnsi="Courier New"/>
          <w:sz w:val="22"/>
          <w:szCs w:val="22"/>
        </w:rPr>
        <w:t xml:space="preserve">.geo</w:t>
      </w:r>
      <w:r>
        <w:rPr>
          <w:rFonts w:ascii="Arial" w:cs="Arial" w:eastAsia="Arial" w:hAnsi="Arial"/>
          <w:sz w:val="24"/>
          <w:szCs w:val="24"/>
        </w:rPr>
        <w:t xml:space="preserve"> file during geometry generation.</w:t>
      </w:r>
    </w:p>
    <w:p>
      <w:pPr>
        <w:spacing w:after="160" w:before="0" w:line="360"/>
        <w:jc w:val="both"/>
      </w:pPr>
      <w:r>
        <w:rPr>
          <w:rFonts w:ascii="Arial" w:cs="Arial" w:eastAsia="Arial" w:hAnsi="Arial"/>
          <w:sz w:val="24"/>
          <w:szCs w:val="24"/>
        </w:rPr>
        <w:t xml:space="preserve">This integration ensures that geometry and meshing remain consistent: the same parameter that defines the beam length also determines the element count in the mesh, so there is no possibility of the two diverging.</w:t>
      </w:r>
    </w:p>
    <w:p>
      <w:pPr>
        <w:spacing w:after="60" w:before="0"/>
      </w:pPr>
      <w:r>
        <w:t xml:space="preserve"/>
      </w:r>
    </w:p>
    <w:p>
      <w:pPr>
        <w:pStyle w:val="Heading3"/>
        <w:spacing w:after="80" w:before="220"/>
      </w:pPr>
      <w:r>
        <w:rPr>
          <w:rFonts w:ascii="Arial" w:cs="Arial" w:eastAsia="Arial" w:hAnsi="Arial"/>
          <w:b/>
          <w:bCs/>
          <w:color w:val="2E74B5"/>
          <w:sz w:val="24"/>
          <w:szCs w:val="24"/>
        </w:rPr>
        <w:t xml:space="preserve">4.1.4 LangChain Framework</w:t>
      </w:r>
    </w:p>
    <w:p>
      <w:pPr>
        <w:spacing w:after="160" w:before="0" w:line="360"/>
        <w:jc w:val="both"/>
      </w:pPr>
      <w:r>
        <w:rPr>
          <w:rFonts w:ascii="Arial" w:cs="Arial" w:eastAsia="Arial" w:hAnsi="Arial"/>
          <w:sz w:val="24"/>
          <w:szCs w:val="24"/>
        </w:rPr>
        <w:t xml:space="preserve">The agent is built using LangChain's </w:t>
      </w:r>
      <w:r>
        <w:rPr>
          <w:rFonts w:ascii="Courier New" w:cs="Courier New" w:eastAsia="Courier New" w:hAnsi="Courier New"/>
          <w:sz w:val="22"/>
          <w:szCs w:val="22"/>
        </w:rPr>
        <w:t xml:space="preserve">create_openai_tools_agent</w:t>
      </w:r>
      <w:r>
        <w:rPr>
          <w:rFonts w:ascii="Arial" w:cs="Arial" w:eastAsia="Arial" w:hAnsi="Arial"/>
          <w:sz w:val="24"/>
          <w:szCs w:val="24"/>
        </w:rPr>
        <w:t xml:space="preserve"> function together with an </w:t>
      </w:r>
      <w:r>
        <w:rPr>
          <w:rFonts w:ascii="Courier New" w:cs="Courier New" w:eastAsia="Courier New" w:hAnsi="Courier New"/>
          <w:sz w:val="22"/>
          <w:szCs w:val="22"/>
        </w:rPr>
        <w:t xml:space="preserve">AgentExecutor</w:t>
      </w:r>
      <w:r>
        <w:rPr>
          <w:rFonts w:ascii="Arial" w:cs="Arial" w:eastAsia="Arial" w:hAnsi="Arial"/>
          <w:sz w:val="24"/>
          <w:szCs w:val="24"/>
        </w:rPr>
        <w:t xml:space="preserve">. The underlying language model is GPT-4.1, accessed via the OpenAI API with </w:t>
      </w:r>
      <w:r>
        <w:rPr>
          <w:rFonts w:ascii="Courier New" w:cs="Courier New" w:eastAsia="Courier New" w:hAnsi="Courier New"/>
          <w:sz w:val="22"/>
          <w:szCs w:val="22"/>
        </w:rPr>
        <w:t xml:space="preserve">temperature=0</w:t>
      </w:r>
      <w:r>
        <w:rPr>
          <w:rFonts w:ascii="Arial" w:cs="Arial" w:eastAsia="Arial" w:hAnsi="Arial"/>
          <w:sz w:val="24"/>
          <w:szCs w:val="24"/>
        </w:rPr>
        <w:t xml:space="preserve"> to suppress sampling variability and produce deterministic text outputs. The agent is given access to a single high-level tool — </w:t>
      </w:r>
      <w:r>
        <w:rPr>
          <w:rFonts w:ascii="Courier New" w:cs="Courier New" w:eastAsia="Courier New" w:hAnsi="Courier New"/>
          <w:sz w:val="22"/>
          <w:szCs w:val="22"/>
        </w:rPr>
        <w:t xml:space="preserve">run_full_pipeline</w:t>
      </w:r>
      <w:r>
        <w:rPr>
          <w:rFonts w:ascii="Arial" w:cs="Arial" w:eastAsia="Arial" w:hAnsi="Arial"/>
          <w:sz w:val="24"/>
          <w:szCs w:val="24"/>
        </w:rPr>
        <w:t xml:space="preserve"> — which encapsulates the entire deterministic workflow. Exposing only this one tool, rather than individual pipeline steps, prevents the agent from attempting to orchestrate low-level operations that require exact sequencing.</w:t>
      </w:r>
    </w:p>
    <w:p>
      <w:pPr>
        <w:spacing w:after="160" w:before="0" w:line="360"/>
        <w:jc w:val="both"/>
      </w:pPr>
      <w:r>
        <w:rPr>
          <w:rFonts w:ascii="Arial" w:cs="Arial" w:eastAsia="Arial" w:hAnsi="Arial"/>
          <w:sz w:val="24"/>
          <w:szCs w:val="24"/>
        </w:rPr>
        <w:t xml:space="preserve">LangChain's AgentExecutor maintains a chat history buffer across turns in interactive mode, which allows the agent to accumulate parameters incrementally across multiple user messages. In one-shot mode, all parameters must be present in a single input string. Both modes share the same underlying agent definition and differ only in how they are invoked from the command line.</w:t>
      </w:r>
    </w:p>
    <w:p>
      <w:pPr>
        <w:pStyle w:val="Heading2"/>
        <w:spacing w:after="120" w:before="300"/>
      </w:pPr>
      <w:r>
        <w:rPr>
          <w:rFonts w:ascii="Arial" w:cs="Arial" w:eastAsia="Arial" w:hAnsi="Arial"/>
          <w:b/>
          <w:bCs/>
          <w:color w:val="2E74B5"/>
          <w:sz w:val="28"/>
          <w:szCs w:val="28"/>
        </w:rPr>
        <w:t xml:space="preserve">4.2 System Integration</w:t>
      </w:r>
    </w:p>
    <w:p>
      <w:pPr>
        <w:spacing w:after="160" w:before="0" w:line="360"/>
        <w:jc w:val="both"/>
      </w:pPr>
      <w:r>
        <w:rPr>
          <w:rFonts w:ascii="Arial" w:cs="Arial" w:eastAsia="Arial" w:hAnsi="Arial"/>
          <w:sz w:val="24"/>
          <w:szCs w:val="24"/>
        </w:rPr>
        <w:t xml:space="preserve">Integrating four distinct tools into a coherent workflow requires explicit management of data flow, file dependencies, and execution ordering. This section describes how the modules are connected and how the workspace is structured.</w:t>
      </w:r>
    </w:p>
    <w:p>
      <w:pPr>
        <w:spacing w:after="60" w:before="0"/>
      </w:pPr>
      <w:r>
        <w:t xml:space="preserve"/>
      </w:r>
    </w:p>
    <w:p>
      <w:pPr>
        <w:pStyle w:val="Heading3"/>
        <w:spacing w:after="80" w:before="220"/>
      </w:pPr>
      <w:r>
        <w:rPr>
          <w:rFonts w:ascii="Arial" w:cs="Arial" w:eastAsia="Arial" w:hAnsi="Arial"/>
          <w:b/>
          <w:bCs/>
          <w:color w:val="2E74B5"/>
          <w:sz w:val="24"/>
          <w:szCs w:val="24"/>
        </w:rPr>
        <w:t xml:space="preserve">4.2.1 Module Connectivity</w:t>
      </w:r>
    </w:p>
    <w:p>
      <w:pPr>
        <w:spacing w:after="160" w:before="0" w:line="360"/>
        <w:jc w:val="both"/>
      </w:pPr>
      <w:r>
        <w:rPr>
          <w:rFonts w:ascii="Arial" w:cs="Arial" w:eastAsia="Arial" w:hAnsi="Arial"/>
          <w:sz w:val="24"/>
          <w:szCs w:val="24"/>
        </w:rPr>
        <w:t xml:space="preserve">Each stage of the pipeline is implemented as a LangChain tool — a Python function decorated with </w:t>
      </w:r>
      <w:r>
        <w:rPr>
          <w:rFonts w:ascii="Courier New" w:cs="Courier New" w:eastAsia="Courier New" w:hAnsi="Courier New"/>
          <w:sz w:val="22"/>
          <w:szCs w:val="22"/>
        </w:rPr>
        <w:t xml:space="preserve">@tool</w:t>
      </w:r>
      <w:r>
        <w:rPr>
          <w:rFonts w:ascii="Arial" w:cs="Arial" w:eastAsia="Arial" w:hAnsi="Arial"/>
          <w:sz w:val="24"/>
          <w:szCs w:val="24"/>
        </w:rPr>
        <w:t xml:space="preserve"> — which gives it a consistent invocation interface. The pipeline orchestrator, </w:t>
      </w:r>
      <w:r>
        <w:rPr>
          <w:rFonts w:ascii="Courier New" w:cs="Courier New" w:eastAsia="Courier New" w:hAnsi="Courier New"/>
          <w:sz w:val="22"/>
          <w:szCs w:val="22"/>
        </w:rPr>
        <w:t xml:space="preserve">run_hybrid_pipeline</w:t>
      </w:r>
      <w:r>
        <w:rPr>
          <w:rFonts w:ascii="Arial" w:cs="Arial" w:eastAsia="Arial" w:hAnsi="Arial"/>
          <w:sz w:val="24"/>
          <w:szCs w:val="24"/>
        </w:rPr>
        <w:t xml:space="preserve">, calls these tools in sequence using a shared helper function, </w:t>
      </w:r>
      <w:r>
        <w:rPr>
          <w:rFonts w:ascii="Courier New" w:cs="Courier New" w:eastAsia="Courier New" w:hAnsi="Courier New"/>
          <w:sz w:val="22"/>
          <w:szCs w:val="22"/>
        </w:rPr>
        <w:t xml:space="preserve">safe_call</w:t>
      </w:r>
      <w:r>
        <w:rPr>
          <w:rFonts w:ascii="Arial" w:cs="Arial" w:eastAsia="Arial" w:hAnsi="Arial"/>
          <w:sz w:val="24"/>
          <w:szCs w:val="24"/>
        </w:rPr>
        <w:t xml:space="preserve">. This helper logs the tool name and arguments, invokes the tool, and checks both the tool's return value and the existence of any expected output file before allowing execution to proceed.</w:t>
      </w:r>
    </w:p>
    <w:p>
      <w:pPr>
        <w:spacing w:after="160" w:before="0" w:line="360"/>
        <w:jc w:val="both"/>
      </w:pPr>
      <w:r>
        <w:rPr>
          <w:rFonts w:ascii="Arial" w:cs="Arial" w:eastAsia="Arial" w:hAnsi="Arial"/>
          <w:sz w:val="24"/>
          <w:szCs w:val="24"/>
        </w:rPr>
        <w:t xml:space="preserve">This design means that every inter-module dependency is mediated by a file: the geometry tool writes a </w:t>
      </w:r>
      <w:r>
        <w:rPr>
          <w:rFonts w:ascii="Courier New" w:cs="Courier New" w:eastAsia="Courier New" w:hAnsi="Courier New"/>
          <w:sz w:val="22"/>
          <w:szCs w:val="22"/>
        </w:rPr>
        <w:t xml:space="preserve">.geo</w:t>
      </w:r>
      <w:r>
        <w:rPr>
          <w:rFonts w:ascii="Arial" w:cs="Arial" w:eastAsia="Arial" w:hAnsi="Arial"/>
          <w:sz w:val="24"/>
          <w:szCs w:val="24"/>
        </w:rPr>
        <w:t xml:space="preserve"> file, the meshing tool reads it and writes a </w:t>
      </w:r>
      <w:r>
        <w:rPr>
          <w:rFonts w:ascii="Courier New" w:cs="Courier New" w:eastAsia="Courier New" w:hAnsi="Courier New"/>
          <w:sz w:val="22"/>
          <w:szCs w:val="22"/>
        </w:rPr>
        <w:t xml:space="preserve">.med</w:t>
      </w:r>
      <w:r>
        <w:rPr>
          <w:rFonts w:ascii="Arial" w:cs="Arial" w:eastAsia="Arial" w:hAnsi="Arial"/>
          <w:sz w:val="24"/>
          <w:szCs w:val="24"/>
        </w:rPr>
        <w:t xml:space="preserve"> file, and so on. There are no in-memory data structures passed between tools, which simplifies debugging because the state of the system at any point in the pipeline can be inspected by examining the workspace directory.</w:t>
      </w:r>
    </w:p>
    <w:p>
      <w:pPr>
        <w:spacing w:after="60" w:before="0"/>
      </w:pPr>
      <w:r>
        <w:t xml:space="preserve"/>
      </w:r>
    </w:p>
    <w:p>
      <w:pPr>
        <w:pStyle w:val="Heading3"/>
        <w:spacing w:after="80" w:before="220"/>
      </w:pPr>
      <w:r>
        <w:rPr>
          <w:rFonts w:ascii="Arial" w:cs="Arial" w:eastAsia="Arial" w:hAnsi="Arial"/>
          <w:b/>
          <w:bCs/>
          <w:color w:val="2E74B5"/>
          <w:sz w:val="24"/>
          <w:szCs w:val="24"/>
        </w:rPr>
        <w:t xml:space="preserve">4.2.2 Workspace and File Handling</w:t>
      </w:r>
    </w:p>
    <w:p>
      <w:pPr>
        <w:spacing w:after="160" w:before="0" w:line="360"/>
        <w:jc w:val="both"/>
      </w:pPr>
      <w:r>
        <w:rPr>
          <w:rFonts w:ascii="Arial" w:cs="Arial" w:eastAsia="Arial" w:hAnsi="Arial"/>
          <w:sz w:val="24"/>
          <w:szCs w:val="24"/>
        </w:rPr>
        <w:t xml:space="preserve">All files produced during a run are written to a single directory named </w:t>
      </w:r>
      <w:r>
        <w:rPr>
          <w:rFonts w:ascii="Courier New" w:cs="Courier New" w:eastAsia="Courier New" w:hAnsi="Courier New"/>
          <w:sz w:val="22"/>
          <w:szCs w:val="22"/>
        </w:rPr>
        <w:t xml:space="preserve">workspace/</w:t>
      </w:r>
      <w:r>
        <w:rPr>
          <w:rFonts w:ascii="Arial" w:cs="Arial" w:eastAsia="Arial" w:hAnsi="Arial"/>
          <w:sz w:val="24"/>
          <w:szCs w:val="24"/>
        </w:rPr>
        <w:t xml:space="preserve">, which is created at startup if it does not already exist. The files written across a typical run are:</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File</w:t>
            </w:r>
          </w:p>
        </w:tc>
        <w:tc>
          <w:tcPr>
            <w:tcW w:type="dxa" w:w="3008"/>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Generated by</w:t>
            </w:r>
          </w:p>
        </w:tc>
        <w:tc>
          <w:tcPr>
            <w:tcW w:type="dxa" w:w="3008"/>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Consumed by</w:t>
            </w:r>
          </w:p>
        </w:tc>
      </w:tr>
      <w:tr>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model.geo</w:t>
            </w:r>
          </w:p>
        </w:tc>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geo_generator</w:t>
            </w:r>
          </w:p>
        </w:tc>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Gmsh (mesher)</w:t>
            </w:r>
          </w:p>
        </w:tc>
      </w:tr>
      <w:tr>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model.med</w:t>
            </w:r>
          </w:p>
        </w:tc>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Gmsh</w:t>
            </w:r>
          </w:p>
        </w:tc>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comm_generator, Code_Aster</w:t>
            </w:r>
          </w:p>
        </w:tc>
      </w:tr>
      <w:tr>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model.comm</w:t>
            </w:r>
          </w:p>
        </w:tc>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comm_generator</w:t>
            </w:r>
          </w:p>
        </w:tc>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Code_Aster</w:t>
            </w:r>
          </w:p>
        </w:tc>
      </w:tr>
      <w:tr>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model.export</w:t>
            </w:r>
          </w:p>
        </w:tc>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export_generator</w:t>
            </w:r>
          </w:p>
        </w:tc>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Code_Aster (as_run)</w:t>
            </w:r>
          </w:p>
        </w:tc>
      </w:tr>
      <w:tr>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beam_job.resu</w:t>
            </w:r>
          </w:p>
        </w:tc>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Code_Aster</w:t>
            </w:r>
          </w:p>
        </w:tc>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Result extraction</w:t>
            </w:r>
          </w:p>
        </w:tc>
      </w:tr>
      <w:tr>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tab_sie.txt</w:t>
            </w:r>
          </w:p>
        </w:tc>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Code_Aster</w:t>
            </w:r>
          </w:p>
        </w:tc>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Result extraction</w:t>
            </w:r>
          </w:p>
        </w:tc>
      </w:tr>
      <w:tr>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tab_reac.txt</w:t>
            </w:r>
          </w:p>
        </w:tc>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Code_Aster</w:t>
            </w:r>
          </w:p>
        </w:tc>
        <w:tc>
          <w:tcPr>
            <w:tcW w:type="dxa" w:w="3008"/>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Result extraction</w:t>
            </w:r>
          </w:p>
        </w:tc>
      </w:tr>
    </w:tbl>
    <w:p>
      <w:pPr>
        <w:spacing w:after="60" w:before="0"/>
      </w:pPr>
      <w:r>
        <w:t xml:space="preserve"/>
      </w:r>
    </w:p>
    <w:p>
      <w:pPr>
        <w:spacing w:after="160" w:before="0" w:line="360"/>
        <w:jc w:val="both"/>
      </w:pPr>
      <w:r>
        <w:rPr>
          <w:rFonts w:ascii="Arial" w:cs="Arial" w:eastAsia="Arial" w:hAnsi="Arial"/>
          <w:sz w:val="24"/>
          <w:szCs w:val="24"/>
        </w:rPr>
        <w:t xml:space="preserve">File names are fixed across runs, meaning a new run overwrites the files from the previous one. This is intentional: the system is designed for single-run use during a session, and persistent archiving is handled by the log file rather than by retaining intermediate files.</w:t>
      </w:r>
    </w:p>
    <w:p>
      <w:pPr>
        <w:spacing w:after="60" w:before="0"/>
      </w:pPr>
      <w:r>
        <w:t xml:space="preserve"/>
      </w:r>
    </w:p>
    <w:p>
      <w:pPr>
        <w:pStyle w:val="Heading3"/>
        <w:spacing w:after="80" w:before="220"/>
      </w:pPr>
      <w:r>
        <w:rPr>
          <w:rFonts w:ascii="Arial" w:cs="Arial" w:eastAsia="Arial" w:hAnsi="Arial"/>
          <w:b/>
          <w:bCs/>
          <w:color w:val="2E74B5"/>
          <w:sz w:val="24"/>
          <w:szCs w:val="24"/>
        </w:rPr>
        <w:t xml:space="preserve">4.2.3 Execution Pipeline</w:t>
      </w:r>
    </w:p>
    <w:p>
      <w:pPr>
        <w:spacing w:after="160" w:before="0" w:line="360"/>
        <w:jc w:val="both"/>
      </w:pPr>
      <w:r>
        <w:rPr>
          <w:rFonts w:ascii="Arial" w:cs="Arial" w:eastAsia="Arial" w:hAnsi="Arial"/>
          <w:sz w:val="24"/>
          <w:szCs w:val="24"/>
        </w:rPr>
        <w:t xml:space="preserve">The pipeline function </w:t>
      </w:r>
      <w:r>
        <w:rPr>
          <w:rFonts w:ascii="Courier New" w:cs="Courier New" w:eastAsia="Courier New" w:hAnsi="Courier New"/>
          <w:sz w:val="22"/>
          <w:szCs w:val="22"/>
        </w:rPr>
        <w:t xml:space="preserve">run_hybrid_pipeline</w:t>
      </w:r>
      <w:r>
        <w:rPr>
          <w:rFonts w:ascii="Arial" w:cs="Arial" w:eastAsia="Arial" w:hAnsi="Arial"/>
          <w:sz w:val="24"/>
          <w:szCs w:val="24"/>
        </w:rPr>
        <w:t xml:space="preserve"> receives the confirmed parameter dictionary and executes seven steps in strict sequence:</w:t>
      </w:r>
    </w:p>
    <w:p>
      <w:pPr>
        <w:spacing w:after="60" w:before="0"/>
      </w:pPr>
      <w:r>
        <w:t xml:space="preserve"/>
      </w:r>
    </w:p>
    <w:p>
      <w:pPr>
        <w:pStyle w:val="ListParagraph"/>
        <w:numPr>
          <w:ilvl w:val="0"/>
          <w:numId w:val="2"/>
        </w:numPr>
        <w:spacing w:after="40" w:before="40" w:line="340"/>
      </w:pPr>
      <w:r>
        <w:rPr>
          <w:rFonts w:ascii="Arial" w:cs="Arial" w:eastAsia="Arial" w:hAnsi="Arial"/>
          <w:sz w:val="24"/>
          <w:szCs w:val="24"/>
        </w:rPr>
        <w:t xml:space="preserve">unit conversion: all geometry dimensions are converted from metres to millimetres before any file is written, since the Code_Aster command templates assume millimetre units;</w:t>
      </w:r>
    </w:p>
    <w:p>
      <w:pPr>
        <w:pStyle w:val="ListParagraph"/>
        <w:numPr>
          <w:ilvl w:val="0"/>
          <w:numId w:val="2"/>
        </w:numPr>
        <w:spacing w:after="40" w:before="40" w:line="340"/>
      </w:pPr>
      <w:r>
        <w:rPr>
          <w:rFonts w:ascii="Arial" w:cs="Arial" w:eastAsia="Arial" w:hAnsi="Arial"/>
          <w:sz w:val="24"/>
          <w:szCs w:val="24"/>
        </w:rPr>
        <w:t xml:space="preserve">geometry file generation via </w:t>
      </w:r>
      <w:r>
        <w:rPr>
          <w:rFonts w:ascii="Courier New" w:cs="Courier New" w:eastAsia="Courier New" w:hAnsi="Courier New"/>
          <w:sz w:val="22"/>
          <w:szCs w:val="22"/>
        </w:rPr>
        <w:t xml:space="preserve">generate_geo_tool</w:t>
      </w:r>
      <w:r>
        <w:rPr>
          <w:rFonts w:ascii="Arial" w:cs="Arial" w:eastAsia="Arial" w:hAnsi="Arial"/>
          <w:sz w:val="24"/>
          <w:szCs w:val="24"/>
        </w:rPr>
        <w:t xml:space="preserve">;</w:t>
      </w:r>
    </w:p>
    <w:p>
      <w:pPr>
        <w:pStyle w:val="ListParagraph"/>
        <w:numPr>
          <w:ilvl w:val="0"/>
          <w:numId w:val="2"/>
        </w:numPr>
        <w:spacing w:after="40" w:before="40" w:line="340"/>
      </w:pPr>
      <w:r>
        <w:rPr>
          <w:rFonts w:ascii="Arial" w:cs="Arial" w:eastAsia="Arial" w:hAnsi="Arial"/>
          <w:sz w:val="24"/>
          <w:szCs w:val="24"/>
        </w:rPr>
        <w:t xml:space="preserve">mesh generation via </w:t>
      </w:r>
      <w:r>
        <w:rPr>
          <w:rFonts w:ascii="Courier New" w:cs="Courier New" w:eastAsia="Courier New" w:hAnsi="Courier New"/>
          <w:sz w:val="22"/>
          <w:szCs w:val="22"/>
        </w:rPr>
        <w:t xml:space="preserve">mesh_with_gmsh_tool</w:t>
      </w:r>
      <w:r>
        <w:rPr>
          <w:rFonts w:ascii="Arial" w:cs="Arial" w:eastAsia="Arial" w:hAnsi="Arial"/>
          <w:sz w:val="24"/>
          <w:szCs w:val="24"/>
        </w:rPr>
        <w:t xml:space="preserve">;</w:t>
      </w:r>
    </w:p>
    <w:p>
      <w:pPr>
        <w:pStyle w:val="ListParagraph"/>
        <w:numPr>
          <w:ilvl w:val="0"/>
          <w:numId w:val="2"/>
        </w:numPr>
        <w:spacing w:after="40" w:before="40" w:line="340"/>
      </w:pPr>
      <w:r>
        <w:rPr>
          <w:rFonts w:ascii="Arial" w:cs="Arial" w:eastAsia="Arial" w:hAnsi="Arial"/>
          <w:sz w:val="24"/>
          <w:szCs w:val="24"/>
        </w:rPr>
        <w:t xml:space="preserve">command file generation via </w:t>
      </w:r>
      <w:r>
        <w:rPr>
          <w:rFonts w:ascii="Courier New" w:cs="Courier New" w:eastAsia="Courier New" w:hAnsi="Courier New"/>
          <w:sz w:val="22"/>
          <w:szCs w:val="22"/>
        </w:rPr>
        <w:t xml:space="preserve">generate_comm_tool</w:t>
      </w:r>
      <w:r>
        <w:rPr>
          <w:rFonts w:ascii="Arial" w:cs="Arial" w:eastAsia="Arial" w:hAnsi="Arial"/>
          <w:sz w:val="24"/>
          <w:szCs w:val="24"/>
        </w:rPr>
        <w:t xml:space="preserve">;</w:t>
      </w:r>
    </w:p>
    <w:p>
      <w:pPr>
        <w:pStyle w:val="ListParagraph"/>
        <w:numPr>
          <w:ilvl w:val="0"/>
          <w:numId w:val="2"/>
        </w:numPr>
        <w:spacing w:after="40" w:before="40" w:line="340"/>
      </w:pPr>
      <w:r>
        <w:rPr>
          <w:rFonts w:ascii="Arial" w:cs="Arial" w:eastAsia="Arial" w:hAnsi="Arial"/>
          <w:sz w:val="24"/>
          <w:szCs w:val="24"/>
        </w:rPr>
        <w:t xml:space="preserve">export file generation via </w:t>
      </w:r>
      <w:r>
        <w:rPr>
          <w:rFonts w:ascii="Courier New" w:cs="Courier New" w:eastAsia="Courier New" w:hAnsi="Courier New"/>
          <w:sz w:val="22"/>
          <w:szCs w:val="22"/>
        </w:rPr>
        <w:t xml:space="preserve">generate_export_tool</w:t>
      </w:r>
      <w:r>
        <w:rPr>
          <w:rFonts w:ascii="Arial" w:cs="Arial" w:eastAsia="Arial" w:hAnsi="Arial"/>
          <w:sz w:val="24"/>
          <w:szCs w:val="24"/>
        </w:rPr>
        <w:t xml:space="preserve">;</w:t>
      </w:r>
    </w:p>
    <w:p>
      <w:pPr>
        <w:pStyle w:val="ListParagraph"/>
        <w:numPr>
          <w:ilvl w:val="0"/>
          <w:numId w:val="2"/>
        </w:numPr>
        <w:spacing w:after="40" w:before="40" w:line="340"/>
      </w:pPr>
      <w:r>
        <w:rPr>
          <w:rFonts w:ascii="Arial" w:cs="Arial" w:eastAsia="Arial" w:hAnsi="Arial"/>
          <w:sz w:val="24"/>
          <w:szCs w:val="24"/>
        </w:rPr>
        <w:t xml:space="preserve">Code_Aster execution via </w:t>
      </w:r>
      <w:r>
        <w:rPr>
          <w:rFonts w:ascii="Courier New" w:cs="Courier New" w:eastAsia="Courier New" w:hAnsi="Courier New"/>
          <w:sz w:val="22"/>
          <w:szCs w:val="22"/>
        </w:rPr>
        <w:t xml:space="preserve">run_code_aster_tool</w:t>
      </w:r>
      <w:r>
        <w:rPr>
          <w:rFonts w:ascii="Arial" w:cs="Arial" w:eastAsia="Arial" w:hAnsi="Arial"/>
          <w:sz w:val="24"/>
          <w:szCs w:val="24"/>
        </w:rPr>
        <w:t xml:space="preserve">;</w:t>
      </w:r>
    </w:p>
    <w:p>
      <w:pPr>
        <w:pStyle w:val="ListParagraph"/>
        <w:numPr>
          <w:ilvl w:val="0"/>
          <w:numId w:val="2"/>
        </w:numPr>
        <w:spacing w:after="40" w:before="40" w:line="340"/>
      </w:pPr>
      <w:r>
        <w:rPr>
          <w:rFonts w:ascii="Arial" w:cs="Arial" w:eastAsia="Arial" w:hAnsi="Arial"/>
          <w:sz w:val="24"/>
          <w:szCs w:val="24"/>
        </w:rPr>
        <w:t xml:space="preserve">result extraction from the output files.</w:t>
      </w:r>
    </w:p>
    <w:p>
      <w:pPr>
        <w:spacing w:after="60" w:before="0"/>
      </w:pPr>
      <w:r>
        <w:t xml:space="preserve"/>
      </w:r>
    </w:p>
    <w:p>
      <w:pPr>
        <w:spacing w:after="160" w:before="0" w:line="360"/>
        <w:jc w:val="both"/>
      </w:pPr>
      <w:r>
        <w:rPr>
          <w:rFonts w:ascii="Arial" w:cs="Arial" w:eastAsia="Arial" w:hAnsi="Arial"/>
          <w:sz w:val="24"/>
          <w:szCs w:val="24"/>
        </w:rPr>
        <w:t xml:space="preserve">Each step is wrapped in the safe_call helper. If any step fails — either by returning an error string or by not producing its expected output file — the function returns immediately with a failure message and does not proceed to subsequent steps.</w:t>
      </w:r>
    </w:p>
    <w:p>
      <w:pPr>
        <w:pStyle w:val="Heading2"/>
        <w:spacing w:after="120" w:before="300"/>
      </w:pPr>
      <w:r>
        <w:rPr>
          <w:rFonts w:ascii="Arial" w:cs="Arial" w:eastAsia="Arial" w:hAnsi="Arial"/>
          <w:b/>
          <w:bCs/>
          <w:color w:val="2E74B5"/>
          <w:sz w:val="28"/>
          <w:szCs w:val="28"/>
        </w:rPr>
        <w:t xml:space="preserve">4.3 Automation Workflow</w:t>
      </w:r>
    </w:p>
    <w:p>
      <w:pPr>
        <w:spacing w:after="160" w:before="0" w:line="360"/>
        <w:jc w:val="both"/>
      </w:pPr>
      <w:r>
        <w:rPr>
          <w:rFonts w:ascii="Arial" w:cs="Arial" w:eastAsia="Arial" w:hAnsi="Arial"/>
          <w:sz w:val="24"/>
          <w:szCs w:val="24"/>
        </w:rPr>
        <w:t xml:space="preserve">The automation layer connects the conversational interface with the deterministic pipeline. This section describes how a complete run unfolds from the perspective of the user and what the system does at each stage.</w:t>
      </w:r>
    </w:p>
    <w:p>
      <w:pPr>
        <w:spacing w:after="60" w:before="0"/>
      </w:pPr>
      <w:r>
        <w:t xml:space="preserve"/>
      </w:r>
    </w:p>
    <w:p>
      <w:pPr>
        <w:pStyle w:val="Heading3"/>
        <w:spacing w:after="80" w:before="220"/>
      </w:pPr>
      <w:r>
        <w:rPr>
          <w:rFonts w:ascii="Arial" w:cs="Arial" w:eastAsia="Arial" w:hAnsi="Arial"/>
          <w:b/>
          <w:bCs/>
          <w:color w:val="2E74B5"/>
          <w:sz w:val="24"/>
          <w:szCs w:val="24"/>
        </w:rPr>
        <w:t xml:space="preserve">4.3.1 End-to-End Pipeline</w:t>
      </w:r>
    </w:p>
    <w:p>
      <w:pPr>
        <w:spacing w:after="160" w:before="0" w:line="360"/>
        <w:jc w:val="both"/>
      </w:pPr>
      <w:r>
        <w:rPr>
          <w:rFonts w:ascii="Arial" w:cs="Arial" w:eastAsia="Arial" w:hAnsi="Arial"/>
          <w:sz w:val="24"/>
          <w:szCs w:val="24"/>
        </w:rPr>
        <w:t xml:space="preserve">The entry point for a complete run is the </w:t>
      </w:r>
      <w:r>
        <w:rPr>
          <w:rFonts w:ascii="Courier New" w:cs="Courier New" w:eastAsia="Courier New" w:hAnsi="Courier New"/>
          <w:sz w:val="22"/>
          <w:szCs w:val="22"/>
        </w:rPr>
        <w:t xml:space="preserve">run_full_pipeline</w:t>
      </w:r>
      <w:r>
        <w:rPr>
          <w:rFonts w:ascii="Arial" w:cs="Arial" w:eastAsia="Arial" w:hAnsi="Arial"/>
          <w:sz w:val="24"/>
          <w:szCs w:val="24"/>
        </w:rPr>
        <w:t xml:space="preserve"> LangChain tool. This function receives eight parameters — </w:t>
      </w:r>
      <w:r>
        <w:rPr>
          <w:rFonts w:ascii="Courier New" w:cs="Courier New" w:eastAsia="Courier New" w:hAnsi="Courier New"/>
          <w:sz w:val="22"/>
          <w:szCs w:val="22"/>
        </w:rPr>
        <w:t xml:space="preserve">length_m</w:t>
      </w:r>
      <w:r>
        <w:rPr>
          <w:rFonts w:ascii="Arial" w:cs="Arial" w:eastAsia="Arial" w:hAnsi="Arial"/>
          <w:sz w:val="24"/>
          <w:szCs w:val="24"/>
        </w:rPr>
        <w:t xml:space="preserve">, </w:t>
      </w:r>
      <w:r>
        <w:rPr>
          <w:rFonts w:ascii="Courier New" w:cs="Courier New" w:eastAsia="Courier New" w:hAnsi="Courier New"/>
          <w:sz w:val="22"/>
          <w:szCs w:val="22"/>
        </w:rPr>
        <w:t xml:space="preserve">n_elems</w:t>
      </w:r>
      <w:r>
        <w:rPr>
          <w:rFonts w:ascii="Arial" w:cs="Arial" w:eastAsia="Arial" w:hAnsi="Arial"/>
          <w:sz w:val="24"/>
          <w:szCs w:val="24"/>
        </w:rPr>
        <w:t xml:space="preserve">, </w:t>
      </w:r>
      <w:r>
        <w:rPr>
          <w:rFonts w:ascii="Courier New" w:cs="Courier New" w:eastAsia="Courier New" w:hAnsi="Courier New"/>
          <w:sz w:val="22"/>
          <w:szCs w:val="22"/>
        </w:rPr>
        <w:t xml:space="preserve">E</w:t>
      </w:r>
      <w:r>
        <w:rPr>
          <w:rFonts w:ascii="Arial" w:cs="Arial" w:eastAsia="Arial" w:hAnsi="Arial"/>
          <w:sz w:val="24"/>
          <w:szCs w:val="24"/>
        </w:rPr>
        <w:t xml:space="preserve">, </w:t>
      </w:r>
      <w:r>
        <w:rPr>
          <w:rFonts w:ascii="Courier New" w:cs="Courier New" w:eastAsia="Courier New" w:hAnsi="Courier New"/>
          <w:sz w:val="22"/>
          <w:szCs w:val="22"/>
        </w:rPr>
        <w:t xml:space="preserve">NU</w:t>
      </w:r>
      <w:r>
        <w:rPr>
          <w:rFonts w:ascii="Arial" w:cs="Arial" w:eastAsia="Arial" w:hAnsi="Arial"/>
          <w:sz w:val="24"/>
          <w:szCs w:val="24"/>
        </w:rPr>
        <w:t xml:space="preserve">, </w:t>
      </w:r>
      <w:r>
        <w:rPr>
          <w:rFonts w:ascii="Courier New" w:cs="Courier New" w:eastAsia="Courier New" w:hAnsi="Courier New"/>
          <w:sz w:val="22"/>
          <w:szCs w:val="22"/>
        </w:rPr>
        <w:t xml:space="preserve">RHO</w:t>
      </w:r>
      <w:r>
        <w:rPr>
          <w:rFonts w:ascii="Arial" w:cs="Arial" w:eastAsia="Arial" w:hAnsi="Arial"/>
          <w:sz w:val="24"/>
          <w:szCs w:val="24"/>
        </w:rPr>
        <w:t xml:space="preserve">, </w:t>
      </w:r>
      <w:r>
        <w:rPr>
          <w:rFonts w:ascii="Courier New" w:cs="Courier New" w:eastAsia="Courier New" w:hAnsi="Courier New"/>
          <w:sz w:val="22"/>
          <w:szCs w:val="22"/>
        </w:rPr>
        <w:t xml:space="preserve">HY</w:t>
      </w:r>
      <w:r>
        <w:rPr>
          <w:rFonts w:ascii="Arial" w:cs="Arial" w:eastAsia="Arial" w:hAnsi="Arial"/>
          <w:sz w:val="24"/>
          <w:szCs w:val="24"/>
        </w:rPr>
        <w:t xml:space="preserve">, </w:t>
      </w:r>
      <w:r>
        <w:rPr>
          <w:rFonts w:ascii="Courier New" w:cs="Courier New" w:eastAsia="Courier New" w:hAnsi="Courier New"/>
          <w:sz w:val="22"/>
          <w:szCs w:val="22"/>
        </w:rPr>
        <w:t xml:space="preserve">HZ</w:t>
      </w:r>
      <w:r>
        <w:rPr>
          <w:rFonts w:ascii="Arial" w:cs="Arial" w:eastAsia="Arial" w:hAnsi="Arial"/>
          <w:sz w:val="24"/>
          <w:szCs w:val="24"/>
        </w:rPr>
        <w:t xml:space="preserve">, and </w:t>
      </w:r>
      <w:r>
        <w:rPr>
          <w:rFonts w:ascii="Courier New" w:cs="Courier New" w:eastAsia="Courier New" w:hAnsi="Courier New"/>
          <w:sz w:val="22"/>
          <w:szCs w:val="22"/>
        </w:rPr>
        <w:t xml:space="preserve">FY</w:t>
      </w:r>
      <w:r>
        <w:rPr>
          <w:rFonts w:ascii="Arial" w:cs="Arial" w:eastAsia="Arial" w:hAnsi="Arial"/>
          <w:sz w:val="24"/>
          <w:szCs w:val="24"/>
        </w:rPr>
        <w:t xml:space="preserve"> — and a boolean </w:t>
      </w:r>
      <w:r>
        <w:rPr>
          <w:rFonts w:ascii="Courier New" w:cs="Courier New" w:eastAsia="Courier New" w:hAnsi="Courier New"/>
          <w:sz w:val="22"/>
          <w:szCs w:val="22"/>
        </w:rPr>
        <w:t xml:space="preserve">confirm</w:t>
      </w:r>
      <w:r>
        <w:rPr>
          <w:rFonts w:ascii="Arial" w:cs="Arial" w:eastAsia="Arial" w:hAnsi="Arial"/>
          <w:sz w:val="24"/>
          <w:szCs w:val="24"/>
        </w:rPr>
        <w:t xml:space="preserve"> flag. The function applies a guard at two levels: it first checks that no parameter is </w:t>
      </w:r>
      <w:r>
        <w:rPr>
          <w:rFonts w:ascii="Courier New" w:cs="Courier New" w:eastAsia="Courier New" w:hAnsi="Courier New"/>
          <w:sz w:val="22"/>
          <w:szCs w:val="22"/>
        </w:rPr>
        <w:t xml:space="preserve">None</w:t>
      </w:r>
      <w:r>
        <w:rPr>
          <w:rFonts w:ascii="Arial" w:cs="Arial" w:eastAsia="Arial" w:hAnsi="Arial"/>
          <w:sz w:val="24"/>
          <w:szCs w:val="24"/>
        </w:rPr>
        <w:t xml:space="preserve">, and then checks that </w:t>
      </w:r>
      <w:r>
        <w:rPr>
          <w:rFonts w:ascii="Courier New" w:cs="Courier New" w:eastAsia="Courier New" w:hAnsi="Courier New"/>
          <w:sz w:val="22"/>
          <w:szCs w:val="22"/>
        </w:rPr>
        <w:t xml:space="preserve">confirm</w:t>
      </w:r>
      <w:r>
        <w:rPr>
          <w:rFonts w:ascii="Arial" w:cs="Arial" w:eastAsia="Arial" w:hAnsi="Arial"/>
          <w:sz w:val="24"/>
          <w:szCs w:val="24"/>
        </w:rPr>
        <w:t xml:space="preserve"> is </w:t>
      </w:r>
      <w:r>
        <w:rPr>
          <w:rFonts w:ascii="Courier New" w:cs="Courier New" w:eastAsia="Courier New" w:hAnsi="Courier New"/>
          <w:sz w:val="22"/>
          <w:szCs w:val="22"/>
        </w:rPr>
        <w:t xml:space="preserve">True</w:t>
      </w:r>
      <w:r>
        <w:rPr>
          <w:rFonts w:ascii="Arial" w:cs="Arial" w:eastAsia="Arial" w:hAnsi="Arial"/>
          <w:sz w:val="24"/>
          <w:szCs w:val="24"/>
        </w:rPr>
        <w:t xml:space="preserve">. If either condition is not met, it returns an explanatory string to the agent rather than launching the pipeline. This double guard prevents the simulation from being initiated by an incomplete or unconfirmed agent call.</w:t>
      </w:r>
    </w:p>
    <w:p>
      <w:pPr>
        <w:spacing w:after="160" w:before="0" w:line="360"/>
        <w:jc w:val="both"/>
      </w:pPr>
      <w:r>
        <w:rPr>
          <w:rFonts w:ascii="Arial" w:cs="Arial" w:eastAsia="Arial" w:hAnsi="Arial"/>
          <w:sz w:val="24"/>
          <w:szCs w:val="24"/>
        </w:rPr>
        <w:t xml:space="preserve">When both conditions are satisfied, the function calls </w:t>
      </w:r>
      <w:r>
        <w:rPr>
          <w:rFonts w:ascii="Courier New" w:cs="Courier New" w:eastAsia="Courier New" w:hAnsi="Courier New"/>
          <w:sz w:val="22"/>
          <w:szCs w:val="22"/>
        </w:rPr>
        <w:t xml:space="preserve">coerce_params</w:t>
      </w:r>
      <w:r>
        <w:rPr>
          <w:rFonts w:ascii="Arial" w:cs="Arial" w:eastAsia="Arial" w:hAnsi="Arial"/>
          <w:sz w:val="24"/>
          <w:szCs w:val="24"/>
        </w:rPr>
        <w:t xml:space="preserve">, which casts all values to the expected numeric types and fills any remaining gaps from a set of hard-coded defaults. The resulting dictionary is passed to </w:t>
      </w:r>
      <w:r>
        <w:rPr>
          <w:rFonts w:ascii="Courier New" w:cs="Courier New" w:eastAsia="Courier New" w:hAnsi="Courier New"/>
          <w:sz w:val="22"/>
          <w:szCs w:val="22"/>
        </w:rPr>
        <w:t xml:space="preserve">run_hybrid_pipeline</w:t>
      </w:r>
      <w:r>
        <w:rPr>
          <w:rFonts w:ascii="Arial" w:cs="Arial" w:eastAsia="Arial" w:hAnsi="Arial"/>
          <w:sz w:val="24"/>
          <w:szCs w:val="24"/>
        </w:rPr>
        <w:t xml:space="preserve">, which performs the unit conversion and executes the file generation and solver steps.</w:t>
      </w:r>
    </w:p>
    <w:p>
      <w:pPr>
        <w:spacing w:after="60" w:before="0"/>
      </w:pPr>
      <w:r>
        <w:t xml:space="preserve"/>
      </w:r>
    </w:p>
    <w:p>
      <w:pPr>
        <w:pStyle w:val="Heading3"/>
        <w:spacing w:after="80" w:before="220"/>
      </w:pPr>
      <w:r>
        <w:rPr>
          <w:rFonts w:ascii="Arial" w:cs="Arial" w:eastAsia="Arial" w:hAnsi="Arial"/>
          <w:b/>
          <w:bCs/>
          <w:color w:val="2E74B5"/>
          <w:sz w:val="24"/>
          <w:szCs w:val="24"/>
        </w:rPr>
        <w:t xml:space="preserve">4.3.2 Example Execution</w:t>
      </w:r>
    </w:p>
    <w:p>
      <w:pPr>
        <w:spacing w:after="160" w:before="0" w:line="360"/>
        <w:jc w:val="both"/>
      </w:pPr>
      <w:r>
        <w:rPr>
          <w:rFonts w:ascii="Arial" w:cs="Arial" w:eastAsia="Arial" w:hAnsi="Arial"/>
          <w:sz w:val="24"/>
          <w:szCs w:val="24"/>
        </w:rPr>
        <w:t xml:space="preserve">To make the pipeline concrete, consider the following parameter set: a simply-supported steel beam of 3.0 m length, 0.12 m section height, 0.10 m section width, Young's modulus 210 GPa, Poisson's ratio 0.3, density 7850 kg/m³, a downward transverse load of 1500 N applied at the midspan node, and 15 finite elements.</w:t>
      </w:r>
    </w:p>
    <w:p>
      <w:pPr>
        <w:spacing w:after="160" w:before="0" w:line="360"/>
        <w:jc w:val="both"/>
      </w:pPr>
      <w:r>
        <w:rPr>
          <w:rFonts w:ascii="Arial" w:cs="Arial" w:eastAsia="Arial" w:hAnsi="Arial"/>
          <w:sz w:val="24"/>
          <w:szCs w:val="24"/>
        </w:rPr>
        <w:t xml:space="preserve">On receiving these values and a confirmation from the user, the pipeline first converts the three geometric dimensions to millimetres (3000, 120, and 100 mm respectively). It then writes model.geo with a 3000 mm line divided into 15 segments, calls Gmsh to produce model.med, substitutes the material and load parameters into the .comm template to produce model.comm, generates model.export referencing all input files, and launches Code_Aster via as_run. Upon successful completion, the result extraction step reads beam_job.resu and the tabulated stress and reaction files, and the verification module computes the relative error between the extracted midspan displacement and the Euler-Bernoulli analytical value.</w:t>
      </w:r>
    </w:p>
    <w:p>
      <w:pPr>
        <w:spacing w:after="160" w:before="0" w:line="360"/>
        <w:jc w:val="both"/>
      </w:pPr>
      <w:r>
        <w:rPr>
          <w:rFonts w:ascii="Arial" w:cs="Arial" w:eastAsia="Arial" w:hAnsi="Arial"/>
          <w:sz w:val="24"/>
          <w:szCs w:val="24"/>
        </w:rPr>
        <w:t xml:space="preserve">On a standard workstation, the entire sequence from pipeline invocation to verified output takes approximately 20–40 seconds, with Code_Aster execution accounting for the majority of that time.</w:t>
      </w:r>
    </w:p>
    <w:p>
      <w:pPr>
        <w:pStyle w:val="Heading2"/>
        <w:spacing w:after="120" w:before="300"/>
      </w:pPr>
      <w:r>
        <w:rPr>
          <w:rFonts w:ascii="Arial" w:cs="Arial" w:eastAsia="Arial" w:hAnsi="Arial"/>
          <w:b/>
          <w:bCs/>
          <w:color w:val="2E74B5"/>
          <w:sz w:val="28"/>
          <w:szCs w:val="28"/>
        </w:rPr>
        <w:t xml:space="preserve">4.4 AI-Agent Implementation</w:t>
      </w:r>
    </w:p>
    <w:p>
      <w:pPr>
        <w:spacing w:after="160" w:before="0" w:line="360"/>
        <w:jc w:val="both"/>
      </w:pPr>
      <w:r>
        <w:rPr>
          <w:rFonts w:ascii="Arial" w:cs="Arial" w:eastAsia="Arial" w:hAnsi="Arial"/>
          <w:sz w:val="24"/>
          <w:szCs w:val="24"/>
        </w:rPr>
        <w:t xml:space="preserve">The agent layer handles the conversational phase of the workflow: collecting parameters from the user, managing missing or ambiguous values, and triggering the pipeline at the appropriate moment. Its implementation is described here in terms of the prompt design, the tool interface, and the error-handling mechanisms.</w:t>
      </w:r>
    </w:p>
    <w:p>
      <w:pPr>
        <w:spacing w:after="60" w:before="0"/>
      </w:pPr>
      <w:r>
        <w:t xml:space="preserve"/>
      </w:r>
    </w:p>
    <w:p>
      <w:pPr>
        <w:pStyle w:val="Heading3"/>
        <w:spacing w:after="80" w:before="220"/>
      </w:pPr>
      <w:r>
        <w:rPr>
          <w:rFonts w:ascii="Arial" w:cs="Arial" w:eastAsia="Arial" w:hAnsi="Arial"/>
          <w:b/>
          <w:bCs/>
          <w:color w:val="2E74B5"/>
          <w:sz w:val="24"/>
          <w:szCs w:val="24"/>
        </w:rPr>
        <w:t xml:space="preserve">4.4.1 Prompt Templates</w:t>
      </w:r>
    </w:p>
    <w:p>
      <w:pPr>
        <w:spacing w:after="160" w:before="0" w:line="360"/>
        <w:jc w:val="both"/>
      </w:pPr>
      <w:r>
        <w:rPr>
          <w:rFonts w:ascii="Arial" w:cs="Arial" w:eastAsia="Arial" w:hAnsi="Arial"/>
          <w:sz w:val="24"/>
          <w:szCs w:val="24"/>
        </w:rPr>
        <w:t xml:space="preserve">The system prompt given to the language model defines the agent's identity and a strict set of behavioural constraints. Rather than allowing the model to decide how to interact with the user, the prompt encodes explicit rules that must be followed regardless of the content of the user's message. The most important of these are:</w:t>
      </w:r>
    </w:p>
    <w:p>
      <w:pPr>
        <w:spacing w:after="60" w:before="0"/>
      </w:pPr>
      <w:r>
        <w:t xml:space="preserve"/>
      </w:r>
    </w:p>
    <w:p>
      <w:pPr>
        <w:pStyle w:val="ListParagraph"/>
        <w:numPr>
          <w:ilvl w:val="0"/>
          <w:numId w:val="2"/>
        </w:numPr>
        <w:spacing w:after="40" w:before="40" w:line="340"/>
      </w:pPr>
      <w:r>
        <w:rPr>
          <w:rFonts w:ascii="Arial" w:cs="Arial" w:eastAsia="Arial" w:hAnsi="Arial"/>
          <w:sz w:val="24"/>
          <w:szCs w:val="24"/>
        </w:rPr>
        <w:t xml:space="preserve">all geometric parameters must be provided in metres; the agent must never accept or display millimetre values in the conversation;</w:t>
      </w:r>
    </w:p>
    <w:p>
      <w:pPr>
        <w:pStyle w:val="ListParagraph"/>
        <w:numPr>
          <w:ilvl w:val="0"/>
          <w:numId w:val="2"/>
        </w:numPr>
        <w:spacing w:after="40" w:before="40" w:line="340"/>
      </w:pPr>
      <w:r>
        <w:rPr>
          <w:rFonts w:ascii="Arial" w:cs="Arial" w:eastAsia="Arial" w:hAnsi="Arial"/>
          <w:sz w:val="24"/>
          <w:szCs w:val="24"/>
        </w:rPr>
        <w:t xml:space="preserve">no tool may be called until all eight required parameters are present;</w:t>
      </w:r>
    </w:p>
    <w:p>
      <w:pPr>
        <w:pStyle w:val="ListParagraph"/>
        <w:numPr>
          <w:ilvl w:val="0"/>
          <w:numId w:val="2"/>
        </w:numPr>
        <w:spacing w:after="40" w:before="40" w:line="340"/>
      </w:pPr>
      <w:r>
        <w:rPr>
          <w:rFonts w:ascii="Arial" w:cs="Arial" w:eastAsia="Arial" w:hAnsi="Arial"/>
          <w:sz w:val="24"/>
          <w:szCs w:val="24"/>
        </w:rPr>
        <w:t xml:space="preserve">default values may not be assumed unless the user has explicitly approved them;</w:t>
      </w:r>
    </w:p>
    <w:p>
      <w:pPr>
        <w:pStyle w:val="ListParagraph"/>
        <w:numPr>
          <w:ilvl w:val="0"/>
          <w:numId w:val="2"/>
        </w:numPr>
        <w:spacing w:after="40" w:before="40" w:line="340"/>
      </w:pPr>
      <w:r>
        <w:rPr>
          <w:rFonts w:ascii="Arial" w:cs="Arial" w:eastAsia="Arial" w:hAnsi="Arial"/>
          <w:sz w:val="24"/>
          <w:szCs w:val="24"/>
        </w:rPr>
        <w:t xml:space="preserve">before calling the pipeline tool, the agent must present a complete parameter summary and ask for explicit confirmation;</w:t>
      </w:r>
    </w:p>
    <w:p>
      <w:pPr>
        <w:pStyle w:val="ListParagraph"/>
        <w:numPr>
          <w:ilvl w:val="0"/>
          <w:numId w:val="2"/>
        </w:numPr>
        <w:spacing w:after="40" w:before="40" w:line="340"/>
      </w:pPr>
      <w:r>
        <w:rPr>
          <w:rFonts w:ascii="Arial" w:cs="Arial" w:eastAsia="Arial" w:hAnsi="Arial"/>
          <w:sz w:val="24"/>
          <w:szCs w:val="24"/>
        </w:rPr>
        <w:t xml:space="preserve">if a geometric dimension is provided without an explicit unit (for example, 'HY 20' without 'm', 'cm', or 'mm'), the agent must reject the value and request a restatement with units — it does not guess;</w:t>
      </w:r>
    </w:p>
    <w:p>
      <w:pPr>
        <w:pStyle w:val="ListParagraph"/>
        <w:numPr>
          <w:ilvl w:val="0"/>
          <w:numId w:val="2"/>
        </w:numPr>
        <w:spacing w:after="40" w:before="40" w:line="340"/>
      </w:pPr>
      <w:r>
        <w:rPr>
          <w:rFonts w:ascii="Arial" w:cs="Arial" w:eastAsia="Arial" w:hAnsi="Arial"/>
          <w:sz w:val="24"/>
          <w:szCs w:val="24"/>
        </w:rPr>
        <w:t xml:space="preserve">if the user issues a stop command ('stop', 'exit', 'cancel', or equivalent), all tool invocations must cease immediately.</w:t>
      </w:r>
    </w:p>
    <w:p>
      <w:pPr>
        <w:spacing w:after="60" w:before="0"/>
      </w:pPr>
      <w:r>
        <w:t xml:space="preserve"/>
      </w:r>
    </w:p>
    <w:p>
      <w:pPr>
        <w:spacing w:after="160" w:before="0" w:line="360"/>
        <w:jc w:val="both"/>
      </w:pPr>
      <w:r>
        <w:rPr>
          <w:rFonts w:ascii="Arial" w:cs="Arial" w:eastAsia="Arial" w:hAnsi="Arial"/>
          <w:sz w:val="24"/>
          <w:szCs w:val="24"/>
        </w:rPr>
        <w:t xml:space="preserve">These constraints were developed iteratively in response to failure modes observed in early prototypes. The unit ambiguity rule in particular was added after several test runs in which the model silently interpreted bare numbers as metres when the user had intended millimetres, leading to physically implausible simulation inputs.</w:t>
      </w:r>
    </w:p>
    <w:p>
      <w:pPr>
        <w:spacing w:after="60" w:before="0"/>
      </w:pPr>
      <w:r>
        <w:t xml:space="preserve"/>
      </w:r>
    </w:p>
    <w:p>
      <w:pPr>
        <w:pStyle w:val="Heading3"/>
        <w:spacing w:after="80" w:before="220"/>
      </w:pPr>
      <w:r>
        <w:rPr>
          <w:rFonts w:ascii="Arial" w:cs="Arial" w:eastAsia="Arial" w:hAnsi="Arial"/>
          <w:b/>
          <w:bCs/>
          <w:color w:val="2E74B5"/>
          <w:sz w:val="24"/>
          <w:szCs w:val="24"/>
        </w:rPr>
        <w:t xml:space="preserve">4.4.2 Tool Orchestration</w:t>
      </w:r>
    </w:p>
    <w:p>
      <w:pPr>
        <w:spacing w:after="160" w:before="0" w:line="360"/>
        <w:jc w:val="both"/>
      </w:pPr>
      <w:r>
        <w:rPr>
          <w:rFonts w:ascii="Arial" w:cs="Arial" w:eastAsia="Arial" w:hAnsi="Arial"/>
          <w:sz w:val="24"/>
          <w:szCs w:val="24"/>
        </w:rPr>
        <w:t xml:space="preserve">The agent is given access to exactly one tool: </w:t>
      </w:r>
      <w:r>
        <w:rPr>
          <w:rFonts w:ascii="Courier New" w:cs="Courier New" w:eastAsia="Courier New" w:hAnsi="Courier New"/>
          <w:sz w:val="22"/>
          <w:szCs w:val="22"/>
        </w:rPr>
        <w:t xml:space="preserve">run_full_pipeline</w:t>
      </w:r>
      <w:r>
        <w:rPr>
          <w:rFonts w:ascii="Arial" w:cs="Arial" w:eastAsia="Arial" w:hAnsi="Arial"/>
          <w:sz w:val="24"/>
          <w:szCs w:val="24"/>
        </w:rPr>
        <w:t xml:space="preserve">. This deliberate narrowing of the tool interface means the agent cannot call individual pipeline steps — it cannot, for instance, generate only the geometry file and pause — which prevents partial execution states that would be difficult to recover from.</w:t>
      </w:r>
    </w:p>
    <w:p>
      <w:pPr>
        <w:spacing w:after="160" w:before="0" w:line="360"/>
        <w:jc w:val="both"/>
      </w:pPr>
      <w:r>
        <w:rPr>
          <w:rFonts w:ascii="Arial" w:cs="Arial" w:eastAsia="Arial" w:hAnsi="Arial"/>
          <w:sz w:val="24"/>
          <w:szCs w:val="24"/>
        </w:rPr>
        <w:t xml:space="preserve">When the agent determines that all parameters are available and the user has confirmed, it calls </w:t>
      </w:r>
      <w:r>
        <w:rPr>
          <w:rFonts w:ascii="Courier New" w:cs="Courier New" w:eastAsia="Courier New" w:hAnsi="Courier New"/>
          <w:sz w:val="22"/>
          <w:szCs w:val="22"/>
        </w:rPr>
        <w:t xml:space="preserve">run_full_pipeline</w:t>
      </w:r>
      <w:r>
        <w:rPr>
          <w:rFonts w:ascii="Arial" w:cs="Arial" w:eastAsia="Arial" w:hAnsi="Arial"/>
          <w:sz w:val="24"/>
          <w:szCs w:val="24"/>
        </w:rPr>
        <w:t xml:space="preserve"> with </w:t>
      </w:r>
      <w:r>
        <w:rPr>
          <w:rFonts w:ascii="Courier New" w:cs="Courier New" w:eastAsia="Courier New" w:hAnsi="Courier New"/>
          <w:sz w:val="22"/>
          <w:szCs w:val="22"/>
        </w:rPr>
        <w:t xml:space="preserve">confirm=True</w:t>
      </w:r>
      <w:r>
        <w:rPr>
          <w:rFonts w:ascii="Arial" w:cs="Arial" w:eastAsia="Arial" w:hAnsi="Arial"/>
          <w:sz w:val="24"/>
          <w:szCs w:val="24"/>
        </w:rPr>
        <w:t xml:space="preserve"> and the full parameter set. The LangChain </w:t>
      </w:r>
      <w:r>
        <w:rPr>
          <w:rFonts w:ascii="Courier New" w:cs="Courier New" w:eastAsia="Courier New" w:hAnsi="Courier New"/>
          <w:sz w:val="22"/>
          <w:szCs w:val="22"/>
        </w:rPr>
        <w:t xml:space="preserve">AgentExecutor</w:t>
      </w:r>
      <w:r>
        <w:rPr>
          <w:rFonts w:ascii="Arial" w:cs="Arial" w:eastAsia="Arial" w:hAnsi="Arial"/>
          <w:sz w:val="24"/>
          <w:szCs w:val="24"/>
        </w:rPr>
        <w:t xml:space="preserve"> handles the tool call and returns the pipeline's result string to the agent, which relays it to the user.</w:t>
      </w:r>
    </w:p>
    <w:p>
      <w:pPr>
        <w:spacing w:after="160" w:before="0" w:line="360"/>
        <w:jc w:val="both"/>
      </w:pPr>
      <w:r>
        <w:rPr>
          <w:rFonts w:ascii="Arial" w:cs="Arial" w:eastAsia="Arial" w:hAnsi="Arial"/>
          <w:sz w:val="24"/>
          <w:szCs w:val="24"/>
        </w:rPr>
        <w:t xml:space="preserve">Two execution modes are supported. In interactive chat mode, the agent maintains a conversation history buffer, allowing parameters to be provided across several turns. A user might specify the geometry in one message, material properties in the next, and the load in a third, with the agent accumulating the values and prompting only for what is still missing. In one-shot mode, the user provides a complete description in a single command-line argument, and the agent either confirms and runs immediately or reports which parameters are absent.</w:t>
      </w:r>
    </w:p>
    <w:p>
      <w:pPr>
        <w:spacing w:after="60" w:before="0"/>
      </w:pPr>
      <w:r>
        <w:t xml:space="preserve"/>
      </w:r>
    </w:p>
    <w:p>
      <w:pPr>
        <w:pStyle w:val="Heading3"/>
        <w:spacing w:after="80" w:before="220"/>
      </w:pPr>
      <w:r>
        <w:rPr>
          <w:rFonts w:ascii="Arial" w:cs="Arial" w:eastAsia="Arial" w:hAnsi="Arial"/>
          <w:b/>
          <w:bCs/>
          <w:color w:val="2E74B5"/>
          <w:sz w:val="24"/>
          <w:szCs w:val="24"/>
        </w:rPr>
        <w:t xml:space="preserve">4.4.3 Error Handling</w:t>
      </w:r>
    </w:p>
    <w:p>
      <w:pPr>
        <w:spacing w:after="160" w:before="0" w:line="360"/>
        <w:jc w:val="both"/>
      </w:pPr>
      <w:r>
        <w:rPr>
          <w:rFonts w:ascii="Arial" w:cs="Arial" w:eastAsia="Arial" w:hAnsi="Arial"/>
          <w:sz w:val="24"/>
          <w:szCs w:val="24"/>
        </w:rPr>
        <w:t xml:space="preserve">Error handling operates at three distinct levels. At the input level, the agent prompt enforces parameter completeness and unit clarity before any tool is called. At the tool boundary, the run_full_pipeline function checks for missing parameters and the confirmation flag before passing control to the pipeline. At the pipeline level, the safe_call helper wraps every tool invocation and inspects both the return value and the expected output file; any failure at this level terminates the pipeline and returns a structured error message identifying which step failed.</w:t>
      </w:r>
    </w:p>
    <w:p>
      <w:pPr>
        <w:spacing w:after="160" w:before="0" w:line="360"/>
        <w:jc w:val="both"/>
      </w:pPr>
      <w:r>
        <w:rPr>
          <w:rFonts w:ascii="Arial" w:cs="Arial" w:eastAsia="Arial" w:hAnsi="Arial"/>
          <w:sz w:val="24"/>
          <w:szCs w:val="24"/>
        </w:rPr>
        <w:t xml:space="preserve">This layered approach means that most error conditions are caught and reported with enough context to diagnose the cause. A missing parameter is reported before execution begins; a failed geometry tool is reported with the name of the tool that failed; a missing output file is reported with the expected file path.</w:t>
      </w:r>
    </w:p>
    <w:p>
      <w:pPr>
        <w:pStyle w:val="Heading2"/>
        <w:spacing w:after="120" w:before="300"/>
      </w:pPr>
      <w:r>
        <w:rPr>
          <w:rFonts w:ascii="Arial" w:cs="Arial" w:eastAsia="Arial" w:hAnsi="Arial"/>
          <w:b/>
          <w:bCs/>
          <w:color w:val="2E74B5"/>
          <w:sz w:val="28"/>
          <w:szCs w:val="28"/>
        </w:rPr>
        <w:t xml:space="preserve">4.5 Logging and Reproducibility</w:t>
      </w:r>
    </w:p>
    <w:p>
      <w:pPr>
        <w:spacing w:after="160" w:before="0" w:line="360"/>
        <w:jc w:val="both"/>
      </w:pPr>
      <w:r>
        <w:rPr>
          <w:rFonts w:ascii="Arial" w:cs="Arial" w:eastAsia="Arial" w:hAnsi="Arial"/>
          <w:sz w:val="24"/>
          <w:szCs w:val="24"/>
        </w:rPr>
        <w:t xml:space="preserve">Two operational requirements that are often treated as secondary — traceability and reproducibility — were built into the implementation from the outset rather than added retrospectively.</w:t>
      </w:r>
    </w:p>
    <w:p>
      <w:pPr>
        <w:spacing w:after="60" w:before="0"/>
      </w:pPr>
      <w:r>
        <w:t xml:space="preserve"/>
      </w:r>
    </w:p>
    <w:p>
      <w:pPr>
        <w:pStyle w:val="Heading3"/>
        <w:spacing w:after="80" w:before="220"/>
      </w:pPr>
      <w:r>
        <w:rPr>
          <w:rFonts w:ascii="Arial" w:cs="Arial" w:eastAsia="Arial" w:hAnsi="Arial"/>
          <w:b/>
          <w:bCs/>
          <w:color w:val="2E74B5"/>
          <w:sz w:val="24"/>
          <w:szCs w:val="24"/>
        </w:rPr>
        <w:t xml:space="preserve">4.5.1 Execution Logs</w:t>
      </w:r>
    </w:p>
    <w:p>
      <w:pPr>
        <w:spacing w:after="160" w:before="0" w:line="360"/>
        <w:jc w:val="both"/>
      </w:pPr>
      <w:r>
        <w:rPr>
          <w:rFonts w:ascii="Arial" w:cs="Arial" w:eastAsia="Arial" w:hAnsi="Arial"/>
          <w:sz w:val="24"/>
          <w:szCs w:val="24"/>
        </w:rPr>
        <w:t xml:space="preserve">All pipeline activity is written to a log file, </w:t>
      </w:r>
      <w:r>
        <w:rPr>
          <w:rFonts w:ascii="Courier New" w:cs="Courier New" w:eastAsia="Courier New" w:hAnsi="Courier New"/>
          <w:sz w:val="22"/>
          <w:szCs w:val="22"/>
        </w:rPr>
        <w:t xml:space="preserve">hybrid_pipeline_agentic.log</w:t>
      </w:r>
      <w:r>
        <w:rPr>
          <w:rFonts w:ascii="Arial" w:cs="Arial" w:eastAsia="Arial" w:hAnsi="Arial"/>
          <w:sz w:val="24"/>
          <w:szCs w:val="24"/>
        </w:rPr>
        <w:t xml:space="preserve">, stored in the workspace directory. The logging module is configured at the </w:t>
      </w:r>
      <w:r>
        <w:rPr>
          <w:rFonts w:ascii="Courier New" w:cs="Courier New" w:eastAsia="Courier New" w:hAnsi="Courier New"/>
          <w:sz w:val="22"/>
          <w:szCs w:val="22"/>
        </w:rPr>
        <w:t xml:space="preserve">INFO</w:t>
      </w:r>
      <w:r>
        <w:rPr>
          <w:rFonts w:ascii="Arial" w:cs="Arial" w:eastAsia="Arial" w:hAnsi="Arial"/>
          <w:sz w:val="24"/>
          <w:szCs w:val="24"/>
        </w:rPr>
        <w:t xml:space="preserve"> level and records the following events: pipeline start; the name and keyword arguments of each tool invocation; the full parameter dictionary (in millimetre units, as submitted to the tools) before the pipeline begins; and any exceptions raised during tool execution.</w:t>
      </w:r>
    </w:p>
    <w:p>
      <w:pPr>
        <w:spacing w:after="160" w:before="0" w:line="360"/>
        <w:jc w:val="both"/>
      </w:pPr>
      <w:r>
        <w:rPr>
          <w:rFonts w:ascii="Arial" w:cs="Arial" w:eastAsia="Arial" w:hAnsi="Arial"/>
          <w:sz w:val="24"/>
          <w:szCs w:val="24"/>
        </w:rPr>
        <w:t xml:space="preserve">Recording the parameter dictionary in the log before execution is particularly useful for post-hoc debugging: if a run produces unexpected results, the exact values submitted to Code_Aster can be recovered from the log without relying on the user's memory of what they entered.</w:t>
      </w:r>
    </w:p>
    <w:p>
      <w:pPr>
        <w:spacing w:after="60" w:before="0"/>
      </w:pPr>
      <w:r>
        <w:t xml:space="preserve"/>
      </w:r>
    </w:p>
    <w:p>
      <w:pPr>
        <w:pStyle w:val="Heading3"/>
        <w:spacing w:after="80" w:before="220"/>
      </w:pPr>
      <w:r>
        <w:rPr>
          <w:rFonts w:ascii="Arial" w:cs="Arial" w:eastAsia="Arial" w:hAnsi="Arial"/>
          <w:b/>
          <w:bCs/>
          <w:color w:val="2E74B5"/>
          <w:sz w:val="24"/>
          <w:szCs w:val="24"/>
        </w:rPr>
        <w:t xml:space="preserve">4.5.2 Reproducibility</w:t>
      </w:r>
    </w:p>
    <w:p>
      <w:pPr>
        <w:spacing w:after="160" w:before="0" w:line="360"/>
        <w:jc w:val="both"/>
      </w:pPr>
      <w:r>
        <w:rPr>
          <w:rFonts w:ascii="Arial" w:cs="Arial" w:eastAsia="Arial" w:hAnsi="Arial"/>
          <w:sz w:val="24"/>
          <w:szCs w:val="24"/>
        </w:rPr>
        <w:t xml:space="preserve">Given a fixed parameter set, the system produces identical output files and identical simulation results on every run. This property holds because all sources of variability have been eliminated from the execution and file generation stages. The language model is used only in the conversational phase; once parameters are confirmed and passed to </w:t>
      </w:r>
      <w:r>
        <w:rPr>
          <w:rFonts w:ascii="Courier New" w:cs="Courier New" w:eastAsia="Courier New" w:hAnsi="Courier New"/>
          <w:sz w:val="22"/>
          <w:szCs w:val="22"/>
        </w:rPr>
        <w:t xml:space="preserve">run_hybrid_pipeline</w:t>
      </w:r>
      <w:r>
        <w:rPr>
          <w:rFonts w:ascii="Arial" w:cs="Arial" w:eastAsia="Arial" w:hAnsi="Arial"/>
          <w:sz w:val="24"/>
          <w:szCs w:val="24"/>
        </w:rPr>
        <w:t xml:space="preserve">, no further language model calls are made. The GPT-4.1 model is configured with </w:t>
      </w:r>
      <w:r>
        <w:rPr>
          <w:rFonts w:ascii="Courier New" w:cs="Courier New" w:eastAsia="Courier New" w:hAnsi="Courier New"/>
          <w:sz w:val="22"/>
          <w:szCs w:val="22"/>
        </w:rPr>
        <w:t xml:space="preserve">temperature=0</w:t>
      </w:r>
      <w:r>
        <w:rPr>
          <w:rFonts w:ascii="Arial" w:cs="Arial" w:eastAsia="Arial" w:hAnsi="Arial"/>
          <w:sz w:val="24"/>
          <w:szCs w:val="24"/>
        </w:rPr>
        <w:t xml:space="preserve">, which ensures that the agent's responses to a given input are also deterministic, so the same conversation leads to the same parameter set.</w:t>
      </w:r>
    </w:p>
    <w:p>
      <w:pPr>
        <w:spacing w:after="160" w:before="0" w:line="360"/>
        <w:jc w:val="both"/>
      </w:pPr>
      <w:r>
        <w:rPr>
          <w:rFonts w:ascii="Arial" w:cs="Arial" w:eastAsia="Arial" w:hAnsi="Arial"/>
          <w:sz w:val="24"/>
          <w:szCs w:val="24"/>
        </w:rPr>
        <w:t xml:space="preserve">File generation is deterministic because it is based on string substitution into fixed templates rather than on generated text. Unit conversion is applied by a single Python function before the pipeline begins, so the values written to all files are always consistent with one another.</w:t>
      </w:r>
    </w:p>
    <w:p>
      <w:pPr>
        <w:spacing w:after="160" w:before="0" w:line="360"/>
        <w:jc w:val="both"/>
      </w:pPr>
      <w:r>
        <w:rPr>
          <w:rFonts w:ascii="Arial" w:cs="Arial" w:eastAsia="Arial" w:hAnsi="Arial"/>
          <w:sz w:val="24"/>
          <w:szCs w:val="24"/>
        </w:rPr>
        <w:t xml:space="preserve">It should be noted that this reproducibility applies within a single installation of the software stack. Differences in Code_Aster version, compiler optimisation flags, or operating system may introduce floating-point variation in the solver output at levels well below engineering significance. These effects are outside the scope of the current implementation.</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2026-04-08T19:12:08.009Z</dcterms:created>
  <dcterms:modified xsi:type="dcterms:W3CDTF">2026-04-08T19:12:08.010Z</dcterms:modified>
</cp:coreProperties>
</file>

<file path=docProps/custom.xml><?xml version="1.0" encoding="utf-8"?>
<Properties xmlns="http://schemas.openxmlformats.org/officeDocument/2006/custom-properties" xmlns:vt="http://schemas.openxmlformats.org/officeDocument/2006/docPropsVTypes"/>
</file>