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  <w:b/>
          <w:bCs/>
        </w:rPr>
      </w:pPr>
      <w:r/>
      <w:bookmarkStart w:id="0" w:name="проект"/>
      <w:r>
        <w:rPr>
          <w:rFonts w:ascii="Times New Roman" w:hAnsi="Times New Roman" w:eastAsia="Times New Roman" w:cs="Times New Roman"/>
          <w:b/>
          <w:bCs/>
        </w:rPr>
        <w:t xml:space="preserve">Развитие функциональности систем</w:t>
      </w:r>
      <w:r>
        <w:rPr>
          <w:rFonts w:ascii="Times New Roman" w:hAnsi="Times New Roman" w:eastAsia="Times New Roman" w:cs="Times New Roman"/>
          <w:b/>
          <w:bCs/>
        </w:rPr>
        <w:t xml:space="preserve">а оперативного</w:t>
      </w:r>
      <w:r>
        <w:rPr>
          <w:rFonts w:ascii="Times New Roman" w:hAnsi="Times New Roman" w:eastAsia="Times New Roman" w:cs="Times New Roman"/>
          <w:b/>
          <w:bCs/>
        </w:rPr>
        <w:t xml:space="preserve"> управления рабо</w:t>
      </w:r>
      <w:r>
        <w:rPr>
          <w:rFonts w:ascii="Times New Roman" w:hAnsi="Times New Roman" w:eastAsia="Times New Roman" w:cs="Times New Roman"/>
          <w:b/>
          <w:bCs/>
        </w:rPr>
        <w:t xml:space="preserve">та</w:t>
      </w:r>
      <w:r>
        <w:rPr>
          <w:rFonts w:ascii="Times New Roman" w:hAnsi="Times New Roman" w:eastAsia="Times New Roman" w:cs="Times New Roman"/>
          <w:b/>
          <w:bCs/>
        </w:rPr>
        <w:t xml:space="preserve">ми (С</w:t>
      </w:r>
      <w:r>
        <w:rPr>
          <w:rFonts w:ascii="Times New Roman" w:hAnsi="Times New Roman" w:eastAsia="Times New Roman" w:cs="Times New Roman"/>
          <w:b/>
          <w:bCs/>
        </w:rPr>
        <w:t xml:space="preserve">ОУР</w:t>
      </w:r>
      <w:r>
        <w:rPr>
          <w:rFonts w:ascii="Times New Roman" w:hAnsi="Times New Roman" w:eastAsia="Times New Roman" w:cs="Times New Roman"/>
          <w:b/>
          <w:bCs/>
        </w:rPr>
        <w:t xml:space="preserve">)</w:t>
      </w:r>
      <w:bookmarkEnd w:id="0"/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нужд сегментов ПАО «</w:t>
      </w:r>
      <w:r>
        <w:rPr>
          <w:rFonts w:ascii="Times New Roman" w:hAnsi="Times New Roman" w:eastAsia="Times New Roman" w:cs="Times New Roman"/>
        </w:rPr>
        <w:t xml:space="preserve">Россети</w:t>
      </w:r>
      <w:r>
        <w:rPr>
          <w:rFonts w:ascii="Times New Roman" w:hAnsi="Times New Roman" w:eastAsia="Times New Roman" w:cs="Times New Roman"/>
        </w:rPr>
        <w:t xml:space="preserve"> Центр и Приволжье» и ПАО «</w:t>
      </w:r>
      <w:r>
        <w:rPr>
          <w:rFonts w:ascii="Times New Roman" w:hAnsi="Times New Roman" w:eastAsia="Times New Roman" w:cs="Times New Roman"/>
        </w:rPr>
        <w:t xml:space="preserve">Россети</w:t>
      </w:r>
      <w:r>
        <w:rPr>
          <w:rFonts w:ascii="Times New Roman" w:hAnsi="Times New Roman" w:eastAsia="Times New Roman" w:cs="Times New Roman"/>
        </w:rPr>
        <w:t xml:space="preserve"> Центр»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Этап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before="60" w:after="60" w:line="276" w:lineRule="auto"/>
        <w:widowControl w:val="off"/>
        <w:rPr>
          <w:rFonts w:ascii="Times New Roman" w:hAnsi="Times New Roman" w:eastAsia="Calibri" w:cs="Times New Roman"/>
          <w:b/>
          <w:caps/>
          <w:sz w:val="32"/>
          <w:szCs w:val="32"/>
        </w:rPr>
      </w:pPr>
      <w:r>
        <w:rPr>
          <w:rFonts w:ascii="Times New Roman" w:hAnsi="Times New Roman" w:eastAsia="Calibri" w:cs="Times New Roman"/>
          <w:b/>
          <w:caps/>
          <w:sz w:val="32"/>
          <w:szCs w:val="32"/>
        </w:rPr>
        <w:t xml:space="preserve">визуальное отображение</w:t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</w:p>
    <w:p>
      <w:pPr>
        <w:jc w:val="center"/>
        <w:spacing w:before="60" w:after="60" w:line="276" w:lineRule="auto"/>
        <w:widowControl w:val="off"/>
        <w:rPr>
          <w:rFonts w:ascii="Times New Roman" w:hAnsi="Times New Roman" w:eastAsia="Calibri" w:cs="Times New Roman"/>
          <w:b/>
          <w:caps/>
          <w:sz w:val="32"/>
          <w:szCs w:val="32"/>
        </w:rPr>
      </w:pPr>
      <w:r>
        <w:rPr>
          <w:rFonts w:ascii="Times New Roman" w:hAnsi="Times New Roman" w:eastAsia="Calibri" w:cs="Times New Roman"/>
          <w:b/>
          <w:caps/>
          <w:sz w:val="32"/>
          <w:szCs w:val="32"/>
        </w:rPr>
        <w:t xml:space="preserve">опасных мест объектов эксплуатации разрешительного документа</w:t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</w:p>
    <w:p>
      <w:pPr>
        <w:jc w:val="center"/>
        <w:spacing w:before="60" w:after="60" w:line="276" w:lineRule="auto"/>
        <w:widowControl w:val="off"/>
        <w:rPr>
          <w:rFonts w:ascii="Times New Roman" w:hAnsi="Times New Roman" w:eastAsia="Calibri" w:cs="Times New Roman"/>
          <w:b/>
          <w:caps/>
          <w:sz w:val="32"/>
          <w:szCs w:val="32"/>
        </w:rPr>
      </w:pPr>
      <w:r>
        <w:rPr>
          <w:rFonts w:ascii="Times New Roman" w:hAnsi="Times New Roman" w:eastAsia="Calibri" w:cs="Times New Roman"/>
          <w:b/>
          <w:caps/>
          <w:sz w:val="32"/>
          <w:szCs w:val="32"/>
        </w:rPr>
        <w:t xml:space="preserve">в веб-приложении СОУР и мобильном приложении СОУР на базе ос </w:t>
      </w:r>
      <w:r>
        <w:rPr>
          <w:rFonts w:ascii="Times New Roman" w:hAnsi="Times New Roman" w:eastAsia="Calibri" w:cs="Times New Roman"/>
          <w:b/>
          <w:caps/>
          <w:sz w:val="32"/>
          <w:szCs w:val="32"/>
          <w:lang w:val="en-US"/>
        </w:rPr>
        <w:t xml:space="preserve">Android</w:t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  <w:r>
        <w:rPr>
          <w:rFonts w:ascii="Times New Roman" w:hAnsi="Times New Roman" w:eastAsia="Calibri" w:cs="Times New Roman"/>
          <w:b/>
          <w:caps/>
          <w:sz w:val="32"/>
          <w:szCs w:val="32"/>
        </w:rPr>
      </w:r>
    </w:p>
    <w:p>
      <w:pPr>
        <w:jc w:val="both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spacing w:after="0" w:line="360" w:lineRule="auto"/>
        <w:widowControl w:val="off"/>
        <w:rPr>
          <w:rFonts w:ascii="Times New Roman" w:hAnsi="Times New Roman" w:eastAsia="Times New Roman" w:cs="Times New Roman"/>
        </w:rPr>
      </w:pPr>
      <w:r/>
      <w:bookmarkStart w:id="1" w:name="_Hlk139528688"/>
      <w:r/>
      <w:bookmarkStart w:id="2" w:name="_Hlk139528689"/>
      <w:r/>
      <w:bookmarkStart w:id="3" w:name="_Hlk139528690"/>
      <w:r/>
      <w:bookmarkStart w:id="4" w:name="_Hlk139528691"/>
      <w:r>
        <w:rPr>
          <w:rFonts w:ascii="Times New Roman" w:hAnsi="Times New Roman" w:eastAsia="Times New Roman" w:cs="Times New Roman"/>
        </w:rPr>
        <w:t xml:space="preserve">Нижний Новгород 202</w:t>
      </w:r>
      <w:bookmarkEnd w:id="1"/>
      <w:r/>
      <w:bookmarkEnd w:id="2"/>
      <w:r/>
      <w:bookmarkEnd w:id="3"/>
      <w:r/>
      <w:bookmarkEnd w:id="4"/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dt>
      <w:sdtPr>
        <w15:appearance w15:val="boundingBox"/>
        <w:id w:val="-997197365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color w:val="auto"/>
          <w:sz w:val="22"/>
          <w:szCs w:val="22"/>
          <w:lang w:eastAsia="en-US"/>
        </w:rPr>
      </w:sdtPr>
      <w:sdtContent>
        <w:p>
          <w:pPr>
            <w:pStyle w:val="890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 xml:space="preserve">Оглавление</w:t>
          </w:r>
          <w:r>
            <w:rPr>
              <w:rFonts w:ascii="Times New Roman" w:hAnsi="Times New Roman" w:cs="Times New Roman"/>
              <w:b/>
              <w:bCs/>
              <w:color w:val="auto"/>
            </w:rPr>
          </w:r>
          <w:r>
            <w:rPr>
              <w:rFonts w:ascii="Times New Roman" w:hAnsi="Times New Roman" w:cs="Times New Roman"/>
              <w:b/>
              <w:bCs/>
              <w:color w:val="auto"/>
            </w:rPr>
          </w:r>
        </w:p>
        <w:p>
          <w:pPr>
            <w:pStyle w:val="891"/>
            <w:tabs>
              <w:tab w:val="left" w:pos="44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tooltip="#_Toc173503363" w:anchor="_Toc173503363" w:history="1"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Описание</w:t>
            </w:r>
            <w:r>
              <w:tab/>
            </w:r>
            <w:r>
              <w:fldChar w:fldCharType="begin"/>
            </w:r>
            <w:r>
              <w:instrText xml:space="preserve"> PAGEREF _Toc173503363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1"/>
            <w:tabs>
              <w:tab w:val="left" w:pos="44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4" w:anchor="_Toc173503364" w:history="1"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Общие требования</w:t>
            </w:r>
            <w:r>
              <w:tab/>
            </w:r>
            <w:r>
              <w:fldChar w:fldCharType="begin"/>
            </w:r>
            <w:r>
              <w:instrText xml:space="preserve"> PAGEREF _Toc173503364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5"/>
            <w:tabs>
              <w:tab w:val="left" w:pos="88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5" w:anchor="_Toc173503365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2.1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Центр (</w:t>
            </w:r>
            <w:r>
              <w:rPr>
                <w:rStyle w:val="892"/>
                <w:rFonts w:ascii="Times New Roman" w:hAnsi="Times New Roman" w:cs="Times New Roman"/>
                <w:b/>
                <w:bCs/>
                <w:lang w:val="en-US"/>
              </w:rPr>
              <w:t xml:space="preserve">source_platform = center</w:t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).</w:t>
            </w:r>
            <w:r>
              <w:tab/>
            </w:r>
            <w:r>
              <w:fldChar w:fldCharType="begin"/>
            </w:r>
            <w:r>
              <w:instrText xml:space="preserve"> PAGEREF _Toc173503365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5"/>
            <w:tabs>
              <w:tab w:val="left" w:pos="88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6" w:anchor="_Toc173503366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2.2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ЦиП</w:t>
            </w:r>
            <w:r>
              <w:rPr>
                <w:rStyle w:val="892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(</w:t>
            </w:r>
            <w:r>
              <w:rPr>
                <w:rStyle w:val="892"/>
                <w:rFonts w:ascii="Times New Roman" w:hAnsi="Times New Roman" w:cs="Times New Roman"/>
                <w:b/>
                <w:bCs/>
                <w:lang w:val="en-US"/>
              </w:rPr>
              <w:t xml:space="preserve">source_platform = cip</w:t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).</w:t>
            </w:r>
            <w:r>
              <w:tab/>
            </w:r>
            <w:r>
              <w:fldChar w:fldCharType="begin"/>
            </w:r>
            <w:r>
              <w:instrText xml:space="preserve"> PAGEREF _Toc173503366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1"/>
            <w:tabs>
              <w:tab w:val="left" w:pos="44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7" w:anchor="_Toc173503367" w:history="1"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eastAsia="Times New Roman" w:cs="Times New Roman"/>
                <w:b/>
                <w:bCs/>
              </w:rPr>
              <w:t xml:space="preserve">Прототип</w:t>
            </w:r>
            <w:r>
              <w:tab/>
            </w:r>
            <w:r>
              <w:fldChar w:fldCharType="begin"/>
            </w:r>
            <w:r>
              <w:instrText xml:space="preserve"> PAGEREF _Toc173503367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5"/>
            <w:tabs>
              <w:tab w:val="left" w:pos="88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8" w:anchor="_Toc173503368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3.1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Веб-приложение</w:t>
            </w:r>
            <w:r>
              <w:tab/>
            </w:r>
            <w:r>
              <w:fldChar w:fldCharType="begin"/>
            </w:r>
            <w:r>
              <w:instrText xml:space="preserve"> PAGEREF _Toc173503368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5"/>
            <w:tabs>
              <w:tab w:val="left" w:pos="88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69" w:anchor="_Toc173503369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3.2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Мобильное приложение</w:t>
            </w:r>
            <w:r>
              <w:tab/>
            </w:r>
            <w:r>
              <w:fldChar w:fldCharType="begin"/>
            </w:r>
            <w:r>
              <w:instrText xml:space="preserve"> PAGEREF _Toc173503369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1"/>
            <w:tabs>
              <w:tab w:val="left" w:pos="44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70" w:anchor="_Toc173503370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4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База данных</w:t>
            </w:r>
            <w:r>
              <w:tab/>
            </w:r>
            <w:r>
              <w:fldChar w:fldCharType="begin"/>
            </w:r>
            <w:r>
              <w:instrText xml:space="preserve"> PAGEREF _Toc173503370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pStyle w:val="891"/>
            <w:tabs>
              <w:tab w:val="left" w:pos="440" w:leader="none"/>
              <w:tab w:val="right" w:pos="9344" w:leader="dot"/>
            </w:tabs>
            <w:rPr>
              <w:rFonts w:eastAsiaTheme="minorEastAsia"/>
              <w:lang w:eastAsia="ru-RU"/>
            </w:rPr>
          </w:pPr>
          <w:r/>
          <w:hyperlink w:tooltip="#_Toc173503371" w:anchor="_Toc173503371" w:history="1"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5</w:t>
            </w:r>
            <w:r>
              <w:rPr>
                <w:rFonts w:eastAsiaTheme="minorEastAsia"/>
                <w:lang w:eastAsia="ru-RU"/>
              </w:rPr>
              <w:tab/>
            </w:r>
            <w:r>
              <w:rPr>
                <w:rStyle w:val="892"/>
                <w:rFonts w:ascii="Times New Roman" w:hAnsi="Times New Roman" w:cs="Times New Roman"/>
                <w:b/>
                <w:bCs/>
              </w:rPr>
              <w:t xml:space="preserve">Карта пользовательских историй</w:t>
            </w:r>
            <w:r>
              <w:tab/>
            </w:r>
            <w:r>
              <w:fldChar w:fldCharType="begin"/>
            </w:r>
            <w:r>
              <w:instrText xml:space="preserve"> PAGEREF _Toc173503371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eastAsiaTheme="minorEastAsia"/>
              <w:lang w:eastAsia="ru-RU"/>
            </w:rPr>
          </w:r>
          <w:r>
            <w:rPr>
              <w:rFonts w:eastAsiaTheme="minorEastAsia"/>
              <w:lang w:eastAsia="ru-RU"/>
            </w:rPr>
          </w:r>
        </w:p>
        <w:p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sdtContent>
    </w:sdt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2"/>
        <w:spacing w:after="240"/>
        <w:rPr>
          <w:rFonts w:ascii="Times New Roman" w:hAnsi="Times New Roman" w:eastAsia="Times New Roman" w:cs="Times New Roman"/>
          <w:b/>
          <w:bCs/>
          <w:color w:val="auto"/>
        </w:rPr>
      </w:pPr>
      <w:r/>
      <w:bookmarkStart w:id="5" w:name="_Toc173503363"/>
      <w:r>
        <w:rPr>
          <w:rFonts w:ascii="Times New Roman" w:hAnsi="Times New Roman" w:eastAsia="Times New Roman" w:cs="Times New Roman"/>
          <w:b/>
          <w:bCs/>
          <w:color w:val="auto"/>
        </w:rPr>
        <w:t xml:space="preserve">Описание</w:t>
      </w:r>
      <w:bookmarkEnd w:id="5"/>
      <w:r>
        <w:rPr>
          <w:rFonts w:ascii="Times New Roman" w:hAnsi="Times New Roman" w:eastAsia="Times New Roman" w:cs="Times New Roman"/>
          <w:b/>
          <w:bCs/>
          <w:color w:val="auto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>
      <w:pPr>
        <w:pStyle w:val="881"/>
      </w:pPr>
      <w:r>
        <w:t xml:space="preserve">В постановке рассматривается </w:t>
      </w:r>
      <w:r>
        <w:t xml:space="preserve">реализация </w:t>
      </w:r>
      <w:r>
        <w:t xml:space="preserve">отображения в веб-приложении СОУР и</w:t>
      </w:r>
      <w:r>
        <w:t xml:space="preserve"> </w:t>
      </w:r>
      <w:r>
        <w:t xml:space="preserve">мобильном приложении СОУР на базе ОС </w:t>
      </w:r>
      <w:r>
        <w:rPr>
          <w:lang w:val="en-US"/>
        </w:rPr>
        <w:t xml:space="preserve">Android</w:t>
      </w:r>
      <w:r>
        <w:t xml:space="preserve"> </w:t>
      </w:r>
      <w:r>
        <w:t xml:space="preserve">информации об опасных местах по</w:t>
      </w:r>
      <w:r>
        <w:t xml:space="preserve"> </w:t>
      </w:r>
      <w:r>
        <w:t xml:space="preserve">объектам эксплуатации</w:t>
      </w:r>
      <w:r>
        <w:t xml:space="preserve"> (технические места</w:t>
      </w:r>
      <w:r>
        <w:t xml:space="preserve"> и единицы оборудования</w:t>
      </w:r>
      <w:r>
        <w:t xml:space="preserve">)</w:t>
      </w:r>
      <w:r>
        <w:t xml:space="preserve">, указанным в</w:t>
      </w:r>
      <w:r>
        <w:t xml:space="preserve"> </w:t>
      </w:r>
      <w:r>
        <w:t xml:space="preserve">разрешительном документе.</w:t>
      </w:r>
      <w:r/>
    </w:p>
    <w:p>
      <w:pPr>
        <w:pStyle w:val="862"/>
        <w:spacing w:after="240"/>
        <w:rPr>
          <w:rFonts w:ascii="Times New Roman" w:hAnsi="Times New Roman" w:eastAsia="Times New Roman" w:cs="Times New Roman"/>
          <w:b/>
          <w:bCs/>
          <w:color w:val="auto"/>
        </w:rPr>
      </w:pPr>
      <w:r/>
      <w:bookmarkStart w:id="6" w:name="_Toc173503364"/>
      <w:r>
        <w:rPr>
          <w:rFonts w:ascii="Times New Roman" w:hAnsi="Times New Roman" w:eastAsia="Times New Roman" w:cs="Times New Roman"/>
          <w:b/>
          <w:bCs/>
          <w:color w:val="auto"/>
        </w:rPr>
        <w:t xml:space="preserve">Общие требования</w:t>
      </w:r>
      <w:bookmarkEnd w:id="6"/>
      <w:r>
        <w:rPr>
          <w:rFonts w:ascii="Times New Roman" w:hAnsi="Times New Roman" w:eastAsia="Times New Roman" w:cs="Times New Roman"/>
          <w:b/>
          <w:bCs/>
          <w:color w:val="auto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>
      <w:pPr>
        <w:pStyle w:val="881"/>
      </w:pPr>
      <w:r>
        <w:t xml:space="preserve">Опасное место – техническое место</w:t>
      </w:r>
      <w:r>
        <w:t xml:space="preserve"> (</w:t>
      </w:r>
      <w:r>
        <w:rPr>
          <w:lang w:val="en-US"/>
        </w:rPr>
        <w:t xml:space="preserve">technical</w:t>
      </w:r>
      <w:r>
        <w:t xml:space="preserve">_</w:t>
      </w:r>
      <w:r>
        <w:rPr>
          <w:lang w:val="en-US"/>
        </w:rPr>
        <w:t xml:space="preserve">place</w:t>
      </w:r>
      <w:r>
        <w:t xml:space="preserve">)</w:t>
      </w:r>
      <w:r>
        <w:t xml:space="preserve"> или </w:t>
      </w:r>
      <w:r>
        <w:t xml:space="preserve">единица оборудования</w:t>
      </w:r>
      <w:r>
        <w:t xml:space="preserve"> (</w:t>
      </w:r>
      <w:r>
        <w:rPr>
          <w:lang w:val="en-US"/>
        </w:rPr>
        <w:t xml:space="preserve">equipments</w:t>
      </w:r>
      <w:r>
        <w:t xml:space="preserve">)</w:t>
      </w:r>
      <w:r>
        <w:t xml:space="preserve">, для которого в СОУР имеется специализированная отметка из СУПА – запись в таблице базы данных </w:t>
      </w:r>
      <w:r>
        <w:rPr>
          <w:lang w:val="en-US"/>
        </w:rPr>
        <w:t xml:space="preserve">dangerous</w:t>
      </w:r>
      <w:r>
        <w:t xml:space="preserve">_</w:t>
      </w:r>
      <w:r>
        <w:rPr>
          <w:lang w:val="en-US"/>
        </w:rPr>
        <w:t xml:space="preserve">place</w:t>
      </w:r>
      <w:r>
        <w:rPr>
          <w:lang w:val="en-US"/>
        </w:rPr>
        <w:t xml:space="preserve">s</w:t>
      </w:r>
      <w:r>
        <w:t xml:space="preserve"> с</w:t>
      </w:r>
      <w:r>
        <w:t xml:space="preserve"> информацией об:</w:t>
      </w:r>
      <w:r/>
    </w:p>
    <w:p>
      <w:pPr>
        <w:pStyle w:val="881"/>
        <w:numPr>
          <w:ilvl w:val="1"/>
          <w:numId w:val="16"/>
        </w:numPr>
        <w:ind w:left="0" w:firstLine="993"/>
      </w:pPr>
      <w:r>
        <w:t xml:space="preserve">ограничениях, накладываемых </w:t>
      </w:r>
      <w:r>
        <w:t xml:space="preserve">О</w:t>
      </w:r>
      <w:r>
        <w:t xml:space="preserve">пасным местом,</w:t>
      </w:r>
      <w:r/>
    </w:p>
    <w:p>
      <w:pPr>
        <w:pStyle w:val="881"/>
        <w:numPr>
          <w:ilvl w:val="1"/>
          <w:numId w:val="16"/>
        </w:numPr>
        <w:ind w:left="0" w:firstLine="993"/>
      </w:pPr>
      <w:r>
        <w:t xml:space="preserve">видом дефекта, характеризующим </w:t>
      </w:r>
      <w:r>
        <w:t xml:space="preserve">О</w:t>
      </w:r>
      <w:r>
        <w:t xml:space="preserve">пасное место.</w:t>
      </w:r>
      <w:r/>
    </w:p>
    <w:p>
      <w:pPr>
        <w:pStyle w:val="881"/>
      </w:pPr>
      <w:r>
        <w:t xml:space="preserve">На</w:t>
      </w:r>
      <w:r>
        <w:t xml:space="preserve">полнение таблицы Опасные места (</w:t>
      </w:r>
      <w:r>
        <w:rPr>
          <w:lang w:val="en-US"/>
        </w:rPr>
        <w:t xml:space="preserve">dangerous</w:t>
      </w:r>
      <w:r>
        <w:t xml:space="preserve">_</w:t>
      </w:r>
      <w:r>
        <w:rPr>
          <w:lang w:val="en-US"/>
        </w:rPr>
        <w:t xml:space="preserve">place</w:t>
      </w:r>
      <w:r>
        <w:rPr>
          <w:lang w:val="en-US"/>
        </w:rPr>
        <w:t xml:space="preserve">s</w:t>
      </w:r>
      <w:r>
        <w:t xml:space="preserve">)</w:t>
      </w:r>
      <w:r>
        <w:t xml:space="preserve"> </w:t>
      </w:r>
      <w:r>
        <w:t xml:space="preserve">для </w:t>
      </w:r>
      <w:r>
        <w:rPr>
          <w:b/>
          <w:bCs/>
        </w:rPr>
        <w:t xml:space="preserve">Центра</w:t>
      </w:r>
      <w:r>
        <w:t xml:space="preserve"> и </w:t>
      </w:r>
      <w:r>
        <w:rPr>
          <w:b/>
          <w:bCs/>
        </w:rPr>
        <w:t xml:space="preserve">ЦиП</w:t>
      </w:r>
      <w:r>
        <w:t xml:space="preserve"> происходит неодинаково.</w:t>
      </w:r>
      <w:r/>
    </w:p>
    <w:p>
      <w:pPr>
        <w:pStyle w:val="863"/>
        <w:rPr>
          <w:rFonts w:ascii="Times New Roman" w:hAnsi="Times New Roman" w:cs="Times New Roman"/>
          <w:b/>
          <w:bCs/>
          <w:color w:val="auto"/>
        </w:rPr>
      </w:pPr>
      <w:r/>
      <w:bookmarkStart w:id="7" w:name="_Toc173503365"/>
      <w:r>
        <w:rPr>
          <w:rFonts w:ascii="Times New Roman" w:hAnsi="Times New Roman" w:cs="Times New Roman"/>
          <w:b/>
          <w:bCs/>
          <w:color w:val="auto"/>
        </w:rPr>
        <w:t xml:space="preserve">Центр</w:t>
      </w:r>
      <w:r>
        <w:rPr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source_platform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 = center</w:t>
      </w:r>
      <w:r>
        <w:rPr>
          <w:rFonts w:ascii="Times New Roman" w:hAnsi="Times New Roman" w:cs="Times New Roman"/>
          <w:b/>
          <w:bCs/>
          <w:color w:val="auto"/>
        </w:rPr>
        <w:t xml:space="preserve">)</w:t>
      </w:r>
      <w:r>
        <w:rPr>
          <w:rFonts w:ascii="Times New Roman" w:hAnsi="Times New Roman" w:cs="Times New Roman"/>
          <w:b/>
          <w:bCs/>
          <w:color w:val="auto"/>
        </w:rPr>
        <w:t xml:space="preserve">.</w:t>
      </w:r>
      <w:bookmarkEnd w:id="7"/>
      <w:r>
        <w:rPr>
          <w:rFonts w:ascii="Times New Roman" w:hAnsi="Times New Roman" w:cs="Times New Roman"/>
          <w:b/>
          <w:bCs/>
          <w:color w:val="auto"/>
        </w:rPr>
      </w:r>
      <w:r>
        <w:rPr>
          <w:rFonts w:ascii="Times New Roman" w:hAnsi="Times New Roman" w:cs="Times New Roman"/>
          <w:b/>
          <w:bCs/>
          <w:color w:val="auto"/>
        </w:rPr>
      </w:r>
    </w:p>
    <w:p>
      <w:pPr>
        <w:pStyle w:val="881"/>
      </w:pPr>
      <w:r>
        <w:t xml:space="preserve">И</w:t>
      </w:r>
      <w:r>
        <w:t xml:space="preserve">нформаци</w:t>
      </w:r>
      <w:r>
        <w:t xml:space="preserve">я</w:t>
      </w:r>
      <w:r>
        <w:t xml:space="preserve"> об Опасных местах</w:t>
      </w:r>
      <w:r>
        <w:t xml:space="preserve"> приходит</w:t>
      </w:r>
      <w:r>
        <w:t xml:space="preserve"> единой сущностью, которая содержит в себе информацию:</w:t>
      </w:r>
      <w:r/>
    </w:p>
    <w:p>
      <w:pPr>
        <w:pStyle w:val="881"/>
        <w:numPr>
          <w:ilvl w:val="1"/>
          <w:numId w:val="16"/>
        </w:numPr>
        <w:ind w:left="0" w:firstLine="993"/>
      </w:pPr>
      <w:r>
        <w:t xml:space="preserve">Техническое место или единица оборудования, являющееся Опасным местом.</w:t>
      </w:r>
      <w:r/>
    </w:p>
    <w:p>
      <w:pPr>
        <w:pStyle w:val="881"/>
        <w:numPr>
          <w:ilvl w:val="1"/>
          <w:numId w:val="16"/>
        </w:numPr>
        <w:ind w:left="0" w:firstLine="993"/>
      </w:pPr>
      <w:r>
        <w:t xml:space="preserve">Ограничения,</w:t>
      </w:r>
      <w:r>
        <w:t xml:space="preserve"> накладываемые Опасным местом.</w:t>
      </w:r>
      <w:r>
        <w:t xml:space="preserve"> </w:t>
      </w:r>
      <w:r>
        <w:rPr>
          <w:b/>
          <w:bCs/>
        </w:rPr>
        <w:t xml:space="preserve">СУПА</w:t>
      </w:r>
      <w:r>
        <w:t xml:space="preserve"> </w:t>
      </w:r>
      <w:r>
        <w:rPr>
          <w:b/>
          <w:bCs/>
        </w:rPr>
        <w:t xml:space="preserve">м</w:t>
      </w:r>
      <w:r>
        <w:rPr>
          <w:b/>
          <w:bCs/>
        </w:rPr>
        <w:t xml:space="preserve">ожет п</w:t>
      </w:r>
      <w:r>
        <w:rPr>
          <w:b/>
          <w:bCs/>
        </w:rPr>
        <w:t xml:space="preserve">е</w:t>
      </w:r>
      <w:r>
        <w:rPr>
          <w:b/>
          <w:bCs/>
        </w:rPr>
        <w:t xml:space="preserve">р</w:t>
      </w:r>
      <w:r>
        <w:rPr>
          <w:b/>
          <w:bCs/>
        </w:rPr>
        <w:t xml:space="preserve">едать в виде</w:t>
      </w:r>
      <w:r>
        <w:rPr>
          <w:b/>
          <w:bCs/>
        </w:rPr>
        <w:t xml:space="preserve"> пуст</w:t>
      </w:r>
      <w:r>
        <w:rPr>
          <w:b/>
          <w:bCs/>
        </w:rPr>
        <w:t xml:space="preserve">ой</w:t>
      </w:r>
      <w:r>
        <w:rPr>
          <w:b/>
          <w:bCs/>
        </w:rPr>
        <w:t xml:space="preserve"> строк</w:t>
      </w:r>
      <w:r>
        <w:rPr>
          <w:b/>
          <w:bCs/>
        </w:rPr>
        <w:t xml:space="preserve">и</w:t>
      </w:r>
      <w:r>
        <w:rPr>
          <w:b/>
          <w:bCs/>
        </w:rPr>
        <w:t xml:space="preserve">.</w:t>
      </w:r>
      <w:r/>
    </w:p>
    <w:p>
      <w:pPr>
        <w:pStyle w:val="881"/>
        <w:numPr>
          <w:ilvl w:val="1"/>
          <w:numId w:val="16"/>
        </w:numPr>
        <w:ind w:left="0" w:firstLine="993"/>
      </w:pPr>
      <w:r>
        <w:t xml:space="preserve">Вид дефекта, </w:t>
      </w:r>
      <w:r>
        <w:t xml:space="preserve">характеризующий Опасное место.</w:t>
      </w:r>
      <w:r/>
    </w:p>
    <w:p>
      <w:pPr>
        <w:pStyle w:val="881"/>
      </w:pPr>
      <w:r>
        <w:t xml:space="preserve">Для исключения отображения устранён</w:t>
      </w:r>
      <w:r>
        <w:t xml:space="preserve">ных опасных мест дополнительно требуется доработка интеграционных потоков с целью получения статусов, на основании которых можно будет удалять информацию об опасных места из СОУР. До этого в СОУР будут отображаться все, когда-либо выявленные опасные места.</w:t>
      </w:r>
      <w:r/>
    </w:p>
    <w:p>
      <w:pPr>
        <w:pStyle w:val="881"/>
      </w:pPr>
      <w:r>
        <w:t xml:space="preserve">В СУПА Опасные места имеют статусы согласно таблице 1.</w:t>
      </w:r>
      <w:r/>
    </w:p>
    <w:p>
      <w:pPr>
        <w:pStyle w:val="881"/>
        <w:rPr>
          <w:b/>
          <w:bCs/>
        </w:rPr>
      </w:pPr>
      <w:r>
        <w:rPr>
          <w:b/>
          <w:bCs/>
        </w:rPr>
        <w:t xml:space="preserve">Таблица 1 – Статусы Опасных мест в Центре.</w:t>
      </w:r>
      <w:r>
        <w:rPr>
          <w:b/>
          <w:bCs/>
        </w:rPr>
      </w:r>
      <w:r>
        <w:rPr>
          <w:b/>
          <w:bCs/>
        </w:rPr>
      </w:r>
    </w:p>
    <w:tbl>
      <w:tblPr>
        <w:tblStyle w:val="880"/>
        <w:tblW w:w="9351" w:type="dxa"/>
        <w:tblLook w:val="04A0" w:firstRow="1" w:lastRow="0" w:firstColumn="1" w:lastColumn="0" w:noHBand="0" w:noVBand="1"/>
      </w:tblPr>
      <w:tblGrid>
        <w:gridCol w:w="988"/>
        <w:gridCol w:w="1134"/>
        <w:gridCol w:w="3118"/>
        <w:gridCol w:w="4104"/>
        <w:gridCol w:w="7"/>
      </w:tblGrid>
      <w:tr>
        <w:tblPrEx/>
        <w:trPr>
          <w:gridAfter w:val="1"/>
          <w:trHeight w:val="420"/>
        </w:trPr>
        <w:tc>
          <w:tcPr>
            <w:shd w:val="clear" w:color="auto" w:fill="bfbfbf" w:themeFill="background1" w:themeFillShade="BF"/>
            <w:tcW w:w="988" w:type="dxa"/>
            <w:vAlign w:val="center"/>
            <w:textDirection w:val="lrTb"/>
            <w:noWrap w:val="false"/>
          </w:tcPr>
          <w:p>
            <w:pPr>
              <w:pStyle w:val="881"/>
              <w:ind w:firstLine="0"/>
              <w:jc w:val="center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 xml:space="preserve">п.п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bfbfbf" w:themeFill="background1" w:themeFillShade="BF"/>
            <w:tcW w:w="1134" w:type="dxa"/>
            <w:vAlign w:val="center"/>
            <w:textDirection w:val="lrTb"/>
            <w:noWrap w:val="false"/>
          </w:tcPr>
          <w:p>
            <w:pPr>
              <w:pStyle w:val="881"/>
              <w:ind w:firstLine="0"/>
              <w:jc w:val="center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Статус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bfbfbf" w:themeFill="background1" w:themeFillShade="BF"/>
            <w:tcW w:w="3118" w:type="dxa"/>
            <w:vAlign w:val="center"/>
            <w:textDirection w:val="lrTb"/>
            <w:noWrap w:val="false"/>
          </w:tcPr>
          <w:p>
            <w:pPr>
              <w:pStyle w:val="881"/>
              <w:ind w:firstLine="0"/>
              <w:jc w:val="center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Краткое 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bfbfbf" w:themeFill="background1" w:themeFillShade="BF"/>
            <w:tcW w:w="4104" w:type="dxa"/>
            <w:vAlign w:val="center"/>
            <w:textDirection w:val="lrTb"/>
            <w:noWrap w:val="false"/>
          </w:tcPr>
          <w:p>
            <w:pPr>
              <w:pStyle w:val="881"/>
              <w:ind w:firstLine="0"/>
              <w:jc w:val="center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Отображение в СУПА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ОМ00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Создается</w:t>
            </w:r>
            <w:r/>
          </w:p>
        </w:tc>
        <w:tc>
          <w:tcPr>
            <w:gridSpan w:val="2"/>
            <w:tcW w:w="4111" w:type="dxa"/>
            <w:vMerge w:val="restart"/>
            <w:textDirection w:val="lrTb"/>
            <w:noWrap w:val="false"/>
          </w:tcPr>
          <w:p>
            <w:pPr>
              <w:pStyle w:val="881"/>
              <w:ind w:firstLine="0"/>
              <w:jc w:val="center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02743" cy="1836751"/>
                      <wp:effectExtent l="0" t="0" r="2540" b="0"/>
                      <wp:docPr id="1" name="Рисунок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rcRect l="0" t="4183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32877" cy="18607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81.32pt;height:144.63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ОМ01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Создано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ОМ02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Устранение запланировано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ОМ03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Не подлежит устранению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ОМ04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Устранено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ОМ05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Метка удаление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  <w:tr>
        <w:tblPrEx/>
        <w:trPr/>
        <w:tc>
          <w:tcPr>
            <w:tcW w:w="988" w:type="dxa"/>
            <w:textDirection w:val="lrTb"/>
            <w:noWrap w:val="false"/>
          </w:tcPr>
          <w:p>
            <w:pPr>
              <w:pStyle w:val="881"/>
              <w:numPr>
                <w:ilvl w:val="0"/>
                <w:numId w:val="21"/>
              </w:numPr>
              <w:ind w:left="454"/>
            </w:pPr>
            <w:r/>
            <w:r/>
          </w:p>
        </w:tc>
        <w:tc>
          <w:tcPr>
            <w:tcW w:w="1134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ОМ06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881"/>
              <w:ind w:firstLine="0"/>
            </w:pPr>
            <w:r>
              <w:t xml:space="preserve">Удаление подтверждено</w:t>
            </w:r>
            <w:r/>
          </w:p>
        </w:tc>
        <w:tc>
          <w:tcPr>
            <w:gridSpan w:val="2"/>
            <w:tcW w:w="4111" w:type="dxa"/>
            <w:vMerge w:val="continue"/>
            <w:textDirection w:val="lrTb"/>
            <w:noWrap w:val="false"/>
          </w:tcPr>
          <w:p>
            <w:pPr>
              <w:pStyle w:val="881"/>
              <w:ind w:firstLine="0"/>
            </w:pPr>
            <w:r/>
            <w:r/>
          </w:p>
        </w:tc>
      </w:tr>
    </w:tbl>
    <w:p>
      <w:pPr>
        <w:pStyle w:val="863"/>
      </w:pPr>
      <w:r/>
      <w:bookmarkStart w:id="8" w:name="_Toc173503366"/>
      <w:r>
        <w:rPr>
          <w:rFonts w:ascii="Times New Roman" w:hAnsi="Times New Roman" w:cs="Times New Roman"/>
          <w:b/>
          <w:bCs/>
          <w:color w:val="auto"/>
        </w:rPr>
        <w:t xml:space="preserve">ЦиП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(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source_platform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 = 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c</w:t>
      </w: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ip</w:t>
      </w:r>
      <w:r>
        <w:rPr>
          <w:rFonts w:ascii="Times New Roman" w:hAnsi="Times New Roman" w:cs="Times New Roman"/>
          <w:b/>
          <w:bCs/>
          <w:color w:val="auto"/>
        </w:rPr>
        <w:t xml:space="preserve">).</w:t>
      </w:r>
      <w:bookmarkEnd w:id="8"/>
      <w:r/>
      <w:r/>
    </w:p>
    <w:p>
      <w:pPr>
        <w:pStyle w:val="881"/>
      </w:pPr>
      <w:r>
        <w:t xml:space="preserve">И</w:t>
      </w:r>
      <w:r>
        <w:t xml:space="preserve">нформаци</w:t>
      </w:r>
      <w:r>
        <w:t xml:space="preserve">я</w:t>
      </w:r>
      <w:r>
        <w:t xml:space="preserve"> об Опасном месте</w:t>
      </w:r>
      <w:r>
        <w:t xml:space="preserve"> приходит</w:t>
      </w:r>
      <w:r>
        <w:t xml:space="preserve"> двумя способами:</w:t>
      </w:r>
      <w:r/>
    </w:p>
    <w:p>
      <w:pPr>
        <w:pStyle w:val="881"/>
        <w:numPr>
          <w:ilvl w:val="0"/>
          <w:numId w:val="17"/>
        </w:numPr>
        <w:ind w:left="0" w:firstLine="993"/>
      </w:pPr>
      <w:r>
        <w:t xml:space="preserve">В виде атрибутов измерения в потоке 3 «Передача признаков объектов эксплуатации» с полем </w:t>
      </w:r>
      <w:r>
        <w:t xml:space="preserve">integration_entity_id</w:t>
      </w:r>
      <w:r>
        <w:t xml:space="preserve"> = 'ZPM_TRAVMOOPASNOE_MESTO'</w:t>
      </w:r>
      <w:r>
        <w:t xml:space="preserve"> и значением измерения «Да»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.</w:t>
      </w:r>
      <w:r>
        <w:rPr>
          <w:lang w:val="en-US"/>
        </w:rPr>
        <w:t xml:space="preserve">value</w:t>
      </w:r>
      <w:r>
        <w:t xml:space="preserve">_</w:t>
      </w:r>
      <w:r>
        <w:rPr>
          <w:lang w:val="en-US"/>
        </w:rPr>
        <w:t xml:space="preserve">char</w:t>
      </w:r>
      <w:r>
        <w:t xml:space="preserve">)</w:t>
      </w:r>
      <w:r>
        <w:t xml:space="preserve">. Содержит в себе информацию:</w:t>
      </w:r>
      <w:r/>
    </w:p>
    <w:p>
      <w:pPr>
        <w:pStyle w:val="881"/>
        <w:numPr>
          <w:ilvl w:val="0"/>
          <w:numId w:val="18"/>
        </w:numPr>
        <w:ind w:left="0" w:firstLine="993"/>
      </w:pPr>
      <w:r>
        <w:t xml:space="preserve">Техническое место или единица оборудования, являющееся Опасным местом.</w:t>
      </w:r>
      <w:r/>
    </w:p>
    <w:p>
      <w:pPr>
        <w:pStyle w:val="881"/>
        <w:numPr>
          <w:ilvl w:val="0"/>
          <w:numId w:val="18"/>
        </w:numPr>
        <w:ind w:left="0" w:firstLine="993"/>
      </w:pPr>
      <w:r>
        <w:t xml:space="preserve">Наименование из справочника атрибутов. Всегда «Травмоопасное место». Наименование записывается как ограничение Опасного места (</w:t>
      </w:r>
      <w:r>
        <w:rPr>
          <w:lang w:val="en-US"/>
        </w:rPr>
        <w:t xml:space="preserve">dangerous_</w:t>
      </w:r>
      <w:r>
        <w:rPr>
          <w:lang w:val="en-US"/>
        </w:rPr>
        <w:t xml:space="preserve">places.constraint</w:t>
      </w:r>
      <w:r>
        <w:t xml:space="preserve">)</w:t>
      </w:r>
      <w:r>
        <w:rPr>
          <w:lang w:val="en-US"/>
        </w:rPr>
        <w:t xml:space="preserve">.</w:t>
      </w:r>
      <w:r>
        <w:t xml:space="preserve"> </w:t>
      </w:r>
      <w:r/>
    </w:p>
    <w:p>
      <w:pPr>
        <w:pStyle w:val="881"/>
        <w:numPr>
          <w:ilvl w:val="0"/>
          <w:numId w:val="17"/>
        </w:numPr>
        <w:ind w:left="0" w:firstLine="993"/>
      </w:pPr>
      <w:r>
        <w:t xml:space="preserve">В виде</w:t>
      </w:r>
      <w:r>
        <w:t xml:space="preserve"> </w:t>
      </w:r>
      <w:r>
        <w:t xml:space="preserve">одного из двух дефектов (0652 – «</w:t>
      </w:r>
      <w:r>
        <w:t xml:space="preserve">Подъем </w:t>
      </w:r>
      <w:r>
        <w:t xml:space="preserve">запрещен_нет</w:t>
      </w:r>
      <w:r>
        <w:t xml:space="preserve"> в ИС</w:t>
      </w:r>
      <w:r>
        <w:t xml:space="preserve">» или 0871 – «</w:t>
      </w:r>
      <w:r>
        <w:t xml:space="preserve">Шунт поврежденного разъединителя</w:t>
      </w:r>
      <w:r>
        <w:t xml:space="preserve">»), зафиксированных на техническом месте или единице оборудования</w:t>
      </w:r>
      <w:r>
        <w:t xml:space="preserve">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.</w:t>
      </w:r>
      <w:r>
        <w:rPr>
          <w:lang w:val="en-US"/>
        </w:rPr>
        <w:t xml:space="preserve">confirmed</w:t>
      </w:r>
      <w:r>
        <w:t xml:space="preserve"> = </w:t>
      </w:r>
      <w:r>
        <w:rPr>
          <w:lang w:val="en-US"/>
        </w:rPr>
        <w:t xml:space="preserve">true</w:t>
      </w:r>
      <w:r>
        <w:t xml:space="preserve">)</w:t>
      </w:r>
      <w:r>
        <w:t xml:space="preserve">. Содержит в себе:</w:t>
      </w:r>
      <w:r/>
    </w:p>
    <w:p>
      <w:pPr>
        <w:pStyle w:val="881"/>
        <w:numPr>
          <w:ilvl w:val="0"/>
          <w:numId w:val="19"/>
        </w:numPr>
        <w:ind w:left="0" w:firstLine="993"/>
      </w:pPr>
      <w:r>
        <w:t xml:space="preserve">Техническое место или единиц</w:t>
      </w:r>
      <w:r>
        <w:t xml:space="preserve">у</w:t>
      </w:r>
      <w:r>
        <w:t xml:space="preserve"> оборудования, являющ</w:t>
      </w:r>
      <w:r>
        <w:t xml:space="preserve">их</w:t>
      </w:r>
      <w:r>
        <w:t xml:space="preserve">ся Опасным местом.</w:t>
      </w:r>
      <w:r/>
    </w:p>
    <w:p>
      <w:pPr>
        <w:pStyle w:val="881"/>
        <w:numPr>
          <w:ilvl w:val="0"/>
          <w:numId w:val="19"/>
        </w:numPr>
        <w:ind w:left="0" w:firstLine="993"/>
      </w:pPr>
      <w:r>
        <w:t xml:space="preserve">Одно из двух н</w:t>
      </w:r>
      <w:r>
        <w:t xml:space="preserve">аименовани</w:t>
      </w:r>
      <w:r>
        <w:t xml:space="preserve">й</w:t>
      </w:r>
      <w:r>
        <w:t xml:space="preserve"> </w:t>
      </w:r>
      <w:r>
        <w:t xml:space="preserve">дефекта</w:t>
      </w:r>
      <w:r>
        <w:t xml:space="preserve">. </w:t>
      </w:r>
      <w:r>
        <w:t xml:space="preserve">З</w:t>
      </w:r>
      <w:r>
        <w:t xml:space="preserve">аписывается как ограничение Опасного места (</w:t>
      </w:r>
      <w:r>
        <w:rPr>
          <w:lang w:val="en-US"/>
        </w:rPr>
        <w:t xml:space="preserve">dangerous</w:t>
      </w:r>
      <w:r>
        <w:t xml:space="preserve">_</w:t>
      </w:r>
      <w:r>
        <w:rPr>
          <w:lang w:val="en-US"/>
        </w:rPr>
        <w:t xml:space="preserve">places</w:t>
      </w:r>
      <w:r>
        <w:t xml:space="preserve">.</w:t>
      </w:r>
      <w:r>
        <w:rPr>
          <w:lang w:val="en-US"/>
        </w:rPr>
        <w:t xml:space="preserve">constraint</w:t>
      </w:r>
      <w:r>
        <w:t xml:space="preserve">)</w:t>
      </w:r>
      <w:r>
        <w:t xml:space="preserve">.</w:t>
      </w:r>
      <w:r/>
    </w:p>
    <w:p>
      <w:pPr>
        <w:pStyle w:val="881"/>
        <w:ind w:firstLine="993"/>
      </w:pPr>
      <w:r>
        <w:t xml:space="preserve">Способ получения информации на уровне базы данных определяется по следующему условию:</w:t>
      </w:r>
      <w:r/>
    </w:p>
    <w:p>
      <w:pPr>
        <w:pStyle w:val="881"/>
        <w:ind w:firstLine="993"/>
      </w:pPr>
      <w:r>
        <w:rPr>
          <w:b/>
          <w:bCs/>
        </w:rPr>
        <w:t xml:space="preserve">ЕСЛИ</w:t>
      </w:r>
      <w:r>
        <w:rPr>
          <w:b/>
          <w:bCs/>
        </w:rPr>
        <w:t xml:space="preserve"> </w:t>
      </w:r>
      <w:r>
        <w:t xml:space="preserve">поле</w:t>
      </w:r>
      <w:r>
        <w:t xml:space="preserve"> </w:t>
      </w:r>
      <w:r>
        <w:rPr>
          <w:lang w:val="en-US"/>
        </w:rPr>
        <w:t xml:space="preserve">defect</w:t>
      </w:r>
      <w:r>
        <w:t xml:space="preserve">_</w:t>
      </w:r>
      <w:r>
        <w:rPr>
          <w:lang w:val="en-US"/>
        </w:rPr>
        <w:t xml:space="preserve">code</w:t>
      </w:r>
      <w:r>
        <w:t xml:space="preserve">_</w:t>
      </w:r>
      <w:r>
        <w:rPr>
          <w:lang w:val="en-US"/>
        </w:rPr>
        <w:t xml:space="preserve">id</w:t>
      </w:r>
      <w:r>
        <w:t xml:space="preserve"> </w:t>
      </w:r>
      <w:r>
        <w:t xml:space="preserve">пустое – первый способ, </w:t>
      </w:r>
      <w:r>
        <w:rPr>
          <w:b/>
          <w:bCs/>
        </w:rPr>
        <w:t xml:space="preserve">ИНАЧЕ </w:t>
      </w:r>
      <w:r>
        <w:t xml:space="preserve">второй способ.</w:t>
      </w:r>
      <w:r/>
    </w:p>
    <w:p>
      <w:pPr>
        <w:pStyle w:val="881"/>
        <w:ind w:firstLine="993"/>
      </w:pPr>
      <w:r>
        <w:t xml:space="preserve">Информация,</w:t>
      </w:r>
      <w:r>
        <w:t xml:space="preserve"> полученная в СОУР </w:t>
      </w:r>
      <w:r>
        <w:t xml:space="preserve">вторым способом,</w:t>
      </w:r>
      <w:r>
        <w:t xml:space="preserve"> </w:t>
      </w:r>
      <w:r>
        <w:t xml:space="preserve">считается более ценной. Поэтому:</w:t>
      </w:r>
      <w:r/>
    </w:p>
    <w:p>
      <w:pPr>
        <w:pStyle w:val="881"/>
        <w:numPr>
          <w:ilvl w:val="0"/>
          <w:numId w:val="20"/>
        </w:numPr>
        <w:ind w:left="851" w:firstLine="0"/>
      </w:pPr>
      <w:r>
        <w:rPr>
          <w:b/>
          <w:bCs/>
        </w:rPr>
        <w:t xml:space="preserve">ЕСЛИ</w:t>
      </w:r>
      <w:r>
        <w:t xml:space="preserve"> в СУОР присутствует информация об Опасном месте, полученная первым способом</w:t>
      </w:r>
      <w:r>
        <w:t xml:space="preserve">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)</w:t>
      </w:r>
      <w:r>
        <w:t xml:space="preserve">,</w:t>
      </w:r>
      <w:r/>
    </w:p>
    <w:p>
      <w:pPr>
        <w:pStyle w:val="881"/>
        <w:ind w:left="851" w:firstLine="0"/>
      </w:pPr>
      <w:r>
        <w:rPr>
          <w:b/>
          <w:bCs/>
        </w:rPr>
        <w:t xml:space="preserve">ЗАТЕМ</w:t>
      </w:r>
      <w:r>
        <w:t xml:space="preserve"> это же Опасное место </w:t>
      </w:r>
      <w:r>
        <w:t xml:space="preserve">приходит</w:t>
      </w:r>
      <w:r>
        <w:t xml:space="preserve"> из СУПА вторым способом</w:t>
      </w:r>
      <w:r>
        <w:t xml:space="preserve">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</w:t>
      </w:r>
      <w:r>
        <w:t xml:space="preserve">,</w:t>
      </w:r>
      <w:r/>
    </w:p>
    <w:p>
      <w:pPr>
        <w:pStyle w:val="881"/>
        <w:ind w:left="851" w:firstLine="0"/>
      </w:pPr>
      <w:r>
        <w:rPr>
          <w:b/>
          <w:bCs/>
        </w:rPr>
        <w:t xml:space="preserve">ТОГДА</w:t>
      </w:r>
      <w:r>
        <w:t xml:space="preserve"> Опасное место в СОУР будет перезаписано с новой информацией.</w:t>
      </w:r>
      <w:r/>
    </w:p>
    <w:p>
      <w:pPr>
        <w:pStyle w:val="881"/>
        <w:numPr>
          <w:ilvl w:val="0"/>
          <w:numId w:val="20"/>
        </w:numPr>
        <w:ind w:left="851" w:firstLine="0"/>
      </w:pPr>
      <w:r>
        <w:rPr>
          <w:b/>
          <w:bCs/>
        </w:rPr>
        <w:t xml:space="preserve">ЕСЛИ</w:t>
      </w:r>
      <w:r>
        <w:t xml:space="preserve"> в СУОР присутствует информация об Опасном месте, полученная вторым способом</w:t>
      </w:r>
      <w:r>
        <w:t xml:space="preserve">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</w:t>
      </w:r>
      <w:r>
        <w:t xml:space="preserve">,</w:t>
      </w:r>
      <w:r/>
    </w:p>
    <w:p>
      <w:pPr>
        <w:pStyle w:val="881"/>
        <w:ind w:left="851" w:firstLine="0"/>
      </w:pPr>
      <w:r>
        <w:rPr>
          <w:b/>
          <w:bCs/>
        </w:rPr>
        <w:t xml:space="preserve">ЗАТЕМ</w:t>
      </w:r>
      <w:r>
        <w:t xml:space="preserve"> это же Опасное место отправляется из СУПА первым способом</w:t>
      </w:r>
      <w:r>
        <w:t xml:space="preserve">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)</w:t>
      </w:r>
      <w:r>
        <w:t xml:space="preserve">,</w:t>
      </w:r>
      <w:r/>
    </w:p>
    <w:p>
      <w:pPr>
        <w:pStyle w:val="881"/>
        <w:ind w:left="851" w:firstLine="0"/>
      </w:pPr>
      <w:r>
        <w:rPr>
          <w:b/>
          <w:bCs/>
        </w:rPr>
        <w:t xml:space="preserve">ТОГДА</w:t>
      </w:r>
      <w:r>
        <w:t xml:space="preserve"> Опасное место не будет изменено.</w:t>
      </w:r>
      <w:r/>
    </w:p>
    <w:p>
      <w:pPr>
        <w:pStyle w:val="881"/>
      </w:pPr>
      <w:r>
        <w:t xml:space="preserve">По обоим способам целевой таблицей становится таблица Опасные места (</w:t>
      </w:r>
      <w:r>
        <w:rPr>
          <w:lang w:val="en-US"/>
        </w:rPr>
        <w:t xml:space="preserve">dangerous</w:t>
      </w:r>
      <w:r>
        <w:t xml:space="preserve">_</w:t>
      </w:r>
      <w:r>
        <w:rPr>
          <w:lang w:val="en-US"/>
        </w:rPr>
        <w:t xml:space="preserve">places</w:t>
      </w:r>
      <w:r>
        <w:t xml:space="preserve">), информация в таблицы Атрибуты измерения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)</w:t>
      </w:r>
      <w:r>
        <w:t xml:space="preserve"> </w:t>
      </w:r>
      <w:r>
        <w:t xml:space="preserve">и Зафиксированные дефекты </w:t>
      </w:r>
      <w:r>
        <w:t xml:space="preserve">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</w:t>
      </w:r>
      <w:r>
        <w:t xml:space="preserve"> </w:t>
      </w:r>
      <w:r>
        <w:t xml:space="preserve">дублироваться не будет.</w:t>
      </w:r>
      <w:r/>
    </w:p>
    <w:p>
      <w:pPr>
        <w:pStyle w:val="881"/>
      </w:pPr>
      <w:r>
        <w:t xml:space="preserve">Устранение Опасного места также</w:t>
      </w:r>
      <w:r>
        <w:t xml:space="preserve"> передается</w:t>
      </w:r>
      <w:r>
        <w:t xml:space="preserve"> двумя способами:</w:t>
      </w:r>
      <w:r/>
    </w:p>
    <w:p>
      <w:pPr>
        <w:pStyle w:val="881"/>
        <w:numPr>
          <w:ilvl w:val="0"/>
          <w:numId w:val="22"/>
        </w:numPr>
        <w:ind w:left="0" w:firstLine="851"/>
      </w:pPr>
      <w:r>
        <w:t xml:space="preserve">СУПА отправляет А</w:t>
      </w:r>
      <w:r>
        <w:t xml:space="preserve">трибут измерения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)</w:t>
      </w:r>
      <w:r>
        <w:t xml:space="preserve"> со </w:t>
      </w:r>
      <w:r>
        <w:t xml:space="preserve">значен</w:t>
      </w:r>
      <w:r>
        <w:t xml:space="preserve">ием</w:t>
      </w:r>
      <w:r>
        <w:t xml:space="preserve"> «Нет» или пустое поле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attributes</w:t>
      </w:r>
      <w:r>
        <w:t xml:space="preserve">.</w:t>
      </w:r>
      <w:r>
        <w:rPr>
          <w:lang w:val="en-US"/>
        </w:rPr>
        <w:t xml:space="preserve">value</w:t>
      </w:r>
      <w:r>
        <w:t xml:space="preserve">_</w:t>
      </w:r>
      <w:r>
        <w:rPr>
          <w:lang w:val="en-US"/>
        </w:rPr>
        <w:t xml:space="preserve">char</w:t>
      </w:r>
      <w:r>
        <w:t xml:space="preserve">)</w:t>
      </w:r>
      <w:r>
        <w:t xml:space="preserve">.</w:t>
      </w:r>
      <w:r>
        <w:t xml:space="preserve"> </w:t>
      </w:r>
      <w:r/>
    </w:p>
    <w:p>
      <w:pPr>
        <w:pStyle w:val="881"/>
        <w:numPr>
          <w:ilvl w:val="0"/>
          <w:numId w:val="22"/>
        </w:numPr>
        <w:ind w:left="0" w:firstLine="993"/>
      </w:pPr>
      <w:r>
        <w:t xml:space="preserve">Если это дефект, СУПА </w:t>
      </w:r>
      <w:r>
        <w:t xml:space="preserve">отправляет информацию об устранении дефекта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.</w:t>
      </w:r>
      <w:r>
        <w:rPr>
          <w:lang w:val="en-US"/>
        </w:rPr>
        <w:t xml:space="preserve">confirmed</w:t>
      </w:r>
      <w:r>
        <w:t xml:space="preserve"> = </w:t>
      </w:r>
      <w:r>
        <w:rPr>
          <w:lang w:val="en-US"/>
        </w:rPr>
        <w:t xml:space="preserve">false</w:t>
      </w:r>
      <w:r>
        <w:t xml:space="preserve">)</w:t>
      </w:r>
      <w:r>
        <w:t xml:space="preserve">. </w:t>
      </w:r>
      <w:r/>
    </w:p>
    <w:p>
      <w:pPr>
        <w:pStyle w:val="881"/>
      </w:pPr>
      <w:r>
        <w:t xml:space="preserve">Так как информация, полученная в СОУР вторым способом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), считается более ценной. Поэтому:</w:t>
      </w:r>
      <w:r/>
    </w:p>
    <w:p>
      <w:pPr>
        <w:pStyle w:val="881"/>
        <w:numPr>
          <w:ilvl w:val="0"/>
          <w:numId w:val="23"/>
        </w:numPr>
        <w:ind w:left="851" w:firstLine="0"/>
      </w:pPr>
      <w:r>
        <w:rPr>
          <w:b/>
          <w:bCs/>
        </w:rPr>
        <w:t xml:space="preserve">ЕСЛИ</w:t>
      </w:r>
      <w:r>
        <w:t xml:space="preserve"> в СУОР присутствует информация об Опасном месте, полученная вторым способом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),</w:t>
      </w:r>
      <w:r/>
    </w:p>
    <w:p>
      <w:pPr>
        <w:pStyle w:val="881"/>
        <w:ind w:left="851" w:firstLine="0"/>
      </w:pPr>
      <w:r>
        <w:rPr>
          <w:b/>
          <w:bCs/>
        </w:rPr>
        <w:t xml:space="preserve">ЗАТЕМ</w:t>
      </w:r>
      <w:r>
        <w:t xml:space="preserve"> по этому же Опасному месту приходит из СУПА информация об устранении первым способом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points</w:t>
      </w:r>
      <w:r>
        <w:t xml:space="preserve">),</w:t>
      </w:r>
      <w:r/>
    </w:p>
    <w:p>
      <w:pPr>
        <w:pStyle w:val="881"/>
        <w:ind w:left="851" w:firstLine="0"/>
      </w:pPr>
      <w:r>
        <w:rPr>
          <w:b/>
          <w:bCs/>
        </w:rPr>
        <w:t xml:space="preserve">ТОГДА</w:t>
      </w:r>
      <w:r>
        <w:t xml:space="preserve"> Опасное место в СОУР сохраняется до получения информации об устранении вторым способом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).</w:t>
      </w:r>
      <w:r/>
    </w:p>
    <w:p>
      <w:pPr>
        <w:pStyle w:val="881"/>
        <w:numPr>
          <w:ilvl w:val="0"/>
          <w:numId w:val="23"/>
        </w:numPr>
        <w:ind w:left="851" w:firstLine="0"/>
      </w:pPr>
      <w:r>
        <w:rPr>
          <w:b/>
          <w:bCs/>
        </w:rPr>
        <w:t xml:space="preserve">ЕСЛИ</w:t>
      </w:r>
      <w:r>
        <w:t xml:space="preserve"> в СУОР присутствует информация об Опасном месте, полученная первым способом (</w:t>
      </w:r>
      <w:r>
        <w:rPr>
          <w:lang w:val="en-US"/>
        </w:rPr>
        <w:t xml:space="preserve">measurement</w:t>
      </w:r>
      <w:r>
        <w:t xml:space="preserve">_</w:t>
      </w:r>
      <w:r>
        <w:rPr>
          <w:lang w:val="en-US"/>
        </w:rPr>
        <w:t xml:space="preserve">points</w:t>
      </w:r>
      <w:r>
        <w:t xml:space="preserve">),</w:t>
      </w:r>
      <w:r/>
    </w:p>
    <w:p>
      <w:pPr>
        <w:pStyle w:val="881"/>
        <w:ind w:left="851" w:firstLine="0"/>
      </w:pPr>
      <w:r>
        <w:rPr>
          <w:b/>
          <w:bCs/>
        </w:rPr>
        <w:t xml:space="preserve">ЗАТЕМ</w:t>
      </w:r>
      <w:r>
        <w:t xml:space="preserve"> по этому же Опасному месту приходит из СУПА информация об устранении вторым способом (</w:t>
      </w:r>
      <w:r>
        <w:rPr>
          <w:lang w:val="en-US"/>
        </w:rPr>
        <w:t xml:space="preserve">detected</w:t>
      </w:r>
      <w:r>
        <w:t xml:space="preserve">_</w:t>
      </w:r>
      <w:r>
        <w:rPr>
          <w:lang w:val="en-US"/>
        </w:rPr>
        <w:t xml:space="preserve">defects</w:t>
      </w:r>
      <w:r>
        <w:t xml:space="preserve">),</w:t>
      </w:r>
      <w:r/>
    </w:p>
    <w:p>
      <w:pPr>
        <w:pStyle w:val="881"/>
        <w:ind w:left="851" w:firstLine="0"/>
      </w:pPr>
      <w:r>
        <w:rPr>
          <w:b/>
          <w:bCs/>
        </w:rPr>
        <w:t xml:space="preserve">ТОГДА</w:t>
      </w:r>
      <w:r>
        <w:t xml:space="preserve"> Опасное место в СОУР удаляется.</w:t>
      </w:r>
      <w:r/>
    </w:p>
    <w:p>
      <w:pPr>
        <w:pStyle w:val="862"/>
        <w:spacing w:after="240"/>
        <w:rPr>
          <w:rFonts w:ascii="Times New Roman" w:hAnsi="Times New Roman" w:eastAsia="Times New Roman" w:cs="Times New Roman"/>
          <w:b/>
          <w:bCs/>
          <w:color w:val="auto"/>
        </w:rPr>
      </w:pPr>
      <w:r/>
      <w:bookmarkStart w:id="9" w:name="_Копирование_разрешительных_документ"/>
      <w:r/>
      <w:bookmarkStart w:id="10" w:name="_Toc173503367"/>
      <w:r/>
      <w:bookmarkEnd w:id="9"/>
      <w:r>
        <w:rPr>
          <w:rFonts w:ascii="Times New Roman" w:hAnsi="Times New Roman" w:eastAsia="Times New Roman" w:cs="Times New Roman"/>
          <w:b/>
          <w:bCs/>
          <w:color w:val="auto"/>
        </w:rPr>
        <w:t xml:space="preserve">Прототип</w:t>
      </w:r>
      <w:bookmarkEnd w:id="10"/>
      <w:r>
        <w:rPr>
          <w:rFonts w:ascii="Times New Roman" w:hAnsi="Times New Roman" w:eastAsia="Times New Roman" w:cs="Times New Roman"/>
          <w:b/>
          <w:bCs/>
          <w:color w:val="auto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>
      <w:pPr>
        <w:pStyle w:val="881"/>
      </w:pPr>
      <w:r>
        <w:t xml:space="preserve">Объекты эксплуатации, для которых в СОУР имеются Опасные места или в составе которых имеются дочерние технические места и единицы оборудования, для которых имеются Опасные места, визуально отмечаются в разрешительных документах всех типов</w:t>
      </w:r>
      <w:r>
        <w:t xml:space="preserve"> и во всех статусах</w:t>
      </w:r>
      <w:r>
        <w:t xml:space="preserve">.</w:t>
      </w:r>
      <w:r/>
    </w:p>
    <w:p>
      <w:pPr>
        <w:pStyle w:val="881"/>
      </w:pPr>
      <w:r>
        <w:t xml:space="preserve">Визуальная отметка отображается в веб-приложении и в мобильном приложении в блоках «Поручается» и «Мероприятия по подготовке рабочих мест».</w:t>
      </w:r>
      <w:r/>
    </w:p>
    <w:p>
      <w:pPr>
        <w:pStyle w:val="881"/>
      </w:pPr>
      <w:r>
        <w:t xml:space="preserve">Подробная информация об Опасном месте отображается в отдельном окне, которое содержит в себе иерархию технических мест и единиц оборудования и их:</w:t>
      </w:r>
      <w:r/>
    </w:p>
    <w:p>
      <w:pPr>
        <w:pStyle w:val="881"/>
        <w:numPr>
          <w:ilvl w:val="0"/>
          <w:numId w:val="7"/>
        </w:numPr>
        <w:ind w:left="0" w:firstLine="851"/>
      </w:pPr>
      <w:r>
        <w:t xml:space="preserve">Ограничения, накладываемые Опасным местом (</w:t>
      </w:r>
      <w:r>
        <w:rPr>
          <w:lang w:val="en-US"/>
        </w:rPr>
        <w:t xml:space="preserve">dangerous</w:t>
      </w:r>
      <w:r>
        <w:t xml:space="preserve">_</w:t>
      </w:r>
      <w:r>
        <w:rPr>
          <w:lang w:val="en-US"/>
        </w:rPr>
        <w:t xml:space="preserve">places</w:t>
      </w:r>
      <w:r>
        <w:t xml:space="preserve">.</w:t>
      </w:r>
      <w:r>
        <w:rPr>
          <w:lang w:val="en-US"/>
        </w:rPr>
        <w:t xml:space="preserve">constraint</w:t>
      </w:r>
      <w:r>
        <w:t xml:space="preserve">) Например: «Подъем на опору запрещен».</w:t>
      </w:r>
      <w:r/>
    </w:p>
    <w:p>
      <w:pPr>
        <w:pStyle w:val="881"/>
        <w:numPr>
          <w:ilvl w:val="0"/>
          <w:numId w:val="7"/>
        </w:numPr>
        <w:ind w:left="0" w:firstLine="851"/>
      </w:pPr>
      <w:r>
        <w:t xml:space="preserve">Вид</w:t>
      </w:r>
      <w:r>
        <w:rPr>
          <w:lang w:val="en-US"/>
        </w:rPr>
        <w:t xml:space="preserve"> </w:t>
      </w:r>
      <w:r>
        <w:t xml:space="preserve">дефекта</w:t>
      </w:r>
      <w:r>
        <w:rPr>
          <w:lang w:val="en-US"/>
        </w:rPr>
        <w:t xml:space="preserve"> (</w:t>
      </w:r>
      <w:r>
        <w:rPr>
          <w:lang w:val="en-US"/>
        </w:rPr>
        <w:t xml:space="preserve">dangerous_</w:t>
      </w:r>
      <w:r>
        <w:rPr>
          <w:lang w:val="en-US"/>
        </w:rPr>
        <w:t xml:space="preserve">places.defect</w:t>
      </w:r>
      <w:r>
        <w:rPr>
          <w:lang w:val="en-US"/>
        </w:rPr>
        <w:t xml:space="preserve">_code_id</w:t>
      </w:r>
      <w:r>
        <w:rPr>
          <w:lang w:val="en-US"/>
        </w:rPr>
        <w:t xml:space="preserve">).</w:t>
      </w:r>
      <w:r>
        <w:rPr>
          <w:lang w:val="en-US"/>
        </w:rPr>
        <w:t xml:space="preserve"> </w:t>
      </w:r>
      <w:r>
        <w:t xml:space="preserve">Например: «Поперечный наклон </w:t>
      </w:r>
      <w:r>
        <w:t xml:space="preserve">опоры &gt;</w:t>
      </w:r>
      <w:r>
        <w:t xml:space="preserve"> 0,5 м».</w:t>
      </w:r>
      <w:r/>
    </w:p>
    <w:p>
      <w:pPr>
        <w:pStyle w:val="881"/>
      </w:pPr>
      <w:r>
        <w:t xml:space="preserve">Исторические данные не сохраняются</w:t>
      </w:r>
      <w:r>
        <w:t xml:space="preserve">:</w:t>
      </w:r>
      <w:r/>
    </w:p>
    <w:p>
      <w:pPr>
        <w:pStyle w:val="881"/>
        <w:ind w:left="851" w:firstLine="0"/>
      </w:pPr>
      <w:r>
        <w:rPr>
          <w:b/>
          <w:bCs/>
        </w:rPr>
        <w:t xml:space="preserve">ЕСЛИ</w:t>
      </w:r>
      <w:r>
        <w:t xml:space="preserve"> работе по разрешительному документу у объекта эксплуатации было Опасное место,</w:t>
      </w:r>
      <w:r/>
    </w:p>
    <w:p>
      <w:pPr>
        <w:pStyle w:val="881"/>
        <w:ind w:left="851" w:firstLine="0"/>
      </w:pPr>
      <w:r>
        <w:rPr>
          <w:b/>
          <w:bCs/>
        </w:rPr>
        <w:t xml:space="preserve">И</w:t>
      </w:r>
      <w:r>
        <w:t xml:space="preserve"> оно визуально отмечалось в интерфейсе</w:t>
      </w:r>
      <w:r>
        <w:t xml:space="preserve">,</w:t>
      </w:r>
      <w:r/>
    </w:p>
    <w:p>
      <w:pPr>
        <w:pStyle w:val="881"/>
        <w:ind w:left="851" w:firstLine="0"/>
      </w:pPr>
      <w:r>
        <w:rPr>
          <w:b/>
          <w:bCs/>
        </w:rPr>
        <w:t xml:space="preserve">А</w:t>
      </w:r>
      <w:r>
        <w:t xml:space="preserve"> затем было устранено и удалено.</w:t>
      </w:r>
      <w:r/>
    </w:p>
    <w:p>
      <w:pPr>
        <w:pStyle w:val="881"/>
        <w:ind w:left="851" w:firstLine="0"/>
      </w:pPr>
      <w:r>
        <w:rPr>
          <w:b/>
          <w:bCs/>
        </w:rPr>
        <w:t xml:space="preserve">ТОГДА</w:t>
      </w:r>
      <w:r>
        <w:t xml:space="preserve"> при просмотре этого же разрешительного документа </w:t>
      </w:r>
      <w:r>
        <w:t xml:space="preserve">после устранения</w:t>
      </w:r>
      <w:r>
        <w:t xml:space="preserve"> Опасно</w:t>
      </w:r>
      <w:r>
        <w:t xml:space="preserve">го</w:t>
      </w:r>
      <w:r>
        <w:t xml:space="preserve"> мест</w:t>
      </w:r>
      <w:r>
        <w:t xml:space="preserve">а, отметка</w:t>
      </w:r>
      <w:r>
        <w:t xml:space="preserve"> не отображается.</w:t>
      </w:r>
      <w:r/>
    </w:p>
    <w:p>
      <w:pPr>
        <w:pStyle w:val="881"/>
      </w:pPr>
      <w:r/>
      <w:r/>
    </w:p>
    <w:p>
      <w:pPr>
        <w:pStyle w:val="86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11" w:name="_Toc17350336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Веб-приложение</w:t>
      </w:r>
      <w:bookmarkEnd w:id="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5422588"/>
                <wp:effectExtent l="19050" t="19050" r="9525" b="26034"/>
                <wp:docPr id="2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11" r="0" b="1093"/>
                        <a:stretch/>
                      </pic:blipFill>
                      <pic:spPr bwMode="auto">
                        <a:xfrm>
                          <a:off x="0" y="0"/>
                          <a:ext cx="5100309" cy="5447671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99.75pt;height:426.98pt;mso-wrap-distance-left:0.00pt;mso-wrap-distance-top:0.00pt;mso-wrap-distance-right:0.00pt;mso-wrap-distance-bottom:0.00pt;" strokecolor="#000000" strokeweight="0.50pt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1"/>
        <w:jc w:val="center"/>
        <w:rPr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 xml:space="preserve">1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Вкладка «Основное» разрешительного документа</w:t>
      </w:r>
      <w:r>
        <w:rPr>
          <w:bCs/>
        </w:rPr>
      </w:r>
      <w:r>
        <w:rPr>
          <w:bCs/>
        </w:rPr>
      </w:r>
    </w:p>
    <w:p>
      <w:pPr>
        <w:ind w:firstLine="708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Описание элементов интерфейса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веб-приложения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добавленных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вкладку «Основное»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разрешительн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документ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0"/>
        <w:tblW w:w="0" w:type="auto"/>
        <w:tblLook w:val="04A0" w:firstRow="1" w:lastRow="0" w:firstColumn="1" w:lastColumn="0" w:noHBand="0" w:noVBand="1"/>
      </w:tblPr>
      <w:tblGrid>
        <w:gridCol w:w="1645"/>
        <w:gridCol w:w="3384"/>
        <w:gridCol w:w="2208"/>
        <w:gridCol w:w="2107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W w:w="164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Название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33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20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Таблиц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1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Поле 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«Опасные места»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8150" cy="382385"/>
                      <wp:effectExtent l="0" t="0" r="0" b="0"/>
                      <wp:docPr id="3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2897" cy="3865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34.50pt;height:30.11pt;mso-wrap-distance-left:0.00pt;mso-wrap-distance-top:0.00pt;mso-wrap-distance-right:0.00pt;mso-wrap-distance-bottom:0.00pt;" stroked="f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8"/>
              </w:numPr>
              <w:ind w:left="233"/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в блоках «Поручается» и «Мероприятия по подготовке рабочих мест».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8"/>
              </w:numPr>
              <w:ind w:left="233"/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для тех объектов эксплуатации, для которых в СОУР имеется информация о наличии Опасного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8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нажатии открывает модальное окно «Опасные места»</w:t>
            </w:r>
            <w:r>
              <w:rPr>
                <w:rFonts w:ascii="Times New Roman" w:hAnsi="Times New Roman" w:cs="Times New Roman"/>
              </w:rPr>
              <w:t xml:space="preserve"> (рисун</w:t>
            </w:r>
            <w:r>
              <w:rPr>
                <w:rFonts w:ascii="Times New Roman" w:hAnsi="Times New Roman" w:cs="Times New Roman"/>
              </w:rPr>
              <w:t xml:space="preserve">о</w:t>
            </w:r>
            <w:r>
              <w:rPr>
                <w:rFonts w:ascii="Times New Roman" w:hAnsi="Times New Roman" w:cs="Times New Roman"/>
              </w:rPr>
              <w:t xml:space="preserve">к 2</w:t>
            </w:r>
            <w:r>
              <w:rPr>
                <w:rFonts w:ascii="Times New Roman" w:hAnsi="Times New Roman" w:cs="Times New Roman"/>
              </w:rPr>
              <w:t xml:space="preserve">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3813" cy="2228962"/>
                <wp:effectExtent l="19050" t="19050" r="24130" b="19050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43813" cy="2228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8.65pt;height:175.51pt;mso-wrap-distance-left:0.00pt;mso-wrap-distance-top:0.00pt;mso-wrap-distance-right:0.00pt;mso-wrap-distance-bottom:0.00pt;" strokecolor="#000000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1"/>
        <w:jc w:val="center"/>
      </w:pPr>
      <w:r>
        <w:rPr>
          <w:b/>
          <w:bCs/>
        </w:rPr>
        <w:t xml:space="preserve">Рисунок </w:t>
      </w:r>
      <w:r>
        <w:rPr>
          <w:b/>
          <w:bCs/>
        </w:rPr>
        <w:t xml:space="preserve">2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Модальное окно «Опасные места</w:t>
      </w:r>
      <w:r>
        <w:rPr>
          <w:b/>
          <w:bCs/>
        </w:rPr>
        <w:t xml:space="preserve">»</w:t>
      </w:r>
      <w:r>
        <w:rPr>
          <w:b/>
          <w:bCs/>
        </w:rPr>
        <w:t xml:space="preserve">.</w:t>
      </w:r>
      <w:r/>
    </w:p>
    <w:p>
      <w:pPr>
        <w:ind w:firstLine="708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элементов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интерфейса модального окна «Опасные места»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0"/>
        <w:tblW w:w="0" w:type="auto"/>
        <w:tblLook w:val="04A0" w:firstRow="1" w:lastRow="0" w:firstColumn="1" w:lastColumn="0" w:noHBand="0" w:noVBand="1"/>
      </w:tblPr>
      <w:tblGrid>
        <w:gridCol w:w="1645"/>
        <w:gridCol w:w="3384"/>
        <w:gridCol w:w="2208"/>
        <w:gridCol w:w="2107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W w:w="164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Название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33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20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Таблиц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1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Поле 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Опасные места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ind w:left="-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редактируемое текстовое поле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закрыть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3850" cy="318067"/>
                      <wp:effectExtent l="0" t="0" r="0" b="6350"/>
                      <wp:docPr id="5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5069" cy="3192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25.50pt;height:25.04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ind w:left="-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Закрывает модальное окно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Объект эксплуатации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9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Иерархия комплексного технического места.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 умолчанию раскрыта полностью.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9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Отображаются только те комплексные места и единицы оборудования, для которых (или в составе которых) в СОУР имеется информация об Опасном месте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9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Технические места и единицы оборудования, которые являются Опасным местом помечаются знаком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6247" cy="286247"/>
                      <wp:effectExtent l="0" t="0" r="0" b="0"/>
                      <wp:docPr id="6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7578" cy="297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22.54pt;height:22.54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 и указываются на желтом фоне, </w:t>
            </w:r>
            <w:r>
              <w:rPr>
                <w:rFonts w:ascii="Times New Roman" w:hAnsi="Times New Roman" w:cs="Times New Roman"/>
              </w:rPr>
              <w:t xml:space="preserve">цветовая индикация необходима </w:t>
            </w:r>
            <w:r>
              <w:rPr>
                <w:rFonts w:ascii="Times New Roman" w:hAnsi="Times New Roman" w:cs="Times New Roman"/>
              </w:rPr>
              <w:t xml:space="preserve">т.к. в СУПА не все Опасные места имеют информацию об ограничениях и дефектах.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technical_place_id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equipments_id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Ограничение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1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Ограничение, накладываемые на техническое место или единицу оборудования.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0"/>
              </w:numPr>
              <w:ind w:left="23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напротив того технического места или единицы оборудования, которое является Опасным местом.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constraint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Дефект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0"/>
              </w:numPr>
              <w:ind w:left="23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Дефект, который послужил причиной для добавления технического места или единицы оборудования в качестве Опасного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0"/>
              </w:numPr>
              <w:ind w:left="23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напротив того технического места или единицы оборудования, которое является Опасным местом.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defect_code_id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r/>
      <w:r/>
    </w:p>
    <w:p>
      <w:r>
        <w:br w:type="page" w:clear="all"/>
      </w:r>
      <w:r/>
    </w:p>
    <w:p>
      <w:pPr>
        <w:pStyle w:val="863"/>
        <w:rPr>
          <w:rFonts w:ascii="Times New Roman" w:hAnsi="Times New Roman" w:cs="Times New Roman"/>
          <w:b/>
          <w:bCs/>
          <w:color w:val="auto"/>
        </w:rPr>
      </w:pPr>
      <w:r/>
      <w:bookmarkStart w:id="12" w:name="_Toc173503369"/>
      <w:r>
        <w:rPr>
          <w:rFonts w:ascii="Times New Roman" w:hAnsi="Times New Roman" w:cs="Times New Roman"/>
          <w:b/>
          <w:bCs/>
          <w:color w:val="auto"/>
        </w:rPr>
        <w:t xml:space="preserve">Мобильное приложение</w:t>
      </w:r>
      <w:bookmarkEnd w:id="12"/>
      <w:r>
        <w:rPr>
          <w:rFonts w:ascii="Times New Roman" w:hAnsi="Times New Roman" w:cs="Times New Roman"/>
          <w:b/>
          <w:bCs/>
          <w:color w:val="auto"/>
        </w:rPr>
      </w:r>
      <w:r>
        <w:rPr>
          <w:rFonts w:ascii="Times New Roman" w:hAnsi="Times New Roman" w:cs="Times New Roman"/>
          <w:b/>
          <w:bCs/>
          <w:color w:val="auto"/>
        </w:rPr>
      </w:r>
    </w:p>
    <w:p>
      <w:r/>
      <w:r/>
    </w:p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94494" cy="3574518"/>
                <wp:effectExtent l="19050" t="19050" r="15875" b="26034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5019" t="15734" r="5537" b="33158"/>
                        <a:stretch/>
                      </pic:blipFill>
                      <pic:spPr bwMode="auto">
                        <a:xfrm>
                          <a:off x="0" y="0"/>
                          <a:ext cx="3014072" cy="35978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35.79pt;height:281.46pt;mso-wrap-distance-left:0.00pt;mso-wrap-distance-top:0.00pt;mso-wrap-distance-right:0.00pt;mso-wrap-distance-bottom:0.00pt;" strokecolor="#000000" strokeweight="0.75pt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1"/>
        <w:jc w:val="center"/>
        <w:rPr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 xml:space="preserve">3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Вкладка «Основное» разрешительного документа</w:t>
      </w:r>
      <w:r>
        <w:rPr>
          <w:bCs/>
        </w:rPr>
      </w:r>
      <w:r>
        <w:rPr>
          <w:bCs/>
        </w:rPr>
      </w:r>
    </w:p>
    <w:p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элементов интерфейса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мобильного-приложения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добавленных на вкладку «Основное»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разрешительн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документ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0"/>
        <w:tblW w:w="0" w:type="auto"/>
        <w:tblLook w:val="04A0" w:firstRow="1" w:lastRow="0" w:firstColumn="1" w:lastColumn="0" w:noHBand="0" w:noVBand="1"/>
      </w:tblPr>
      <w:tblGrid>
        <w:gridCol w:w="1645"/>
        <w:gridCol w:w="3384"/>
        <w:gridCol w:w="2208"/>
        <w:gridCol w:w="2107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W w:w="164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Название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33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20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Таблиц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1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Поле 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shd w:val="clear" w:color="auto" w:fill="auto"/>
            <w:tcW w:w="164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«Опасные места»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8150" cy="382385"/>
                      <wp:effectExtent l="0" t="0" r="0" b="0"/>
                      <wp:docPr id="8" name="Рисунок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2897" cy="3865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width:34.50pt;height:30.11pt;mso-wrap-distance-left:0.00pt;mso-wrap-distance-top:0.00pt;mso-wrap-distance-right:0.00pt;mso-wrap-distance-bottom:0.00pt;" stroked="f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384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2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Фон объекта эксплуатации заливается желтым цветом и отображается визуальная пометка.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2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в блоках «Поручается» и «Мероприятия по подготовке рабочих мест».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2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для тех объектов эксплуатации, для которых в СОУР имеется информация о наличии Опасного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2"/>
              </w:numPr>
              <w:ind w:left="23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нажатии открывает </w:t>
            </w:r>
            <w:r>
              <w:rPr>
                <w:rFonts w:ascii="Times New Roman" w:hAnsi="Times New Roman" w:cs="Times New Roman"/>
              </w:rPr>
              <w:t xml:space="preserve">полноценное</w:t>
            </w:r>
            <w:r>
              <w:rPr>
                <w:rFonts w:ascii="Times New Roman" w:hAnsi="Times New Roman" w:cs="Times New Roman"/>
              </w:rPr>
              <w:t xml:space="preserve"> окно «Опасные места»</w:t>
            </w:r>
            <w:r>
              <w:rPr>
                <w:rFonts w:ascii="Times New Roman" w:hAnsi="Times New Roman" w:cs="Times New Roman"/>
              </w:rPr>
              <w:t xml:space="preserve"> (рисун</w:t>
            </w:r>
            <w:r>
              <w:rPr>
                <w:rFonts w:ascii="Times New Roman" w:hAnsi="Times New Roman" w:cs="Times New Roman"/>
              </w:rPr>
              <w:t xml:space="preserve">о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  <w:t xml:space="preserve">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22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23759" cy="3862788"/>
                <wp:effectExtent l="19050" t="19050" r="15240" b="23495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041791" name="Рисунок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223758" cy="38627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53.84pt;height:304.16pt;mso-wrap-distance-left:0.00pt;mso-wrap-distance-top:0.00pt;mso-wrap-distance-right:0.00pt;mso-wrap-distance-bottom:0.00pt;" strokecolor="#000000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1"/>
        <w:jc w:val="center"/>
        <w:spacing w:line="240" w:lineRule="auto"/>
        <w:rPr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 xml:space="preserve">4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Окно «Опасные места»</w:t>
      </w:r>
      <w:r>
        <w:rPr>
          <w:b/>
          <w:bCs/>
        </w:rPr>
        <w:t xml:space="preserve">.</w:t>
      </w:r>
      <w:r>
        <w:rPr>
          <w:bCs/>
        </w:rPr>
      </w:r>
      <w:r>
        <w:rPr>
          <w:bCs/>
        </w:rPr>
      </w:r>
    </w:p>
    <w:p>
      <w:pPr>
        <w:ind w:firstLine="708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элементов интерфейса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мобильного-приложения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окно «Опасные места»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0"/>
        <w:tblW w:w="0" w:type="auto"/>
        <w:tblLook w:val="04A0" w:firstRow="1" w:lastRow="0" w:firstColumn="1" w:lastColumn="0" w:noHBand="0" w:noVBand="1"/>
      </w:tblPr>
      <w:tblGrid>
        <w:gridCol w:w="2047"/>
        <w:gridCol w:w="3618"/>
        <w:gridCol w:w="1812"/>
        <w:gridCol w:w="1867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W w:w="20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Название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36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Описание элемента интерфейса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181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Таблиц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18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Поле БД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shd w:val="clear" w:color="auto" w:fill="auto"/>
            <w:tcW w:w="204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Опасные места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618" w:type="dxa"/>
            <w:vAlign w:val="center"/>
            <w:textDirection w:val="lrTb"/>
            <w:noWrap w:val="false"/>
          </w:tcPr>
          <w:p>
            <w:pPr>
              <w:pStyle w:val="874"/>
              <w:ind w:left="-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редактируемое текстовое поле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181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18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auto" w:fill="auto"/>
            <w:tcW w:w="204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назад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4442" cy="258998"/>
                      <wp:effectExtent l="0" t="0" r="0" b="8255"/>
                      <wp:docPr id="10" name="Рисунок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9009" cy="2636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9" o:spid="_x0000_s9" type="#_x0000_t75" style="width:20.03pt;height:20.39pt;mso-wrap-distance-left:0.00pt;mso-wrap-distance-top:0.00pt;mso-wrap-distance-right:0.00pt;mso-wrap-distance-bottom:0.00pt;" stroked="f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618" w:type="dxa"/>
            <w:vAlign w:val="center"/>
            <w:textDirection w:val="lrTb"/>
            <w:noWrap w:val="false"/>
          </w:tcPr>
          <w:p>
            <w:pPr>
              <w:pStyle w:val="874"/>
              <w:ind w:left="-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Закрывает окно «Опасные места»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181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186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auto" w:fill="auto"/>
            <w:tcW w:w="204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Объект эксплуатации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61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3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Иерархия комплексного технического места.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 умолчанию раскрыта полностью.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3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Отображаются только те комплексные места и единицы оборудования, для которых (или в составе которых) в СОУР имеется информация об Опасном месте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3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Технические места и единицы оборудования, которые являются Опасным местом помечаются знаком </w:t>
            </w: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6247" cy="286247"/>
                      <wp:effectExtent l="0" t="0" r="0" b="0"/>
                      <wp:docPr id="11" name="Рисунок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7325647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7577" cy="2975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0" o:spid="_x0000_s10" type="#_x0000_t75" style="width:22.54pt;height:22.54pt;mso-wrap-distance-left:0.00pt;mso-wrap-distance-top:0.00pt;mso-wrap-distance-right:0.00pt;mso-wrap-distance-bottom:0.00pt;" stroked="f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цветовая индикация необходима т.к. в СУПА не все Опасные места имеют информацию об ограничениях и дефектах.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181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186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technical_place_id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equipments_id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  <w:tr>
        <w:tblPrEx/>
        <w:trPr/>
        <w:tc>
          <w:tcPr>
            <w:shd w:val="clear" w:color="auto" w:fill="auto"/>
            <w:tcW w:w="204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Ограничение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61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4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Ограничение, накладываемые на техническое место или единицу оборудования.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4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</w:t>
            </w:r>
            <w:r>
              <w:rPr>
                <w:rFonts w:ascii="Times New Roman" w:hAnsi="Times New Roman" w:cs="Times New Roman"/>
              </w:rPr>
              <w:t xml:space="preserve">у</w:t>
            </w:r>
            <w:r>
              <w:rPr>
                <w:rFonts w:ascii="Times New Roman" w:hAnsi="Times New Roman" w:cs="Times New Roman"/>
              </w:rPr>
              <w:t xml:space="preserve"> того технического места или единицы </w:t>
            </w:r>
            <w:r>
              <w:rPr>
                <w:rFonts w:ascii="Times New Roman" w:hAnsi="Times New Roman" w:cs="Times New Roman"/>
              </w:rPr>
              <w:t xml:space="preserve">оборудования, которое является Опасным местом.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181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186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</w:t>
            </w:r>
            <w:r>
              <w:rPr>
                <w:rFonts w:ascii="Times New Roman" w:hAnsi="Times New Roman" w:cs="Times New Roman"/>
                <w:lang w:val="en-US"/>
              </w:rPr>
              <w:t xml:space="preserve">nstraint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auto" w:fill="auto"/>
            <w:tcW w:w="204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Дефект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361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15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Дефект, который послужил причиной для добавления технического места или единицы оборудования в качестве Опасного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15"/>
              </w:numPr>
              <w:ind w:left="2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Отображается только у того технического места или единицы оборудования, которое является Опасным местом.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1812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dangerous_places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186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defect_code_id</w:t>
            </w:r>
            <w:r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pStyle w:val="862"/>
        <w:rPr>
          <w:rFonts w:ascii="Times New Roman" w:hAnsi="Times New Roman" w:cs="Times New Roman"/>
          <w:b/>
          <w:bCs/>
          <w:color w:val="auto"/>
        </w:rPr>
      </w:pPr>
      <w:r/>
      <w:bookmarkStart w:id="13" w:name="_Toc173503370"/>
      <w:r>
        <w:rPr>
          <w:rFonts w:ascii="Times New Roman" w:hAnsi="Times New Roman" w:cs="Times New Roman"/>
          <w:b/>
          <w:bCs/>
          <w:color w:val="auto"/>
        </w:rPr>
        <w:t xml:space="preserve">База данных</w:t>
      </w:r>
      <w:bookmarkEnd w:id="13"/>
      <w:r>
        <w:rPr>
          <w:rFonts w:ascii="Times New Roman" w:hAnsi="Times New Roman" w:cs="Times New Roman"/>
          <w:b/>
          <w:bCs/>
          <w:color w:val="auto"/>
        </w:rPr>
      </w:r>
      <w:r>
        <w:rPr>
          <w:rFonts w:ascii="Times New Roman" w:hAnsi="Times New Roman" w:cs="Times New Roman"/>
          <w:b/>
          <w:bCs/>
          <w:color w:val="auto"/>
        </w:rPr>
      </w:r>
    </w:p>
    <w:p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Опасные места хранятся в таблиц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dangerous</w:t>
      </w:r>
      <w:r>
        <w:rPr>
          <w:rFonts w:ascii="Times New Roman" w:hAnsi="Times New Roman" w:cs="Times New Roman"/>
          <w:sz w:val="24"/>
          <w:szCs w:val="24"/>
        </w:rPr>
        <w:t xml:space="preserve"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place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9" w:tooltip="https://dbdiagram.io/d/dangerous_places-66aa2de08b4bb5230edab85f" w:history="1">
        <w:r>
          <w:rPr>
            <w:rStyle w:val="892"/>
            <w:rFonts w:ascii="Times New Roman" w:hAnsi="Times New Roman" w:cs="Times New Roman"/>
            <w:sz w:val="24"/>
            <w:szCs w:val="24"/>
          </w:rPr>
          <w:t xml:space="preserve">dbdiagram.io</w:t>
        </w:r>
      </w:hyperlink>
      <w:r>
        <w:rPr>
          <w:rFonts w:ascii="Times New Roman" w:hAnsi="Times New Roman" w:cs="Times New Roman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851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5304" cy="2695575"/>
                <wp:effectExtent l="0" t="0" r="635" b="0"/>
                <wp:docPr id="1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Рисунок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0" t="5077" r="0" b="5120"/>
                        <a:stretch/>
                      </pic:blipFill>
                      <pic:spPr bwMode="auto">
                        <a:xfrm>
                          <a:off x="0" y="0"/>
                          <a:ext cx="2904881" cy="2704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227.98pt;height:212.25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Фрагмент базы данных.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Опасные места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  <w:sectPr>
          <w:footnotePr/>
          <w:endnotePr/>
          <w:type w:val="nextPage"/>
          <w:pgSz w:w="11906" w:h="16838" w:orient="portrait"/>
          <w:pgMar w:top="1134" w:right="851" w:bottom="1134" w:left="1701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– Атрибутивный состав полей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dangerous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place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W w:w="15451" w:type="dxa"/>
        <w:tblInd w:w="-15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>
        <w:tblPrEx/>
        <w:trPr>
          <w:cantSplit/>
          <w:trHeight w:val="1332"/>
          <w:tblHeader/>
        </w:trPr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п.п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Наименование поля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Наименование поля в БД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Тип данных в БД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Обязательность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Внешний ключ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4394" w:type="dxa"/>
            <w:vAlign w:val="center"/>
            <w:textDirection w:val="lrTb"/>
            <w:noWrap w:val="false"/>
          </w:tcPr>
          <w:p>
            <w:pPr>
              <w:jc w:val="center"/>
              <w:spacing w:before="120" w:after="120" w:line="36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Уникальный код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integration_code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Формируется на основании полей: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Style w:val="874"/>
              <w:numPr>
                <w:ilvl w:val="0"/>
                <w:numId w:val="24"/>
              </w:num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ource_platform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pStyle w:val="874"/>
              <w:numPr>
                <w:ilvl w:val="0"/>
                <w:numId w:val="24"/>
              </w:num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ntegration_entity_id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blPrEx/>
        <w:trPr>
          <w:cantSplit/>
          <w:trHeight w:val="1032"/>
        </w:trPr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Интеграционный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дентификатор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integration_entity_id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Источник данных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source_platform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source_platform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Ограничения, накладываемые Опасным местом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constraint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Тип ограничения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type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единицы оборудования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equipment_id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equipments.id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технического места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technical_place_id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technical_places.id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68" w:type="dxa"/>
            <w:vAlign w:val="center"/>
            <w:textDirection w:val="lrTb"/>
            <w:noWrap w:val="false"/>
          </w:tcPr>
          <w:p>
            <w:pPr>
              <w:pStyle w:val="874"/>
              <w:numPr>
                <w:ilvl w:val="0"/>
                <w:numId w:val="3"/>
              </w:numPr>
              <w:ind w:left="353"/>
              <w:spacing w:after="0" w:line="240" w:lineRule="auto"/>
              <w:tabs>
                <w:tab w:val="left" w:pos="0" w:leader="none"/>
                <w:tab w:val="left" w:pos="137" w:leader="none"/>
              </w:tabs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дефекта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defect_code_id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defect_codes.id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3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0" w:leader="none"/>
              </w:tabs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ind w:firstLine="708"/>
        <w:jc w:val="center"/>
        <w:rPr>
          <w:rFonts w:ascii="Times New Roman" w:hAnsi="Times New Roman" w:cs="Times New Roman"/>
          <w:sz w:val="24"/>
          <w:szCs w:val="24"/>
        </w:rPr>
        <w:sectPr>
          <w:footnotePr/>
          <w:endnotePr/>
          <w:type w:val="nextPage"/>
          <w:pgSz w:w="16838" w:h="11906" w:orient="landscape"/>
          <w:pgMar w:top="1701" w:right="1134" w:bottom="851" w:left="1134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2"/>
        <w:rPr>
          <w:rFonts w:ascii="Times New Roman" w:hAnsi="Times New Roman" w:cs="Times New Roman"/>
          <w:b/>
          <w:bCs/>
          <w:color w:val="auto"/>
        </w:rPr>
      </w:pPr>
      <w:r/>
      <w:bookmarkStart w:id="14" w:name="_Toc173503371"/>
      <w:r>
        <w:rPr>
          <w:rFonts w:ascii="Times New Roman" w:hAnsi="Times New Roman" w:cs="Times New Roman"/>
          <w:b/>
          <w:bCs/>
          <w:color w:val="auto"/>
        </w:rPr>
        <w:t xml:space="preserve">Карта пользовательских историй</w:t>
      </w:r>
      <w:bookmarkEnd w:id="14"/>
      <w:r>
        <w:rPr>
          <w:rFonts w:ascii="Times New Roman" w:hAnsi="Times New Roman" w:cs="Times New Roman"/>
          <w:b/>
          <w:bCs/>
          <w:color w:val="auto"/>
        </w:rPr>
      </w:r>
      <w:r>
        <w:rPr>
          <w:rFonts w:ascii="Times New Roman" w:hAnsi="Times New Roman" w:cs="Times New Roman"/>
          <w:b/>
          <w:bCs/>
          <w:color w:val="auto"/>
        </w:rPr>
      </w:r>
    </w:p>
    <w:tbl>
      <w:tblPr>
        <w:tblStyle w:val="880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962"/>
        <w:gridCol w:w="5067"/>
      </w:tblGrid>
      <w:tr>
        <w:tblPrEx/>
        <w:trPr>
          <w:tblHeader/>
        </w:trPr>
        <w:tc>
          <w:tcPr>
            <w:shd w:val="clear" w:color="auto" w:fill="d9d9d9" w:themeFill="background1" w:themeFillShade="D9"/>
            <w:tcW w:w="19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Функционал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255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User Story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</w:r>
          </w:p>
        </w:tc>
        <w:tc>
          <w:tcPr>
            <w:shd w:val="clear" w:color="auto" w:fill="d9d9d9" w:themeFill="background1" w:themeFillShade="D9"/>
            <w:tcW w:w="496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Критерии приемки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W w:w="506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Сценарии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Просмотр Опасных мест объектов эксплуатации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просмотра Опасных мест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 </w:t>
            </w:r>
            <w:r>
              <w:rPr>
                <w:rFonts w:ascii="Times New Roman" w:hAnsi="Times New Roman" w:cs="Times New Roman"/>
              </w:rPr>
              <w:t xml:space="preserve">чтобы во время планирования работ по разрешительному документу учесть узкие места объекта эксплуатации.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4962" w:type="dxa"/>
            <w:textDirection w:val="lrTb"/>
            <w:noWrap w:val="false"/>
          </w:tcPr>
          <w:p>
            <w:pPr>
              <w:pStyle w:val="874"/>
              <w:numPr>
                <w:ilvl w:val="0"/>
                <w:numId w:val="4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Комплексные технические места имеющие в своем составе Опасные места, в том числе у дочерних технических мест или единиц оборудования</w:t>
            </w:r>
            <w:r>
              <w:rPr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 w:cs="Times New Roman"/>
              </w:rPr>
              <w:t xml:space="preserve"> визуально помечаются на вкладке «Основное» в разделах «Поручается» и «Мероприятия по подготовке рабочих мест».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4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Опасные места отображаются в модальном окне, в котором отображается комплексное техническое место и нижестоящая иерархия оборудований, имеющих опасные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4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 иерархии оборудования отображаются только те технические места и единицы оборудования, для которых в СОУР имеется информация об Опасных местах.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4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 модальном окне</w:t>
            </w:r>
            <w:r>
              <w:rPr>
                <w:rFonts w:ascii="Times New Roman" w:hAnsi="Times New Roman" w:cs="Times New Roman"/>
              </w:rPr>
              <w:t xml:space="preserve"> выводится информация: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Наименование технического места или объекта эксплуатации</w:t>
            </w:r>
            <w:r>
              <w:rPr>
                <w:rFonts w:ascii="Times New Roman" w:hAnsi="Times New Roman" w:cs="Times New Roman"/>
              </w:rPr>
              <w:t xml:space="preserve"> на желтом фоне со специальным знаком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Ограничения, накладываемые Опасным местом (например: «Подъем на опору запрещен»).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Вид дефекта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5067" w:type="dxa"/>
            <w:textDirection w:val="lrTb"/>
            <w:noWrap w:val="false"/>
          </w:tcPr>
          <w:p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Сценарий 1. Просмотр опасных мест в веб-приложении.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>
              <w:rPr>
                <w:rFonts w:ascii="Times New Roman" w:hAnsi="Times New Roman" w:cs="Times New Roman"/>
              </w:rPr>
              <w:t xml:space="preserve">Разрешительный документ создан </w:t>
            </w:r>
            <w:r>
              <w:rPr>
                <w:rFonts w:ascii="Times New Roman" w:hAnsi="Times New Roman" w:cs="Times New Roman"/>
              </w:rPr>
              <w:t xml:space="preserve">на комплексное техническое место,</w:t>
            </w:r>
            <w:r>
              <w:rPr>
                <w:rFonts w:ascii="Times New Roman" w:hAnsi="Times New Roman" w:cs="Times New Roman"/>
              </w:rPr>
              <w:t xml:space="preserve"> в составе которого имеется Опасное место.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Или: </w:t>
            </w:r>
            <w:r>
              <w:rPr>
                <w:rFonts w:ascii="Times New Roman" w:hAnsi="Times New Roman" w:cs="Times New Roman"/>
              </w:rPr>
              <w:t xml:space="preserve">В блоке «Мероприятия по подготовке рабочих мест» указано комплексное техническое место, в составе которого имеется Опасное место.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 xml:space="preserve">Комплексное техническое место, в составе которого имеется Опасное место, имеет визуальную пометку.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 xml:space="preserve">Пользователь нажимает на визуальную пометку.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 xml:space="preserve">В веб-приложении открывается модальное окно с иерархией комплексного места. В составе иерархии присутствуют только те ветки</w:t>
            </w:r>
            <w:r>
              <w:rPr>
                <w:rFonts w:ascii="Times New Roman" w:hAnsi="Times New Roman" w:cs="Times New Roman"/>
              </w:rPr>
              <w:t xml:space="preserve"> и </w:t>
            </w:r>
            <w:r>
              <w:rPr>
                <w:rFonts w:ascii="Times New Roman" w:hAnsi="Times New Roman" w:cs="Times New Roman"/>
              </w:rPr>
              <w:t xml:space="preserve">те технические места,</w:t>
            </w:r>
            <w:r>
              <w:rPr>
                <w:rFonts w:ascii="Times New Roman" w:hAnsi="Times New Roman" w:cs="Times New Roman"/>
              </w:rPr>
              <w:t xml:space="preserve"> и единицы оборудования</w:t>
            </w:r>
            <w:r>
              <w:rPr>
                <w:rFonts w:ascii="Times New Roman" w:hAnsi="Times New Roman" w:cs="Times New Roman"/>
              </w:rPr>
              <w:t xml:space="preserve">, которые имеют Опасные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Просмотр Опасных мест объектов эксплуатации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мобильном приложении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просмотра Опасных мест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мобильном приложении </w:t>
            </w:r>
            <w:r>
              <w:rPr>
                <w:rFonts w:ascii="Times New Roman" w:hAnsi="Times New Roman" w:cs="Times New Roman"/>
              </w:rPr>
              <w:t xml:space="preserve">чтобы во время выполнения работ по разрешительному документу иметь представление об узких </w:t>
            </w:r>
            <w:r>
              <w:rPr>
                <w:rFonts w:ascii="Times New Roman" w:hAnsi="Times New Roman" w:cs="Times New Roman"/>
              </w:rPr>
              <w:t xml:space="preserve">местах объекта эксплуатации.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4962" w:type="dxa"/>
            <w:textDirection w:val="lrTb"/>
            <w:noWrap w:val="false"/>
          </w:tcPr>
          <w:p>
            <w:pPr>
              <w:pStyle w:val="874"/>
              <w:numPr>
                <w:ilvl w:val="0"/>
                <w:numId w:val="6"/>
              </w:numPr>
              <w:ind w:left="317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Комплексные технические места имеющие в своем составе Опасные места, в том числе у дочерних технических мест или единиц оборудования</w:t>
            </w:r>
            <w:r>
              <w:rPr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 w:cs="Times New Roman"/>
              </w:rPr>
              <w:t xml:space="preserve"> визуально помечаются на вкладке «Основное» в разделах «Поручается» и «Мероприятия по подготовке рабочих мест».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6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Опасные места отображаются в отдельном окне, в котором отображается комплексное техническое место и нижестоящая иерархия оборудований, имеющих опасные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6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 иерархии оборудования отображаются только те технические места и единицы оборудования, для которых в СОУР имеется информация об Опасных местах.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6"/>
              </w:numPr>
              <w:ind w:left="458"/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 окне выводится информация: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Наименование технического места или объекта эксплуатации со специальным знаком.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Ограничения, накладываемые Опасным местом (например: «Подъем на опору запрещен»).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74"/>
              <w:numPr>
                <w:ilvl w:val="0"/>
                <w:numId w:val="5"/>
              </w:numPr>
              <w:tabs>
                <w:tab w:val="left" w:pos="0" w:leader="none"/>
              </w:tabs>
              <w:rPr>
                <w:rFonts w:ascii="Times New Roman" w:hAnsi="Times New Roman" w:cs="Times New Roman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cs="Times New Roman"/>
              </w:rPr>
              <w:t xml:space="preserve">Вид дефекта.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auto" w:fill="auto"/>
            <w:tcW w:w="5067" w:type="dxa"/>
            <w:textDirection w:val="lrTb"/>
            <w:noWrap w:val="false"/>
          </w:tcPr>
          <w:p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Сценарий 1. Просмотр опасных мест в мобильном приложении.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>
              <w:rPr>
                <w:rFonts w:ascii="Times New Roman" w:hAnsi="Times New Roman" w:cs="Times New Roman"/>
              </w:rPr>
              <w:t xml:space="preserve">Разрешительный документ имеется на мобильном устройстве.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 xml:space="preserve">Комплексное техническое место, в составе которого имеется Опасное место, имеет визуальную пометку.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 xml:space="preserve">Пользователь нажимает на</w:t>
            </w:r>
            <w:r>
              <w:rPr>
                <w:rFonts w:ascii="Times New Roman" w:hAnsi="Times New Roman" w:cs="Times New Roman"/>
              </w:rPr>
              <w:t xml:space="preserve"> комплексное техническое место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 xml:space="preserve">В мобильном приложении открывается отдельное окно с иерархией комплексного места. В составе иерархии присутствуют только те ветки, которые имеют Опасные места.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6838" w:h="11906" w:orient="landscape"/>
      <w:pgMar w:top="1701" w:right="1134" w:bottom="851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5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157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57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">
    <w:multiLevelType w:val="hybridMultilevel"/>
    <w:lvl w:ilvl="0">
      <w:start w:val="1"/>
      <w:numFmt w:val="decimal"/>
      <w:pStyle w:val="862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863"/>
      <w:isLgl w:val="false"/>
      <w:suff w:val="tab"/>
      <w:lvlText w:val="%1.%2"/>
      <w:lvlJc w:val="left"/>
      <w:pPr>
        <w:ind w:left="576" w:hanging="576"/>
      </w:pPr>
      <w:rPr>
        <w:rFonts w:hint="default" w:ascii="Times New Roman" w:hAnsi="Times New Roman" w:cs="Times New Roman"/>
        <w:b/>
        <w:bCs/>
        <w:color w:val="auto"/>
        <w:sz w:val="28"/>
        <w:szCs w:val="28"/>
      </w:rPr>
    </w:lvl>
    <w:lvl w:ilvl="2">
      <w:start w:val="1"/>
      <w:numFmt w:val="decimal"/>
      <w:pStyle w:val="864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865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866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867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868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69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870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4">
    <w:multiLevelType w:val="hybridMultilevel"/>
    <w:lvl w:ilvl="0">
      <w:start w:val="1"/>
      <w:numFmt w:val="decimal"/>
      <w:isLgl w:val="false"/>
      <w:suff w:val="space"/>
      <w:lvlText w:val="%1)"/>
      <w:lvlJc w:val="left"/>
      <w:pPr>
        <w:ind w:left="1211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7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3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53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1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7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1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1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571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space"/>
      <w:lvlText w:val="%1)"/>
      <w:lvlJc w:val="left"/>
      <w:pPr>
        <w:ind w:left="1571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7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styleLink w:val="897"/>
    <w:lvl w:ilvl="0">
      <w:start w:val="1"/>
      <w:numFmt w:val="decimal"/>
      <w:pStyle w:val="897"/>
      <w:isLgl w:val="false"/>
      <w:suff w:val="tab"/>
      <w:lvlText w:val="%1."/>
      <w:lvlJc w:val="left"/>
      <w:pPr>
        <w:ind w:left="1211" w:hanging="360"/>
      </w:pPr>
      <w:rPr>
        <w:rFonts w:hint="default" w:ascii="Times" w:hAnsi="Times" w:cs="Times"/>
        <w:b/>
        <w:bCs/>
        <w:sz w:val="28"/>
        <w:szCs w:val="28"/>
      </w:rPr>
    </w:lvl>
    <w:lvl w:ilvl="1">
      <w:start w:val="1"/>
      <w:numFmt w:val="decimal"/>
      <w:isLgl/>
      <w:suff w:val="tab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1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18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5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4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78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7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53" w:hanging="360"/>
      </w:pPr>
      <w:rPr>
        <w:rFonts w:hint="default"/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/>
        <w:b w:val="0"/>
        <w:bCs/>
        <w:i w:val="0"/>
        <w:sz w:val="20"/>
        <w:szCs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1511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space"/>
      <w:lvlText w:val="­"/>
      <w:lvlJc w:val="left"/>
      <w:pPr>
        <w:ind w:left="2422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"/>
      <w:lvlJc w:val="left"/>
      <w:pPr>
        <w:ind w:left="2291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3"/>
  </w:num>
  <w:num w:numId="3">
    <w:abstractNumId w:val="21"/>
  </w:num>
  <w:num w:numId="4">
    <w:abstractNumId w:val="9"/>
  </w:num>
  <w:num w:numId="5">
    <w:abstractNumId w:val="18"/>
  </w:num>
  <w:num w:numId="6">
    <w:abstractNumId w:val="14"/>
  </w:num>
  <w:num w:numId="7">
    <w:abstractNumId w:val="0"/>
  </w:num>
  <w:num w:numId="8">
    <w:abstractNumId w:val="19"/>
  </w:num>
  <w:num w:numId="9">
    <w:abstractNumId w:val="12"/>
  </w:num>
  <w:num w:numId="10">
    <w:abstractNumId w:val="7"/>
  </w:num>
  <w:num w:numId="11">
    <w:abstractNumId w:val="5"/>
  </w:num>
  <w:num w:numId="12">
    <w:abstractNumId w:val="6"/>
  </w:num>
  <w:num w:numId="13">
    <w:abstractNumId w:val="16"/>
  </w:num>
  <w:num w:numId="14">
    <w:abstractNumId w:val="22"/>
  </w:num>
  <w:num w:numId="15">
    <w:abstractNumId w:val="8"/>
  </w:num>
  <w:num w:numId="16">
    <w:abstractNumId w:val="23"/>
  </w:num>
  <w:num w:numId="17">
    <w:abstractNumId w:val="17"/>
  </w:num>
  <w:num w:numId="18">
    <w:abstractNumId w:val="1"/>
  </w:num>
  <w:num w:numId="19">
    <w:abstractNumId w:val="10"/>
  </w:num>
  <w:num w:numId="20">
    <w:abstractNumId w:val="4"/>
  </w:num>
  <w:num w:numId="21">
    <w:abstractNumId w:val="20"/>
  </w:num>
  <w:num w:numId="22">
    <w:abstractNumId w:val="2"/>
  </w:num>
  <w:num w:numId="23">
    <w:abstractNumId w:val="1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Heading 1 Char"/>
    <w:basedOn w:val="871"/>
    <w:link w:val="862"/>
    <w:uiPriority w:val="9"/>
    <w:rPr>
      <w:rFonts w:ascii="Arial" w:hAnsi="Arial" w:eastAsia="Arial" w:cs="Arial"/>
      <w:sz w:val="40"/>
      <w:szCs w:val="40"/>
    </w:rPr>
  </w:style>
  <w:style w:type="character" w:styleId="704">
    <w:name w:val="Heading 2 Char"/>
    <w:basedOn w:val="871"/>
    <w:link w:val="863"/>
    <w:uiPriority w:val="9"/>
    <w:rPr>
      <w:rFonts w:ascii="Arial" w:hAnsi="Arial" w:eastAsia="Arial" w:cs="Arial"/>
      <w:sz w:val="34"/>
    </w:rPr>
  </w:style>
  <w:style w:type="character" w:styleId="705">
    <w:name w:val="Heading 3 Char"/>
    <w:basedOn w:val="871"/>
    <w:link w:val="864"/>
    <w:uiPriority w:val="9"/>
    <w:rPr>
      <w:rFonts w:ascii="Arial" w:hAnsi="Arial" w:eastAsia="Arial" w:cs="Arial"/>
      <w:sz w:val="30"/>
      <w:szCs w:val="30"/>
    </w:rPr>
  </w:style>
  <w:style w:type="character" w:styleId="706">
    <w:name w:val="Heading 4 Char"/>
    <w:basedOn w:val="871"/>
    <w:link w:val="865"/>
    <w:uiPriority w:val="9"/>
    <w:rPr>
      <w:rFonts w:ascii="Arial" w:hAnsi="Arial" w:eastAsia="Arial" w:cs="Arial"/>
      <w:b/>
      <w:bCs/>
      <w:sz w:val="26"/>
      <w:szCs w:val="26"/>
    </w:rPr>
  </w:style>
  <w:style w:type="character" w:styleId="707">
    <w:name w:val="Heading 5 Char"/>
    <w:basedOn w:val="871"/>
    <w:link w:val="866"/>
    <w:uiPriority w:val="9"/>
    <w:rPr>
      <w:rFonts w:ascii="Arial" w:hAnsi="Arial" w:eastAsia="Arial" w:cs="Arial"/>
      <w:b/>
      <w:bCs/>
      <w:sz w:val="24"/>
      <w:szCs w:val="24"/>
    </w:rPr>
  </w:style>
  <w:style w:type="character" w:styleId="708">
    <w:name w:val="Heading 6 Char"/>
    <w:basedOn w:val="871"/>
    <w:link w:val="867"/>
    <w:uiPriority w:val="9"/>
    <w:rPr>
      <w:rFonts w:ascii="Arial" w:hAnsi="Arial" w:eastAsia="Arial" w:cs="Arial"/>
      <w:b/>
      <w:bCs/>
      <w:sz w:val="22"/>
      <w:szCs w:val="22"/>
    </w:rPr>
  </w:style>
  <w:style w:type="character" w:styleId="709">
    <w:name w:val="Heading 7 Char"/>
    <w:basedOn w:val="871"/>
    <w:link w:val="8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0">
    <w:name w:val="Heading 8 Char"/>
    <w:basedOn w:val="871"/>
    <w:link w:val="869"/>
    <w:uiPriority w:val="9"/>
    <w:rPr>
      <w:rFonts w:ascii="Arial" w:hAnsi="Arial" w:eastAsia="Arial" w:cs="Arial"/>
      <w:i/>
      <w:iCs/>
      <w:sz w:val="22"/>
      <w:szCs w:val="22"/>
    </w:rPr>
  </w:style>
  <w:style w:type="character" w:styleId="711">
    <w:name w:val="Heading 9 Char"/>
    <w:basedOn w:val="871"/>
    <w:link w:val="87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No Spacing"/>
    <w:uiPriority w:val="1"/>
    <w:qFormat/>
    <w:pPr>
      <w:spacing w:before="0" w:after="0" w:line="240" w:lineRule="auto"/>
    </w:pPr>
  </w:style>
  <w:style w:type="paragraph" w:styleId="713">
    <w:name w:val="Title"/>
    <w:basedOn w:val="861"/>
    <w:next w:val="861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71"/>
    <w:link w:val="713"/>
    <w:uiPriority w:val="10"/>
    <w:rPr>
      <w:sz w:val="48"/>
      <w:szCs w:val="48"/>
    </w:rPr>
  </w:style>
  <w:style w:type="paragraph" w:styleId="715">
    <w:name w:val="Subtitle"/>
    <w:basedOn w:val="861"/>
    <w:next w:val="861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71"/>
    <w:link w:val="715"/>
    <w:uiPriority w:val="11"/>
    <w:rPr>
      <w:sz w:val="24"/>
      <w:szCs w:val="24"/>
    </w:rPr>
  </w:style>
  <w:style w:type="paragraph" w:styleId="717">
    <w:name w:val="Quote"/>
    <w:basedOn w:val="861"/>
    <w:next w:val="861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1"/>
    <w:next w:val="861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71"/>
    <w:link w:val="911"/>
    <w:uiPriority w:val="99"/>
  </w:style>
  <w:style w:type="character" w:styleId="722">
    <w:name w:val="Footer Char"/>
    <w:basedOn w:val="871"/>
    <w:link w:val="913"/>
    <w:uiPriority w:val="99"/>
  </w:style>
  <w:style w:type="paragraph" w:styleId="723">
    <w:name w:val="Caption"/>
    <w:basedOn w:val="861"/>
    <w:next w:val="861"/>
    <w:link w:val="7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871"/>
    <w:link w:val="723"/>
    <w:uiPriority w:val="35"/>
    <w:rPr>
      <w:b/>
      <w:bCs/>
      <w:color w:val="4f81bd" w:themeColor="accent1"/>
      <w:sz w:val="18"/>
      <w:szCs w:val="18"/>
    </w:rPr>
  </w:style>
  <w:style w:type="table" w:styleId="725">
    <w:name w:val="Table Grid Light"/>
    <w:basedOn w:val="87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24">
    <w:name w:val="List Table 7 Colorful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28">
    <w:name w:val="List Table 7 Colorful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1">
    <w:name w:val="Lined - Accent 2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5">
    <w:name w:val="Lined - Accent 6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8">
    <w:name w:val="Bordered &amp; Lined - Accent 2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42">
    <w:name w:val="Bordered &amp; Lined - Accent 6"/>
    <w:basedOn w:val="87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50">
    <w:name w:val="footnote text"/>
    <w:basedOn w:val="861"/>
    <w:link w:val="851"/>
    <w:uiPriority w:val="99"/>
    <w:semiHidden/>
    <w:unhideWhenUsed/>
    <w:pPr>
      <w:spacing w:after="40" w:line="240" w:lineRule="auto"/>
    </w:pPr>
    <w:rPr>
      <w:sz w:val="18"/>
    </w:rPr>
  </w:style>
  <w:style w:type="character" w:styleId="851">
    <w:name w:val="Footnote Text Char"/>
    <w:link w:val="850"/>
    <w:uiPriority w:val="99"/>
    <w:rPr>
      <w:sz w:val="18"/>
    </w:rPr>
  </w:style>
  <w:style w:type="character" w:styleId="852">
    <w:name w:val="footnote reference"/>
    <w:basedOn w:val="871"/>
    <w:uiPriority w:val="99"/>
    <w:unhideWhenUsed/>
    <w:rPr>
      <w:vertAlign w:val="superscript"/>
    </w:rPr>
  </w:style>
  <w:style w:type="character" w:styleId="853">
    <w:name w:val="Endnote Text Char"/>
    <w:link w:val="905"/>
    <w:uiPriority w:val="99"/>
    <w:rPr>
      <w:sz w:val="20"/>
    </w:rPr>
  </w:style>
  <w:style w:type="paragraph" w:styleId="854">
    <w:name w:val="toc 4"/>
    <w:basedOn w:val="861"/>
    <w:next w:val="861"/>
    <w:uiPriority w:val="39"/>
    <w:unhideWhenUsed/>
    <w:pPr>
      <w:ind w:left="850" w:right="0" w:firstLine="0"/>
      <w:spacing w:after="57"/>
    </w:pPr>
  </w:style>
  <w:style w:type="paragraph" w:styleId="855">
    <w:name w:val="toc 5"/>
    <w:basedOn w:val="861"/>
    <w:next w:val="861"/>
    <w:uiPriority w:val="39"/>
    <w:unhideWhenUsed/>
    <w:pPr>
      <w:ind w:left="1134" w:right="0" w:firstLine="0"/>
      <w:spacing w:after="57"/>
    </w:pPr>
  </w:style>
  <w:style w:type="paragraph" w:styleId="856">
    <w:name w:val="toc 6"/>
    <w:basedOn w:val="861"/>
    <w:next w:val="861"/>
    <w:uiPriority w:val="39"/>
    <w:unhideWhenUsed/>
    <w:pPr>
      <w:ind w:left="1417" w:right="0" w:firstLine="0"/>
      <w:spacing w:after="57"/>
    </w:pPr>
  </w:style>
  <w:style w:type="paragraph" w:styleId="857">
    <w:name w:val="toc 7"/>
    <w:basedOn w:val="861"/>
    <w:next w:val="861"/>
    <w:uiPriority w:val="39"/>
    <w:unhideWhenUsed/>
    <w:pPr>
      <w:ind w:left="1701" w:right="0" w:firstLine="0"/>
      <w:spacing w:after="57"/>
    </w:pPr>
  </w:style>
  <w:style w:type="paragraph" w:styleId="858">
    <w:name w:val="toc 8"/>
    <w:basedOn w:val="861"/>
    <w:next w:val="861"/>
    <w:uiPriority w:val="39"/>
    <w:unhideWhenUsed/>
    <w:pPr>
      <w:ind w:left="1984" w:right="0" w:firstLine="0"/>
      <w:spacing w:after="57"/>
    </w:pPr>
  </w:style>
  <w:style w:type="paragraph" w:styleId="859">
    <w:name w:val="toc 9"/>
    <w:basedOn w:val="861"/>
    <w:next w:val="861"/>
    <w:uiPriority w:val="39"/>
    <w:unhideWhenUsed/>
    <w:pPr>
      <w:ind w:left="2268" w:right="0" w:firstLine="0"/>
      <w:spacing w:after="57"/>
    </w:pPr>
  </w:style>
  <w:style w:type="paragraph" w:styleId="860">
    <w:name w:val="table of figures"/>
    <w:basedOn w:val="861"/>
    <w:next w:val="861"/>
    <w:uiPriority w:val="99"/>
    <w:unhideWhenUsed/>
    <w:pPr>
      <w:spacing w:after="0" w:afterAutospacing="0"/>
    </w:pPr>
  </w:style>
  <w:style w:type="paragraph" w:styleId="861" w:default="1">
    <w:name w:val="Normal"/>
  </w:style>
  <w:style w:type="paragraph" w:styleId="862">
    <w:name w:val="Heading 1"/>
    <w:basedOn w:val="861"/>
    <w:next w:val="861"/>
    <w:link w:val="889"/>
    <w:uiPriority w:val="9"/>
    <w:qFormat/>
    <w:pPr>
      <w:numPr>
        <w:ilvl w:val="0"/>
        <w:numId w:val="2"/>
      </w:num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3">
    <w:name w:val="Heading 2"/>
    <w:basedOn w:val="861"/>
    <w:next w:val="861"/>
    <w:link w:val="893"/>
    <w:uiPriority w:val="9"/>
    <w:unhideWhenUsed/>
    <w:qFormat/>
    <w:pPr>
      <w:numPr>
        <w:ilvl w:val="1"/>
        <w:numId w:val="2"/>
      </w:num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64">
    <w:name w:val="Heading 3"/>
    <w:basedOn w:val="861"/>
    <w:next w:val="861"/>
    <w:link w:val="894"/>
    <w:uiPriority w:val="9"/>
    <w:unhideWhenUsed/>
    <w:qFormat/>
    <w:pPr>
      <w:numPr>
        <w:ilvl w:val="2"/>
        <w:numId w:val="2"/>
      </w:num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865">
    <w:name w:val="Heading 4"/>
    <w:basedOn w:val="861"/>
    <w:next w:val="861"/>
    <w:link w:val="899"/>
    <w:uiPriority w:val="9"/>
    <w:semiHidden/>
    <w:unhideWhenUsed/>
    <w:qFormat/>
    <w:pPr>
      <w:numPr>
        <w:ilvl w:val="3"/>
        <w:numId w:val="2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866">
    <w:name w:val="Heading 5"/>
    <w:basedOn w:val="861"/>
    <w:next w:val="861"/>
    <w:link w:val="900"/>
    <w:uiPriority w:val="9"/>
    <w:semiHidden/>
    <w:unhideWhenUsed/>
    <w:qFormat/>
    <w:pPr>
      <w:numPr>
        <w:ilvl w:val="4"/>
        <w:numId w:val="2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867">
    <w:name w:val="Heading 6"/>
    <w:basedOn w:val="861"/>
    <w:next w:val="861"/>
    <w:link w:val="901"/>
    <w:uiPriority w:val="9"/>
    <w:semiHidden/>
    <w:unhideWhenUsed/>
    <w:qFormat/>
    <w:pPr>
      <w:numPr>
        <w:ilvl w:val="5"/>
        <w:numId w:val="2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868">
    <w:name w:val="Heading 7"/>
    <w:basedOn w:val="861"/>
    <w:next w:val="861"/>
    <w:link w:val="902"/>
    <w:uiPriority w:val="9"/>
    <w:semiHidden/>
    <w:unhideWhenUsed/>
    <w:qFormat/>
    <w:pPr>
      <w:numPr>
        <w:ilvl w:val="6"/>
        <w:numId w:val="2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869">
    <w:name w:val="Heading 8"/>
    <w:basedOn w:val="861"/>
    <w:next w:val="861"/>
    <w:link w:val="903"/>
    <w:uiPriority w:val="9"/>
    <w:semiHidden/>
    <w:unhideWhenUsed/>
    <w:qFormat/>
    <w:pPr>
      <w:numPr>
        <w:ilvl w:val="7"/>
        <w:numId w:val="2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70">
    <w:name w:val="Heading 9"/>
    <w:basedOn w:val="861"/>
    <w:next w:val="861"/>
    <w:link w:val="904"/>
    <w:uiPriority w:val="9"/>
    <w:semiHidden/>
    <w:unhideWhenUsed/>
    <w:qFormat/>
    <w:pPr>
      <w:numPr>
        <w:ilvl w:val="8"/>
        <w:numId w:val="2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71" w:default="1">
    <w:name w:val="Default Paragraph Font"/>
    <w:uiPriority w:val="1"/>
    <w:semiHidden/>
    <w:unhideWhenUsed/>
  </w:style>
  <w:style w:type="table" w:styleId="87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3" w:default="1">
    <w:name w:val="No List"/>
    <w:uiPriority w:val="99"/>
    <w:semiHidden/>
    <w:unhideWhenUsed/>
  </w:style>
  <w:style w:type="paragraph" w:styleId="874">
    <w:name w:val="List Paragraph"/>
    <w:basedOn w:val="861"/>
    <w:uiPriority w:val="34"/>
    <w:qFormat/>
    <w:pPr>
      <w:contextualSpacing/>
      <w:ind w:left="720"/>
    </w:pPr>
    <w:rPr>
      <w:rFonts w:ascii="Calibri" w:hAnsi="Calibri" w:eastAsia="Calibri" w:cs="Calibri"/>
      <w:lang w:eastAsia="ru-RU"/>
    </w:rPr>
  </w:style>
  <w:style w:type="character" w:styleId="875">
    <w:name w:val="annotation reference"/>
    <w:basedOn w:val="871"/>
    <w:uiPriority w:val="99"/>
    <w:semiHidden/>
    <w:unhideWhenUsed/>
    <w:rPr>
      <w:sz w:val="16"/>
      <w:szCs w:val="16"/>
    </w:rPr>
  </w:style>
  <w:style w:type="paragraph" w:styleId="876">
    <w:name w:val="annotation text"/>
    <w:basedOn w:val="861"/>
    <w:link w:val="877"/>
    <w:uiPriority w:val="99"/>
    <w:unhideWhenUsed/>
    <w:pPr>
      <w:spacing w:line="240" w:lineRule="auto"/>
    </w:pPr>
    <w:rPr>
      <w:rFonts w:ascii="Calibri" w:hAnsi="Calibri" w:eastAsia="Calibri" w:cs="Calibri"/>
      <w:sz w:val="20"/>
      <w:szCs w:val="20"/>
      <w:lang w:eastAsia="ru-RU"/>
    </w:rPr>
  </w:style>
  <w:style w:type="character" w:styleId="877" w:customStyle="1">
    <w:name w:val="Текст примечания Знак"/>
    <w:basedOn w:val="871"/>
    <w:link w:val="876"/>
    <w:uiPriority w:val="99"/>
    <w:rPr>
      <w:rFonts w:ascii="Calibri" w:hAnsi="Calibri" w:eastAsia="Calibri" w:cs="Calibri"/>
      <w:sz w:val="20"/>
      <w:szCs w:val="20"/>
      <w:lang w:eastAsia="ru-RU"/>
    </w:rPr>
  </w:style>
  <w:style w:type="paragraph" w:styleId="878">
    <w:name w:val="annotation subject"/>
    <w:basedOn w:val="876"/>
    <w:next w:val="876"/>
    <w:link w:val="879"/>
    <w:uiPriority w:val="99"/>
    <w:semiHidden/>
    <w:unhideWhenUsed/>
    <w:rPr>
      <w:rFonts w:asciiTheme="minorHAnsi" w:hAnsiTheme="minorHAnsi" w:eastAsiaTheme="minorHAnsi" w:cstheme="minorBidi"/>
      <w:b/>
      <w:bCs/>
      <w:lang w:eastAsia="en-US"/>
    </w:rPr>
  </w:style>
  <w:style w:type="character" w:styleId="879" w:customStyle="1">
    <w:name w:val="Тема примечания Знак"/>
    <w:basedOn w:val="877"/>
    <w:link w:val="878"/>
    <w:uiPriority w:val="99"/>
    <w:semiHidden/>
    <w:rPr>
      <w:rFonts w:ascii="Calibri" w:hAnsi="Calibri" w:eastAsia="Calibri" w:cs="Calibri"/>
      <w:b/>
      <w:bCs/>
      <w:sz w:val="20"/>
      <w:szCs w:val="20"/>
      <w:lang w:eastAsia="ru-RU"/>
    </w:rPr>
  </w:style>
  <w:style w:type="table" w:styleId="880">
    <w:name w:val="Table Grid"/>
    <w:basedOn w:val="87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1" w:customStyle="1">
    <w:name w:val="td_Текст"/>
    <w:basedOn w:val="861"/>
    <w:link w:val="882"/>
    <w:qFormat/>
    <w:pPr>
      <w:ind w:firstLine="851"/>
      <w:jc w:val="both"/>
      <w:spacing w:after="0" w:line="36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82" w:customStyle="1">
    <w:name w:val="td_Текст Знак"/>
    <w:link w:val="881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3" w:customStyle="1">
    <w:name w:val="td_Рисунок_name"/>
    <w:basedOn w:val="861"/>
    <w:next w:val="861"/>
    <w:qFormat/>
    <w:pPr>
      <w:jc w:val="center"/>
      <w:spacing w:before="120" w:after="240" w:line="240" w:lineRule="auto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884" w:customStyle="1">
    <w:name w:val="td_Таблица_name"/>
    <w:basedOn w:val="881"/>
    <w:next w:val="861"/>
    <w:qFormat/>
    <w:pPr>
      <w:ind w:firstLine="0"/>
      <w:keepNext/>
      <w:spacing w:before="240" w:after="120"/>
    </w:pPr>
    <w:rPr>
      <w:b/>
    </w:rPr>
  </w:style>
  <w:style w:type="paragraph" w:styleId="885" w:customStyle="1">
    <w:name w:val="td_Таблица_text"/>
    <w:basedOn w:val="881"/>
    <w:link w:val="886"/>
    <w:qFormat/>
    <w:pPr>
      <w:ind w:firstLine="0"/>
      <w:spacing w:line="240" w:lineRule="auto"/>
      <w:tabs>
        <w:tab w:val="left" w:pos="0" w:leader="none"/>
      </w:tabs>
    </w:pPr>
    <w:rPr>
      <w:sz w:val="22"/>
    </w:rPr>
  </w:style>
  <w:style w:type="character" w:styleId="886" w:customStyle="1">
    <w:name w:val="td_Таблица_text Знак"/>
    <w:link w:val="885"/>
    <w:rPr>
      <w:rFonts w:ascii="Times New Roman" w:hAnsi="Times New Roman" w:eastAsia="Times New Roman" w:cs="Times New Roman"/>
      <w:szCs w:val="24"/>
      <w:lang w:eastAsia="ru-RU"/>
    </w:rPr>
  </w:style>
  <w:style w:type="paragraph" w:styleId="887" w:customStyle="1">
    <w:name w:val="td_Таблица_заголовок"/>
    <w:basedOn w:val="885"/>
    <w:next w:val="861"/>
    <w:link w:val="888"/>
    <w:qFormat/>
    <w:pPr>
      <w:jc w:val="center"/>
      <w:spacing w:before="120" w:after="120" w:line="360" w:lineRule="auto"/>
    </w:pPr>
    <w:rPr>
      <w:b/>
    </w:rPr>
  </w:style>
  <w:style w:type="character" w:styleId="888" w:customStyle="1">
    <w:name w:val="td_Таблица_заголовок Знак"/>
    <w:link w:val="887"/>
    <w:rPr>
      <w:rFonts w:ascii="Times New Roman" w:hAnsi="Times New Roman" w:eastAsia="Times New Roman" w:cs="Times New Roman"/>
      <w:b/>
      <w:szCs w:val="24"/>
      <w:lang w:eastAsia="ru-RU"/>
    </w:rPr>
  </w:style>
  <w:style w:type="character" w:styleId="889" w:customStyle="1">
    <w:name w:val="Заголовок 1 Знак"/>
    <w:basedOn w:val="871"/>
    <w:link w:val="862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90">
    <w:name w:val="TOC Heading"/>
    <w:basedOn w:val="862"/>
    <w:next w:val="861"/>
    <w:uiPriority w:val="39"/>
    <w:unhideWhenUsed/>
    <w:qFormat/>
    <w:pPr>
      <w:outlineLvl w:val="9"/>
    </w:pPr>
    <w:rPr>
      <w:lang w:eastAsia="ru-RU"/>
    </w:rPr>
  </w:style>
  <w:style w:type="paragraph" w:styleId="891">
    <w:name w:val="toc 1"/>
    <w:basedOn w:val="861"/>
    <w:next w:val="861"/>
    <w:uiPriority w:val="39"/>
    <w:unhideWhenUsed/>
    <w:pPr>
      <w:spacing w:after="100"/>
    </w:pPr>
  </w:style>
  <w:style w:type="character" w:styleId="892">
    <w:name w:val="Hyperlink"/>
    <w:basedOn w:val="871"/>
    <w:uiPriority w:val="99"/>
    <w:unhideWhenUsed/>
    <w:rPr>
      <w:color w:val="0563c1" w:themeColor="hyperlink"/>
      <w:u w:val="single"/>
    </w:rPr>
  </w:style>
  <w:style w:type="character" w:styleId="893" w:customStyle="1">
    <w:name w:val="Заголовок 2 Знак"/>
    <w:basedOn w:val="871"/>
    <w:link w:val="863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94" w:customStyle="1">
    <w:name w:val="Заголовок 3 Знак"/>
    <w:basedOn w:val="871"/>
    <w:link w:val="864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895">
    <w:name w:val="toc 2"/>
    <w:basedOn w:val="861"/>
    <w:next w:val="861"/>
    <w:uiPriority w:val="39"/>
    <w:unhideWhenUsed/>
    <w:pPr>
      <w:ind w:left="220"/>
      <w:spacing w:after="100"/>
    </w:pPr>
  </w:style>
  <w:style w:type="paragraph" w:styleId="896">
    <w:name w:val="toc 3"/>
    <w:basedOn w:val="861"/>
    <w:next w:val="861"/>
    <w:uiPriority w:val="39"/>
    <w:unhideWhenUsed/>
    <w:pPr>
      <w:ind w:left="440"/>
      <w:spacing w:after="100"/>
    </w:pPr>
  </w:style>
  <w:style w:type="numbering" w:styleId="897" w:customStyle="1">
    <w:name w:val="Текущий список1"/>
    <w:uiPriority w:val="99"/>
    <w:pPr>
      <w:numPr>
        <w:ilvl w:val="0"/>
        <w:numId w:val="1"/>
      </w:numPr>
    </w:pPr>
  </w:style>
  <w:style w:type="paragraph" w:styleId="898">
    <w:name w:val="Normal (Web)"/>
    <w:basedOn w:val="86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9" w:customStyle="1">
    <w:name w:val="Заголовок 4 Знак"/>
    <w:basedOn w:val="871"/>
    <w:link w:val="865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00" w:customStyle="1">
    <w:name w:val="Заголовок 5 Знак"/>
    <w:basedOn w:val="871"/>
    <w:link w:val="866"/>
    <w:uiPriority w:val="9"/>
    <w:semiHidden/>
    <w:rPr>
      <w:rFonts w:asciiTheme="majorHAnsi" w:hAnsiTheme="majorHAnsi" w:eastAsiaTheme="majorEastAsia" w:cstheme="majorBidi"/>
      <w:color w:val="2f5496" w:themeColor="accent1" w:themeShade="BF"/>
    </w:rPr>
  </w:style>
  <w:style w:type="character" w:styleId="901" w:customStyle="1">
    <w:name w:val="Заголовок 6 Знак"/>
    <w:basedOn w:val="871"/>
    <w:link w:val="867"/>
    <w:uiPriority w:val="9"/>
    <w:semiHidden/>
    <w:rPr>
      <w:rFonts w:asciiTheme="majorHAnsi" w:hAnsiTheme="majorHAnsi" w:eastAsiaTheme="majorEastAsia" w:cstheme="majorBidi"/>
      <w:color w:val="1f3763" w:themeColor="accent1" w:themeShade="7F"/>
    </w:rPr>
  </w:style>
  <w:style w:type="character" w:styleId="902" w:customStyle="1">
    <w:name w:val="Заголовок 7 Знак"/>
    <w:basedOn w:val="871"/>
    <w:link w:val="868"/>
    <w:uiPriority w:val="9"/>
    <w:semiHidden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903" w:customStyle="1">
    <w:name w:val="Заголовок 8 Знак"/>
    <w:basedOn w:val="871"/>
    <w:link w:val="869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04" w:customStyle="1">
    <w:name w:val="Заголовок 9 Знак"/>
    <w:basedOn w:val="871"/>
    <w:link w:val="870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05">
    <w:name w:val="endnote text"/>
    <w:basedOn w:val="861"/>
    <w:link w:val="90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906" w:customStyle="1">
    <w:name w:val="Текст концевой сноски Знак"/>
    <w:basedOn w:val="871"/>
    <w:link w:val="905"/>
    <w:uiPriority w:val="99"/>
    <w:semiHidden/>
    <w:rPr>
      <w:sz w:val="20"/>
      <w:szCs w:val="20"/>
    </w:rPr>
  </w:style>
  <w:style w:type="character" w:styleId="907">
    <w:name w:val="endnote reference"/>
    <w:basedOn w:val="871"/>
    <w:uiPriority w:val="99"/>
    <w:semiHidden/>
    <w:unhideWhenUsed/>
    <w:rPr>
      <w:vertAlign w:val="superscript"/>
    </w:rPr>
  </w:style>
  <w:style w:type="character" w:styleId="908">
    <w:name w:val="Unresolved Mention"/>
    <w:basedOn w:val="871"/>
    <w:uiPriority w:val="99"/>
    <w:semiHidden/>
    <w:unhideWhenUsed/>
    <w:rPr>
      <w:color w:val="605e5c"/>
      <w:shd w:val="clear" w:color="auto" w:fill="e1dfdd"/>
    </w:rPr>
  </w:style>
  <w:style w:type="character" w:styleId="909">
    <w:name w:val="FollowedHyperlink"/>
    <w:basedOn w:val="871"/>
    <w:uiPriority w:val="99"/>
    <w:semiHidden/>
    <w:unhideWhenUsed/>
    <w:rPr>
      <w:color w:val="954f72" w:themeColor="followedHyperlink"/>
      <w:u w:val="single"/>
    </w:rPr>
  </w:style>
  <w:style w:type="character" w:styleId="910">
    <w:name w:val="Emphasis"/>
    <w:basedOn w:val="871"/>
    <w:uiPriority w:val="20"/>
    <w:qFormat/>
    <w:rPr>
      <w:i/>
      <w:iCs/>
    </w:rPr>
  </w:style>
  <w:style w:type="paragraph" w:styleId="911">
    <w:name w:val="Header"/>
    <w:basedOn w:val="861"/>
    <w:link w:val="91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2" w:customStyle="1">
    <w:name w:val="Верхний колонтитул Знак"/>
    <w:basedOn w:val="871"/>
    <w:link w:val="911"/>
    <w:uiPriority w:val="99"/>
  </w:style>
  <w:style w:type="paragraph" w:styleId="913">
    <w:name w:val="Footer"/>
    <w:basedOn w:val="861"/>
    <w:link w:val="91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4" w:customStyle="1">
    <w:name w:val="Нижний колонтитул Знак"/>
    <w:basedOn w:val="871"/>
    <w:link w:val="913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dbdiagram.io/d/dangerous_places-66aa2de08b4bb5230edab85f" TargetMode="External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Карпунина Инга Альбертовна</cp:lastModifiedBy>
  <cp:revision>315</cp:revision>
  <dcterms:created xsi:type="dcterms:W3CDTF">2024-06-24T06:49:00Z</dcterms:created>
  <dcterms:modified xsi:type="dcterms:W3CDTF">2025-12-16T10:19:01Z</dcterms:modified>
</cp:coreProperties>
</file>