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c1a399eb6fbb7eb13730146633154ee9d20634"/>
      <w:r>
        <w:t xml:space="preserve">Отчет о выполнении Задания 1: База данных и ETL</w:t>
      </w:r>
      <w:bookmarkEnd w:id="20"/>
    </w:p>
    <w:p>
      <w:pPr>
        <w:pStyle w:val="Heading2"/>
      </w:pPr>
      <w:bookmarkStart w:id="21" w:name="цель-работы"/>
      <w:r>
        <w:t xml:space="preserve">Цель работы</w:t>
      </w:r>
      <w:bookmarkEnd w:id="21"/>
    </w:p>
    <w:p>
      <w:pPr>
        <w:pStyle w:val="FirstParagraph"/>
      </w:pPr>
      <w:r>
        <w:t xml:space="preserve">Разработка подсистемы для работы с продукцией компании, включающей проектирование реляционной базы данных, обеспечивающей 3 нормальную форму и ссылочную целостность, а также реализацию процесса переноса исходных данных.</w:t>
      </w:r>
    </w:p>
    <w:p>
      <w:pPr>
        <w:pStyle w:val="Heading2"/>
      </w:pPr>
      <w:bookmarkStart w:id="22" w:name="выбор-субд"/>
      <w:r>
        <w:t xml:space="preserve">1. Выбор СУБД</w:t>
      </w:r>
      <w:bookmarkEnd w:id="22"/>
    </w:p>
    <w:p>
      <w:pPr>
        <w:pStyle w:val="FirstParagraph"/>
      </w:pPr>
      <w:r>
        <w:t xml:space="preserve">Для реализации проекта была выбрана</w:t>
      </w:r>
      <w:r>
        <w:t xml:space="preserve"> </w:t>
      </w:r>
      <w:r>
        <w:rPr>
          <w:b/>
        </w:rPr>
        <w:t xml:space="preserve">PostgreSQL</w:t>
      </w:r>
      <w:r>
        <w:t xml:space="preserve"> </w:t>
      </w:r>
      <w:hyperlink r:id="rId23">
        <w:r>
          <w:rPr>
            <w:rStyle w:val="Hyperlink"/>
          </w:rPr>
          <w:t xml:space="preserve">1</w:t>
        </w:r>
      </w:hyperlink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Обоснование выбора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Надежность и стандарты</w:t>
            </w:r>
          </w:p>
        </w:tc>
        <w:tc>
          <w:p>
            <w:pPr>
              <w:pStyle w:val="Compact"/>
              <w:jc w:val="left"/>
            </w:pPr>
            <w:r>
              <w:t xml:space="preserve">PostgreSQL является одной из самых продвинутых open-source СУБД, полностью соответствующей стандартам SQL и обеспечивающей высокую надежность транзакций (ACID).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Поддержка функционала</w:t>
            </w:r>
          </w:p>
        </w:tc>
        <w:tc>
          <w:p>
            <w:pPr>
              <w:pStyle w:val="Compact"/>
              <w:jc w:val="left"/>
            </w:pPr>
            <w:r>
              <w:t xml:space="preserve">Поддерживает сложные типы данных, хранимые процедуры, триггеры и представления (VIEW), что позволяет реализовать бизнес-логику, например, расчеты, на уровне базы данных.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Масштабируемость</w:t>
            </w:r>
          </w:p>
        </w:tc>
        <w:tc>
          <w:p>
            <w:pPr>
              <w:pStyle w:val="Compact"/>
              <w:jc w:val="left"/>
            </w:pPr>
            <w:r>
              <w:t xml:space="preserve">Отлично подходит как для небольших проектов, так и для масштабирования в будущем.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Интеграция</w:t>
            </w:r>
          </w:p>
        </w:tc>
        <w:tc>
          <w:p>
            <w:pPr>
              <w:pStyle w:val="Compact"/>
              <w:jc w:val="left"/>
            </w:pPr>
            <w:r>
              <w:t xml:space="preserve">Имеет развитую экосистему и отличную поддержку в Python-фреймворках (FastAPI, SQLAlchemy), что упрощает подключение бэкенда.</w:t>
            </w:r>
          </w:p>
        </w:tc>
      </w:tr>
    </w:tbl>
    <w:p>
      <w:pPr>
        <w:pStyle w:val="Heading2"/>
      </w:pPr>
      <w:bookmarkStart w:id="24" w:name="X53741ab1ac4e3cc4c5b742e669b71c1a82e4212"/>
      <w:r>
        <w:t xml:space="preserve">2. Пошаговые действия по инициализации базы данных</w:t>
      </w:r>
      <w:bookmarkEnd w:id="24"/>
    </w:p>
    <w:p>
      <w:pPr>
        <w:pStyle w:val="Heading3"/>
      </w:pPr>
      <w:bookmarkStart w:id="25" w:name="проектирование-схемы-бд"/>
      <w:r>
        <w:t xml:space="preserve">2.1. Проектирование схемы БД</w:t>
      </w:r>
      <w:bookmarkEnd w:id="25"/>
    </w:p>
    <w:p>
      <w:pPr>
        <w:pStyle w:val="FirstParagraph"/>
      </w:pPr>
      <w:r>
        <w:t xml:space="preserve">На основе описания предметной области были выделены ключевые сущности и разработана схема, обеспечивающая 3 нормальную форму (3НФ) и ссылочную целостность. Схема была реализована в файле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</w:t>
      </w:r>
    </w:p>
    <w:p>
      <w:pPr>
        <w:pStyle w:val="BodyText"/>
      </w:pPr>
      <w:r>
        <w:rPr>
          <w:b/>
        </w:rPr>
        <w:t xml:space="preserve">Ключевые таблицы: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Таблица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Ключевые поля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product_types</w:t>
            </w:r>
          </w:p>
        </w:tc>
        <w:tc>
          <w:p>
            <w:pPr>
              <w:pStyle w:val="Compact"/>
              <w:jc w:val="left"/>
            </w:pPr>
            <w:r>
              <w:t xml:space="preserve">Справочник типов продукции (для коэффициента расчета сырья).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coefficient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material_types</w:t>
            </w:r>
          </w:p>
        </w:tc>
        <w:tc>
          <w:p>
            <w:pPr>
              <w:pStyle w:val="Compact"/>
              <w:jc w:val="left"/>
            </w:pPr>
            <w:r>
              <w:t xml:space="preserve">Справочник типов материалов (для процента потерь сырья).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loss_percent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workshops</w:t>
            </w:r>
          </w:p>
        </w:tc>
        <w:tc>
          <w:p>
            <w:pPr>
              <w:pStyle w:val="Compact"/>
              <w:jc w:val="left"/>
            </w:pPr>
            <w:r>
              <w:t xml:space="preserve">Справочник производственных цехов.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people_count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</w:t>
            </w:r>
          </w:p>
        </w:tc>
        <w:tc>
          <w:p>
            <w:pPr>
              <w:pStyle w:val="Compact"/>
              <w:jc w:val="left"/>
            </w:pPr>
            <w:r>
              <w:t xml:space="preserve">Основная информация о продукции.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(PK),</w:t>
            </w:r>
            <w:r>
              <w:t xml:space="preserve"> </w:t>
            </w:r>
            <w:r>
              <w:rPr>
                <w:rStyle w:val="VerbatimChar"/>
              </w:rPr>
              <w:t xml:space="preserve">article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min_partner_cost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product_type_id</w:t>
            </w:r>
            <w:r>
              <w:t xml:space="preserve"> </w:t>
            </w:r>
            <w:r>
              <w:t xml:space="preserve">(FK),</w:t>
            </w:r>
            <w:r>
              <w:t xml:space="preserve"> </w:t>
            </w:r>
            <w:r>
              <w:rPr>
                <w:rStyle w:val="VerbatimChar"/>
              </w:rPr>
              <w:t xml:space="preserve">material_type_id</w:t>
            </w:r>
            <w:r>
              <w:t xml:space="preserve"> </w:t>
            </w:r>
            <w:r>
              <w:t xml:space="preserve">(FK)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product_workshops</w:t>
            </w:r>
          </w:p>
        </w:tc>
        <w:tc>
          <w:p>
            <w:pPr>
              <w:pStyle w:val="Compact"/>
              <w:jc w:val="left"/>
            </w:pPr>
            <w:r>
              <w:t xml:space="preserve">Связь</w:t>
            </w:r>
            <w:r>
              <w:t xml:space="preserve"> </w:t>
            </w:r>
            <w:r>
              <w:t xml:space="preserve">“</w:t>
            </w:r>
            <w:r>
              <w:t xml:space="preserve">Продукт-Цех</w:t>
            </w:r>
            <w:r>
              <w:t xml:space="preserve">”</w:t>
            </w:r>
            <w:r>
              <w:t xml:space="preserve"> </w:t>
            </w:r>
            <w:r>
              <w:t xml:space="preserve">(многие-ко-многим) с указанием времени.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product_id</w:t>
            </w:r>
            <w:r>
              <w:t xml:space="preserve"> </w:t>
            </w:r>
            <w:r>
              <w:t xml:space="preserve">(FK, PK),</w:t>
            </w:r>
            <w:r>
              <w:t xml:space="preserve"> </w:t>
            </w:r>
            <w:r>
              <w:rPr>
                <w:rStyle w:val="VerbatimChar"/>
              </w:rPr>
              <w:t xml:space="preserve">workshop_id</w:t>
            </w:r>
            <w:r>
              <w:t xml:space="preserve"> </w:t>
            </w:r>
            <w:r>
              <w:t xml:space="preserve">(FK, PK),</w:t>
            </w:r>
            <w:r>
              <w:t xml:space="preserve"> </w:t>
            </w:r>
            <w:r>
              <w:rPr>
                <w:rStyle w:val="VerbatimChar"/>
              </w:rPr>
              <w:t xml:space="preserve">time_minutes</w:t>
            </w:r>
          </w:p>
        </w:tc>
      </w:tr>
    </w:tbl>
    <w:p>
      <w:pPr>
        <w:pStyle w:val="Heading3"/>
      </w:pPr>
      <w:bookmarkStart w:id="26" w:name="обеспечение-целостности-и-именования"/>
      <w:r>
        <w:t xml:space="preserve">2.2. Обеспечение целостности и именования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Именование:</w:t>
      </w:r>
      <w:r>
        <w:t xml:space="preserve"> </w:t>
      </w:r>
      <w:r>
        <w:t xml:space="preserve">Использовано согласованное именование в стиле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для таблиц и полей.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Ссылочная целостность:</w:t>
      </w:r>
      <w:r>
        <w:t xml:space="preserve"> </w:t>
      </w:r>
      <w:r>
        <w:t xml:space="preserve">Применены внешние ключи (</w:t>
      </w:r>
      <w:r>
        <w:rPr>
          <w:rStyle w:val="VerbatimChar"/>
        </w:rPr>
        <w:t xml:space="preserve">FOREIGN KEY</w:t>
      </w:r>
      <w:r>
        <w:t xml:space="preserve">) с правилами</w:t>
      </w:r>
      <w:r>
        <w:t xml:space="preserve"> </w:t>
      </w:r>
      <w:r>
        <w:rPr>
          <w:rStyle w:val="VerbatimChar"/>
        </w:rPr>
        <w:t xml:space="preserve">ON UPDATE CASCADE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ON DELETE RESTRICT/CASCADE</w:t>
      </w:r>
      <w:r>
        <w:t xml:space="preserve"> </w:t>
      </w:r>
      <w:r>
        <w:t xml:space="preserve">для предотвращения потери данных и обеспечения согласованности.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Ограничения:</w:t>
      </w:r>
      <w:r>
        <w:t xml:space="preserve"> </w:t>
      </w:r>
      <w:r>
        <w:t xml:space="preserve">Добавлены ограничения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min_partner_cost &gt;= 0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time_minutes &gt;= 0</w:t>
      </w:r>
      <w:r>
        <w:t xml:space="preserve">) и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(для артикула и наименований).</w:t>
      </w:r>
    </w:p>
    <w:p>
      <w:pPr>
        <w:pStyle w:val="Heading3"/>
      </w:pPr>
      <w:bookmarkStart w:id="27" w:name="генерация-er-диаграммы"/>
      <w:r>
        <w:t xml:space="preserve">2.3. Генерация ER-диаграммы</w:t>
      </w:r>
      <w:bookmarkEnd w:id="27"/>
    </w:p>
    <w:p>
      <w:pPr>
        <w:pStyle w:val="FirstParagraph"/>
      </w:pPr>
      <w:r>
        <w:t xml:space="preserve">После создания скрипта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была сгенерирована диаграмма</w:t>
      </w:r>
      <w:r>
        <w:t xml:space="preserve"> </w:t>
      </w:r>
      <w:r>
        <w:t xml:space="preserve">“</w:t>
      </w:r>
      <w:r>
        <w:t xml:space="preserve">Сущность-Связь</w:t>
      </w:r>
      <w:r>
        <w:t xml:space="preserve">”</w:t>
      </w:r>
      <w:r>
        <w:t xml:space="preserve"> </w:t>
      </w:r>
      <w:r>
        <w:t xml:space="preserve">(ER-диаграмма) средствами СУБД, которая сохранена в файле</w:t>
      </w:r>
      <w:r>
        <w:t xml:space="preserve"> </w:t>
      </w:r>
      <w:r>
        <w:rPr>
          <w:rStyle w:val="VerbatimChar"/>
          <w:b/>
        </w:rPr>
        <w:t xml:space="preserve">er_diagram.pdf</w:t>
      </w:r>
      <w:r>
        <w:t xml:space="preserve">. Диаграмма наглядно демонстрирует структуру таблиц, их атрибуты и установленные связи.</w:t>
      </w:r>
    </w:p>
    <w:p>
      <w:pPr>
        <w:pStyle w:val="Heading3"/>
      </w:pPr>
      <w:bookmarkStart w:id="28" w:name="перенос-данных-etl"/>
      <w:r>
        <w:t xml:space="preserve">2.4. Перенос данных (ETL)</w:t>
      </w:r>
      <w:bookmarkEnd w:id="28"/>
    </w:p>
    <w:p>
      <w:pPr>
        <w:pStyle w:val="FirstParagraph"/>
      </w:pPr>
      <w:r>
        <w:t xml:space="preserve">Для переноса данных из предоставленных файлов</w:t>
      </w:r>
      <w:r>
        <w:t xml:space="preserve"> </w:t>
      </w:r>
      <w:r>
        <w:rPr>
          <w:rStyle w:val="VerbatimChar"/>
        </w:rPr>
        <w:t xml:space="preserve">*_import.xlsx</w:t>
      </w:r>
      <w:r>
        <w:t xml:space="preserve"> </w:t>
      </w:r>
      <w:r>
        <w:t xml:space="preserve">был разработан скрипт</w:t>
      </w:r>
      <w:r>
        <w:t xml:space="preserve"> </w:t>
      </w:r>
      <w:r>
        <w:rPr>
          <w:rStyle w:val="VerbatimChar"/>
          <w:b/>
        </w:rPr>
        <w:t xml:space="preserve">etl_prepare_import.py</w:t>
      </w:r>
      <w:r>
        <w:t xml:space="preserve">.</w:t>
      </w:r>
    </w:p>
    <w:p>
      <w:pPr>
        <w:pStyle w:val="BodyText"/>
      </w:pPr>
      <w:r>
        <w:rPr>
          <w:b/>
        </w:rPr>
        <w:t xml:space="preserve">Пошаговый процесс ETL: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Чтение:</w:t>
      </w:r>
      <w:r>
        <w:t xml:space="preserve"> </w:t>
      </w:r>
      <w:r>
        <w:t xml:space="preserve">Скрипт считывает данные из файлов в папке</w:t>
      </w:r>
      <w:r>
        <w:t xml:space="preserve"> </w:t>
      </w:r>
      <w:r>
        <w:rPr>
          <w:rStyle w:val="VerbatimChar"/>
        </w:rPr>
        <w:t xml:space="preserve">in_xlsx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Преобразование (Transform):</w:t>
      </w:r>
      <w:r>
        <w:t xml:space="preserve"> </w:t>
      </w:r>
      <w:r>
        <w:t xml:space="preserve">Выполняется минимальная очистка и стандартизация данных.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Загрузка (Load):</w:t>
      </w:r>
      <w:r>
        <w:t xml:space="preserve"> </w:t>
      </w:r>
      <w:r>
        <w:t xml:space="preserve">Данные сохраняются в промежуточные CSV-файлы в папке</w:t>
      </w:r>
      <w:r>
        <w:t xml:space="preserve"> </w:t>
      </w:r>
      <w:r>
        <w:rPr>
          <w:rStyle w:val="VerbatimChar"/>
        </w:rPr>
        <w:t xml:space="preserve">out_csv</w:t>
      </w:r>
      <w:r>
        <w:t xml:space="preserve"> </w:t>
      </w:r>
      <w:r>
        <w:t xml:space="preserve">для последующего массового импорта в PostgreSQL.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Импорт:</w:t>
      </w:r>
      <w:r>
        <w:t xml:space="preserve"> </w:t>
      </w:r>
      <w:r>
        <w:t xml:space="preserve">Скрипт запускает команды для загрузки данных из CSV-файлов в соответствующие таблицы БД.</w:t>
      </w:r>
    </w:p>
    <w:p>
      <w:pPr>
        <w:pStyle w:val="FirstParagraph"/>
      </w:pPr>
      <w:r>
        <w:t xml:space="preserve">Таким образом, была обеспечена инициализация базы данных и перенос исходных данных, что является основой для дальнейшей разработки подсистемы.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ожидаемые-результаты"/>
      <w:r>
        <w:t xml:space="preserve">Ожидаемые результаты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Созданный индивидуальный репозиторий:</w:t>
      </w:r>
      <w:r>
        <w:t xml:space="preserve"> </w:t>
      </w:r>
      <w:r>
        <w:rPr>
          <w:b/>
        </w:rPr>
        <w:t xml:space="preserve">Выполнено</w:t>
      </w:r>
      <w:r>
        <w:t xml:space="preserve"> </w:t>
      </w:r>
      <w:r>
        <w:t xml:space="preserve">(Timofey03/practik_1).</w:t>
      </w:r>
    </w:p>
    <w:p>
      <w:pPr>
        <w:numPr>
          <w:ilvl w:val="0"/>
          <w:numId w:val="1003"/>
        </w:numPr>
        <w:pStyle w:val="Compact"/>
      </w:pPr>
      <w:r>
        <w:t xml:space="preserve">Инициализация базы данных:</w:t>
      </w:r>
      <w:r>
        <w:t xml:space="preserve"> </w:t>
      </w:r>
      <w:r>
        <w:rPr>
          <w:b/>
        </w:rPr>
        <w:t xml:space="preserve">Выполнено</w:t>
      </w:r>
      <w:r>
        <w:t xml:space="preserve"> </w:t>
      </w:r>
      <w:r>
        <w:t xml:space="preserve">(скрипт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Перенесенные данные с файлов</w:t>
      </w:r>
      <w:r>
        <w:t xml:space="preserve"> </w:t>
      </w:r>
      <w:r>
        <w:rPr>
          <w:rStyle w:val="VerbatimChar"/>
        </w:rPr>
        <w:t xml:space="preserve">*_import.xlsx</w:t>
      </w:r>
      <w:r>
        <w:t xml:space="preserve">:</w:t>
      </w:r>
      <w:r>
        <w:t xml:space="preserve"> </w:t>
      </w:r>
      <w:r>
        <w:rPr>
          <w:b/>
        </w:rPr>
        <w:t xml:space="preserve">Выполнено</w:t>
      </w:r>
      <w:r>
        <w:t xml:space="preserve"> </w:t>
      </w:r>
      <w:r>
        <w:t xml:space="preserve">(скрипт</w:t>
      </w:r>
      <w:r>
        <w:t xml:space="preserve"> </w:t>
      </w:r>
      <w:r>
        <w:rPr>
          <w:rStyle w:val="VerbatimChar"/>
        </w:rPr>
        <w:t xml:space="preserve">etl_prepare_import.py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Нарисованная диаграмма pdf:</w:t>
      </w:r>
      <w:r>
        <w:t xml:space="preserve"> </w:t>
      </w:r>
      <w:r>
        <w:rPr>
          <w:b/>
        </w:rPr>
        <w:t xml:space="preserve">Выполнено</w:t>
      </w:r>
      <w:r>
        <w:t xml:space="preserve"> </w:t>
      </w:r>
      <w:r>
        <w:t xml:space="preserve">(файл</w:t>
      </w:r>
      <w:r>
        <w:t xml:space="preserve"> </w:t>
      </w:r>
      <w:r>
        <w:rPr>
          <w:rStyle w:val="VerbatimChar"/>
        </w:rPr>
        <w:t xml:space="preserve">er_diagram.pdf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Отчет о проделанной работе:</w:t>
      </w:r>
      <w:r>
        <w:t xml:space="preserve"> </w:t>
      </w:r>
      <w:r>
        <w:rPr>
          <w:b/>
        </w:rPr>
        <w:t xml:space="preserve">Выполнено</w:t>
      </w:r>
      <w:r>
        <w:t xml:space="preserve"> </w:t>
      </w:r>
      <w:r>
        <w:t xml:space="preserve">(данный документ).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postgresql.org/%20-%20&#1054;&#1092;&#1080;&#1094;&#1080;&#1072;&#1083;&#1100;&#1085;&#1099;&#1081;%20&#1089;&#1072;&#1081;&#1090;%20PostgreSQ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www.postgresql.org/%20-%20&#1054;&#1092;&#1080;&#1094;&#1080;&#1072;&#1083;&#1100;&#1085;&#1099;&#1081;%20&#1089;&#1072;&#1081;&#1090;%20Postgre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2025-12-13T12:15:56Z</dcterms:created>
  <dcterms:modified xsi:type="dcterms:W3CDTF">2025-12-13T12:15:56Z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