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f24d20701bb1838ecb8596de6490597f3bc6774"/>
      <w:r>
        <w:t xml:space="preserve">Отчет о выполнении Задания 4: Дополнительный функционал и Метод расчета сырья</w:t>
      </w:r>
      <w:bookmarkEnd w:id="20"/>
    </w:p>
    <w:p>
      <w:pPr>
        <w:pStyle w:val="Heading2"/>
      </w:pPr>
      <w:bookmarkStart w:id="21" w:name="цель-работы"/>
      <w:r>
        <w:t xml:space="preserve">Цель работы</w:t>
      </w:r>
      <w:bookmarkEnd w:id="21"/>
    </w:p>
    <w:p>
      <w:pPr>
        <w:pStyle w:val="FirstParagraph"/>
      </w:pPr>
      <w:r>
        <w:t xml:space="preserve">Реализация дополнительного функционала по выводу списка цехов для конкретного продукта и разработка метода расчета необходимого количества сырья с учетом потерь.</w:t>
      </w:r>
    </w:p>
    <w:p>
      <w:pPr>
        <w:pStyle w:val="Heading2"/>
      </w:pPr>
      <w:bookmarkStart w:id="22" w:name="Xd06f67566caf5ed667ddb073b6364326ee31c25"/>
      <w:r>
        <w:t xml:space="preserve">1. Реализация функционала вывода списка цехов</w:t>
      </w:r>
      <w:bookmarkEnd w:id="22"/>
    </w:p>
    <w:p>
      <w:pPr>
        <w:pStyle w:val="Heading3"/>
      </w:pPr>
      <w:bookmarkStart w:id="23" w:name="интеграция-модуля"/>
      <w:r>
        <w:t xml:space="preserve">1.1. Интеграция модуля</w:t>
      </w:r>
      <w:bookmarkEnd w:id="23"/>
    </w:p>
    <w:p>
      <w:pPr>
        <w:pStyle w:val="FirstParagraph"/>
      </w:pPr>
      <w:r>
        <w:t xml:space="preserve">Функционал вывода списка цехов для производства продукции был интегрирован в общую систему.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Данные:</w:t>
      </w:r>
      <w:r>
        <w:t xml:space="preserve"> </w:t>
      </w:r>
      <w:r>
        <w:t xml:space="preserve">Необходимые данные (название цеха, количество человек, время) хранятся в таблицах</w:t>
      </w:r>
      <w:r>
        <w:t xml:space="preserve"> </w:t>
      </w:r>
      <w:r>
        <w:rPr>
          <w:rStyle w:val="VerbatimChar"/>
        </w:rPr>
        <w:t xml:space="preserve">workshops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product_workshops</w:t>
      </w:r>
      <w:r>
        <w:t xml:space="preserve">. Для удобства работы в БД создано представление (VIEW)</w:t>
      </w:r>
      <w:r>
        <w:t xml:space="preserve"> </w:t>
      </w:r>
      <w:r>
        <w:rPr>
          <w:rStyle w:val="VerbatimChar"/>
        </w:rPr>
        <w:t xml:space="preserve">v_product_workshops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Бэкенд:</w:t>
      </w:r>
      <w:r>
        <w:t xml:space="preserve"> </w:t>
      </w:r>
      <w:r>
        <w:t xml:space="preserve">В файле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реализован эндпоинт</w:t>
      </w:r>
      <w:r>
        <w:t xml:space="preserve"> </w:t>
      </w:r>
      <w:r>
        <w:rPr>
          <w:rStyle w:val="VerbatimChar"/>
        </w:rPr>
        <w:t xml:space="preserve">GET /products/{product_id}/workshops</w:t>
      </w:r>
      <w:r>
        <w:t xml:space="preserve">, который принимает идентификатор продукта и возвращает список цехов, задействованных в его производстве, с указанием требуемой информации.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Фронтенд:</w:t>
      </w:r>
      <w:r>
        <w:t xml:space="preserve"> </w:t>
      </w:r>
      <w:r>
        <w:t xml:space="preserve">В пользовательском интерфейсе (Streamlit) реализован переход на соответствующую страницу/модуль, где отображается список цехов для выбранного продукта.</w:t>
      </w:r>
    </w:p>
    <w:p>
      <w:pPr>
        <w:pStyle w:val="Heading3"/>
      </w:pPr>
      <w:bookmarkStart w:id="24" w:name="соответствие-стилю"/>
      <w:r>
        <w:t xml:space="preserve">1.2. Соответствие стилю</w:t>
      </w:r>
      <w:bookmarkEnd w:id="24"/>
    </w:p>
    <w:p>
      <w:pPr>
        <w:pStyle w:val="FirstParagraph"/>
      </w:pPr>
      <w:r>
        <w:t xml:space="preserve">Модуль вывода списка цехов интегрирован в единый интерфейс Streamlit, обеспечивая согласованный внешний вид с остальными компонентами приложения.</w:t>
      </w:r>
    </w:p>
    <w:p>
      <w:pPr>
        <w:pStyle w:val="Heading2"/>
      </w:pPr>
      <w:bookmarkStart w:id="25" w:name="разработка-метода-расчета-сырья"/>
      <w:r>
        <w:t xml:space="preserve">2. Разработка метода расчета сырья</w:t>
      </w:r>
      <w:bookmarkEnd w:id="25"/>
    </w:p>
    <w:p>
      <w:pPr>
        <w:pStyle w:val="Heading3"/>
      </w:pPr>
      <w:bookmarkStart w:id="26" w:name="алгоритм-расчета"/>
      <w:r>
        <w:t xml:space="preserve">2.1. Алгоритм расчета</w:t>
      </w:r>
      <w:bookmarkEnd w:id="26"/>
    </w:p>
    <w:p>
      <w:pPr>
        <w:pStyle w:val="FirstParagraph"/>
      </w:pPr>
      <w:r>
        <w:t xml:space="preserve">Метод</w:t>
      </w:r>
      <w:r>
        <w:t xml:space="preserve"> </w:t>
      </w:r>
      <w:r>
        <w:rPr>
          <w:rStyle w:val="VerbatimChar"/>
        </w:rPr>
        <w:t xml:space="preserve">calc_required_material</w:t>
      </w:r>
      <w:r>
        <w:t xml:space="preserve"> </w:t>
      </w:r>
      <w:r>
        <w:t xml:space="preserve">реализован в файле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. Он предназначен для расчета целого количества сырья, необходимого для производства заданного количества продукции с учетом потерь.</w:t>
      </w:r>
    </w:p>
    <w:p>
      <w:pPr>
        <w:pStyle w:val="BodyText"/>
      </w:pPr>
      <w:r>
        <w:rPr>
          <w:b/>
        </w:rPr>
        <w:t xml:space="preserve">Входные параметры: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product_type_id</w:t>
      </w:r>
      <w:r>
        <w:t xml:space="preserve"> </w:t>
      </w:r>
      <w:r>
        <w:t xml:space="preserve">(идентификатор типа продукции)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material_type_id</w:t>
      </w:r>
      <w:r>
        <w:t xml:space="preserve"> </w:t>
      </w:r>
      <w:r>
        <w:t xml:space="preserve">(идентификатор типа материала)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(количество продукции)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param1</w:t>
      </w:r>
      <w:r>
        <w:t xml:space="preserve">,</w:t>
      </w:r>
      <w:r>
        <w:t xml:space="preserve"> </w:t>
      </w:r>
      <w:r>
        <w:rPr>
          <w:rStyle w:val="VerbatimChar"/>
        </w:rPr>
        <w:t xml:space="preserve">param2</w:t>
      </w:r>
      <w:r>
        <w:t xml:space="preserve"> </w:t>
      </w:r>
      <w:r>
        <w:t xml:space="preserve">(параметры продукции — вещественные, положительные числа)</w:t>
      </w:r>
    </w:p>
    <w:p>
      <w:pPr>
        <w:pStyle w:val="BodyText"/>
      </w:pPr>
      <w:r>
        <w:rPr>
          <w:b/>
        </w:rPr>
        <w:t xml:space="preserve">Формула расчета:</w:t>
      </w:r>
    </w:p>
    <w:p>
      <w:pPr>
        <w:pStyle w:val="BodyText"/>
      </w:pPr>
      <w:r>
        <w:t xml:space="preserve">Количество необходимого сырья на одну единицу продукции рассчитывается как произведение параметров продукции (</w:t>
      </w:r>
      <w:r>
        <w:rPr>
          <w:rStyle w:val="VerbatimChar"/>
        </w:rPr>
        <w:t xml:space="preserve">param1 * param2</w:t>
      </w:r>
      <w:r>
        <w:t xml:space="preserve">), умноженное на коэффициент типа продукции (</w:t>
      </w:r>
      <w:r>
        <w:rPr>
          <w:rStyle w:val="VerbatimChar"/>
        </w:rPr>
        <w:t xml:space="preserve">coefficient</w:t>
      </w:r>
      <w:r>
        <w:t xml:space="preserve">).</w:t>
      </w:r>
    </w:p>
    <w:p>
      <w:pPr>
        <w:pStyle w:val="BodyText"/>
      </w:pPr>
      <w:r>
        <w:t xml:space="preserve">Общее количество сырья: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Сырье</m:t>
              </m:r>
            </m:e>
            <m:sub>
              <m:r>
                <m:rPr>
                  <m:nor/>
                  <m:sty m:val="p"/>
                </m:rPr>
                <m:t>общее</m:t>
              </m:r>
            </m:sub>
          </m:sSub>
          <m:r>
            <m:t>=</m:t>
          </m:r>
          <m:r>
            <m:rPr>
              <m:nor/>
              <m:sty m:val="p"/>
            </m:rPr>
            <m:t>count</m:t>
          </m:r>
          <m:r>
            <m:t>×</m:t>
          </m:r>
          <m:r>
            <m:t>(</m:t>
          </m:r>
          <m:r>
            <m:rPr>
              <m:nor/>
              <m:sty m:val="p"/>
            </m:rPr>
            <m:t>param1</m:t>
          </m:r>
          <m:r>
            <m:t>×</m:t>
          </m:r>
          <m:r>
            <m:rPr>
              <m:nor/>
              <m:sty m:val="p"/>
            </m:rPr>
            <m:t>param2</m:t>
          </m:r>
          <m:r>
            <m:t>)</m:t>
          </m:r>
          <m:r>
            <m:t>×</m:t>
          </m:r>
          <m:r>
            <m:rPr>
              <m:nor/>
              <m:sty m:val="p"/>
            </m:rPr>
            <m:t>coefficient</m:t>
          </m:r>
        </m:oMath>
      </m:oMathPara>
    </w:p>
    <w:p>
      <w:pPr>
        <w:pStyle w:val="FirstParagraph"/>
      </w:pPr>
      <w:r>
        <w:t xml:space="preserve">С учетом процента потерь сырья (</w:t>
      </w:r>
      <w:r>
        <w:rPr>
          <w:rStyle w:val="VerbatimChar"/>
        </w:rPr>
        <w:t xml:space="preserve">loss_percent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Сырье</m:t>
              </m:r>
            </m:e>
            <m:sub>
              <m:r>
                <m:rPr>
                  <m:nor/>
                  <m:sty m:val="p"/>
                </m:rPr>
                <m:t>финальное</m:t>
              </m:r>
            </m:sub>
          </m:sSub>
          <m:r>
            <m:t>=</m:t>
          </m:r>
          <m:r>
            <m:t>⌈</m:t>
          </m:r>
          <m:sSub>
            <m:e>
              <m:r>
                <m:rPr>
                  <m:nor/>
                  <m:sty m:val="p"/>
                </m:rPr>
                <m:t>Сырье</m:t>
              </m:r>
            </m:e>
            <m:sub>
              <m:r>
                <m:rPr>
                  <m:nor/>
                  <m:sty m:val="p"/>
                </m:rPr>
                <m:t>общее</m:t>
              </m:r>
            </m:sub>
          </m:sSub>
          <m:r>
            <m:t>×</m:t>
          </m:r>
          <m:r>
            <m:t>(</m:t>
          </m:r>
          <m:r>
            <m:t>1</m:t>
          </m:r>
          <m:r>
            <m:t>+</m:t>
          </m:r>
          <m:r>
            <m:rPr>
              <m:nor/>
              <m:sty m:val="p"/>
            </m:rPr>
            <m:t>loss_percent</m:t>
          </m:r>
          <m:r>
            <m:t>)</m:t>
          </m:r>
          <m:r>
            <m:t>⌉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⌈</m:t>
        </m:r>
        <m:r>
          <m:t>…</m:t>
        </m:r>
        <m:r>
          <m:t>⌉</m:t>
        </m:r>
      </m:oMath>
      <w:r>
        <w:t xml:space="preserve"> </w:t>
      </w:r>
      <w:r>
        <w:t xml:space="preserve">— округление в большую сторону (функция</w:t>
      </w:r>
      <w:r>
        <w:t xml:space="preserve"> </w:t>
      </w:r>
      <w:r>
        <w:rPr>
          <w:rStyle w:val="VerbatimChar"/>
        </w:rPr>
        <w:t xml:space="preserve">math.ceil</w:t>
      </w:r>
      <w:r>
        <w:t xml:space="preserve">), так как количество сырья должно быть целым числом.</w:t>
      </w:r>
    </w:p>
    <w:p>
      <w:pPr>
        <w:pStyle w:val="Heading3"/>
      </w:pPr>
      <w:bookmarkStart w:id="27" w:name="реализация-и-обработка-ошибок"/>
      <w:r>
        <w:t xml:space="preserve">2.2. Реализация и обработка ошибок</w:t>
      </w:r>
      <w:bookmarkEnd w:id="27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Реализация:</w:t>
      </w:r>
      <w:r>
        <w:t xml:space="preserve"> </w:t>
      </w:r>
      <w:r>
        <w:t xml:space="preserve">Метод реализован в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как функция</w:t>
      </w:r>
      <w:r>
        <w:t xml:space="preserve"> </w:t>
      </w:r>
      <w:r>
        <w:rPr>
          <w:rStyle w:val="VerbatimChar"/>
        </w:rPr>
        <w:t xml:space="preserve">calc_required_material</w:t>
      </w:r>
      <w:r>
        <w:t xml:space="preserve"> </w:t>
      </w:r>
      <w:r>
        <w:t xml:space="preserve">и доступен через эндпоинт</w:t>
      </w:r>
      <w:r>
        <w:t xml:space="preserve"> </w:t>
      </w:r>
      <w:r>
        <w:rPr>
          <w:rStyle w:val="VerbatimChar"/>
        </w:rPr>
        <w:t xml:space="preserve">POST /materials/calc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Обработка ошибок:</w:t>
      </w:r>
      <w:r>
        <w:t xml:space="preserve"> </w:t>
      </w:r>
      <w:r>
        <w:t xml:space="preserve">Метод возвращает</w:t>
      </w:r>
      <w:r>
        <w:t xml:space="preserve"> </w:t>
      </w:r>
      <w:r>
        <w:rPr>
          <w:b/>
        </w:rPr>
        <w:t xml:space="preserve">-1</w:t>
      </w:r>
      <w:r>
        <w:t xml:space="preserve"> </w:t>
      </w:r>
      <w:r>
        <w:t xml:space="preserve">в случае, если:</w:t>
      </w:r>
    </w:p>
    <w:p>
      <w:pPr>
        <w:numPr>
          <w:ilvl w:val="1"/>
          <w:numId w:val="1003"/>
        </w:numPr>
        <w:pStyle w:val="Compact"/>
      </w:pPr>
      <w:r>
        <w:t xml:space="preserve">Указаны несуществующие</w:t>
      </w:r>
      <w:r>
        <w:t xml:space="preserve"> </w:t>
      </w:r>
      <w:r>
        <w:rPr>
          <w:rStyle w:val="VerbatimChar"/>
        </w:rPr>
        <w:t xml:space="preserve">product_type_id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material_type_id</w:t>
      </w:r>
      <w:r>
        <w:t xml:space="preserve">.</w:t>
      </w:r>
    </w:p>
    <w:p>
      <w:pPr>
        <w:numPr>
          <w:ilvl w:val="1"/>
          <w:numId w:val="1003"/>
        </w:numPr>
        <w:pStyle w:val="Compact"/>
      </w:pPr>
      <w:r>
        <w:t xml:space="preserve">Количество продукции (</w:t>
      </w:r>
      <w:r>
        <w:rPr>
          <w:rStyle w:val="VerbatimChar"/>
        </w:rPr>
        <w:t xml:space="preserve">count</w:t>
      </w:r>
      <w:r>
        <w:t xml:space="preserve">) является отрицательным или нулевым.</w:t>
      </w:r>
    </w:p>
    <w:p>
      <w:pPr>
        <w:numPr>
          <w:ilvl w:val="1"/>
          <w:numId w:val="1003"/>
        </w:numPr>
        <w:pStyle w:val="Compact"/>
      </w:pPr>
      <w:r>
        <w:t xml:space="preserve">Параметры продукции (</w:t>
      </w:r>
      <w:r>
        <w:rPr>
          <w:rStyle w:val="VerbatimChar"/>
        </w:rPr>
        <w:t xml:space="preserve">param1</w:t>
      </w:r>
      <w:r>
        <w:t xml:space="preserve">,</w:t>
      </w:r>
      <w:r>
        <w:t xml:space="preserve"> </w:t>
      </w:r>
      <w:r>
        <w:rPr>
          <w:rStyle w:val="VerbatimChar"/>
        </w:rPr>
        <w:t xml:space="preserve">param2</w:t>
      </w:r>
      <w:r>
        <w:t xml:space="preserve">) не являются положительными числами (эта проверка должна быть реализована в вызывающем коде или модели Pydantic).</w:t>
      </w:r>
    </w:p>
    <w:p>
      <w:pPr>
        <w:pStyle w:val="Heading3"/>
      </w:pPr>
      <w:bookmarkStart w:id="28" w:name="требование-к-репозиторию"/>
      <w:r>
        <w:t xml:space="preserve">2.3. Требование к репозиторию</w:t>
      </w:r>
      <w:bookmarkEnd w:id="28"/>
    </w:p>
    <w:p>
      <w:pPr>
        <w:pStyle w:val="FirstParagraph"/>
      </w:pPr>
      <w:r>
        <w:t xml:space="preserve">Согласно требованию, исходный код метода расчета сырья должен быть загружен в отдельный репозиторий с названием, совпадающим с названием проекта. На данный момент код находится в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текущего репозитория. Для полного соответствия необходимо создать отдельный репозиторий и разместить там файл с этим методом.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ожидаемые-результаты"/>
      <w:r>
        <w:t xml:space="preserve">Ожидаемые результаты</w:t>
      </w:r>
      <w:bookmarkEnd w:id="29"/>
    </w:p>
    <w:p>
      <w:pPr>
        <w:numPr>
          <w:ilvl w:val="0"/>
          <w:numId w:val="1004"/>
        </w:numPr>
        <w:pStyle w:val="Compact"/>
      </w:pPr>
      <w:r>
        <w:t xml:space="preserve">Реализовать вывод списка цехов:</w:t>
      </w:r>
      <w:r>
        <w:t xml:space="preserve"> </w:t>
      </w:r>
      <w:r>
        <w:rPr>
          <w:b/>
        </w:rPr>
        <w:t xml:space="preserve">Выполнено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Реализовать переход на данное окно:</w:t>
      </w:r>
      <w:r>
        <w:t xml:space="preserve"> </w:t>
      </w:r>
      <w:r>
        <w:rPr>
          <w:b/>
        </w:rPr>
        <w:t xml:space="preserve">Выполнено</w:t>
      </w:r>
      <w:r>
        <w:t xml:space="preserve"> </w:t>
      </w:r>
      <w:r>
        <w:t xml:space="preserve">(во фронтенде).</w:t>
      </w:r>
    </w:p>
    <w:p>
      <w:pPr>
        <w:numPr>
          <w:ilvl w:val="0"/>
          <w:numId w:val="1004"/>
        </w:numPr>
        <w:pStyle w:val="Compact"/>
      </w:pPr>
      <w:r>
        <w:t xml:space="preserve">Разработать метод расчета сырья:</w:t>
      </w:r>
      <w:r>
        <w:t xml:space="preserve"> </w:t>
      </w:r>
      <w:r>
        <w:rPr>
          <w:b/>
        </w:rPr>
        <w:t xml:space="preserve">Выполнено</w:t>
      </w:r>
      <w:r>
        <w:t xml:space="preserve"> </w:t>
      </w:r>
      <w:r>
        <w:t xml:space="preserve">(функция</w:t>
      </w:r>
      <w:r>
        <w:t xml:space="preserve"> </w:t>
      </w:r>
      <w:r>
        <w:rPr>
          <w:rStyle w:val="VerbatimChar"/>
        </w:rPr>
        <w:t xml:space="preserve">calc_required_material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Загрузить исходный код метода в отдельный репозиторий:</w:t>
      </w:r>
      <w:r>
        <w:t xml:space="preserve"> </w:t>
      </w:r>
      <w:r>
        <w:rPr>
          <w:b/>
        </w:rPr>
        <w:t xml:space="preserve">Не выполнено</w:t>
      </w:r>
      <w:r>
        <w:t xml:space="preserve"> </w:t>
      </w:r>
      <w:r>
        <w:t xml:space="preserve">(требуется создание отдельного репозитория).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2025-12-13T12:15:56Z</dcterms:created>
  <dcterms:modified xsi:type="dcterms:W3CDTF">2025-12-13T12:15:56Z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