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14B02" w14:textId="3E68ABC1" w:rsidR="000203F3" w:rsidRPr="004F2F04" w:rsidRDefault="008E53BE" w:rsidP="004F2F04">
      <w:pPr>
        <w:adjustRightInd w:val="0"/>
        <w:snapToGrid w:val="0"/>
        <w:spacing w:after="0" w:line="276" w:lineRule="auto"/>
        <w:jc w:val="both"/>
        <w:rPr>
          <w:rFonts w:ascii="华文楷体" w:eastAsia="华文楷体" w:hAnsi="华文楷体" w:hint="eastAsia"/>
        </w:rPr>
      </w:pPr>
      <w:r w:rsidRPr="004F2F04">
        <w:rPr>
          <w:rFonts w:ascii="华文楷体" w:eastAsia="华文楷体" w:hAnsi="华文楷体"/>
        </w:rPr>
        <w:t>安永会计师事务所（“</w:t>
      </w:r>
      <w:r w:rsidR="00580140">
        <w:rPr>
          <w:rFonts w:ascii="华文楷体" w:eastAsia="华文楷体" w:hAnsi="华文楷体" w:hint="eastAsia"/>
        </w:rPr>
        <w:t>安永</w:t>
      </w:r>
      <w:r w:rsidRPr="004F2F04">
        <w:rPr>
          <w:rFonts w:ascii="华文楷体" w:eastAsia="华文楷体" w:hAnsi="华文楷体"/>
        </w:rPr>
        <w:t>”）已为 Airwallex (Singapore) Pte. Ltd. 及其关联方（统称“Airwallex”）的唯一利益和使用目的编制随附报告（“报告”）。根据美国注册会计师协会（“AICPA”）和国际审计与鉴证准则理事会（“IAASB”）的要求，Airwallex 的现有客户及其审计师，以及由Airwallex 确定的部分潜在客户（统称“接收方”），可根据本协议条款访问该报告。</w:t>
      </w:r>
    </w:p>
    <w:p w14:paraId="0A6FE22B" w14:textId="77777777" w:rsidR="00B10F8A" w:rsidRPr="004F2F04" w:rsidRDefault="00B10F8A" w:rsidP="004F2F04">
      <w:pPr>
        <w:adjustRightInd w:val="0"/>
        <w:snapToGrid w:val="0"/>
        <w:spacing w:after="0" w:line="276" w:lineRule="auto"/>
        <w:jc w:val="both"/>
        <w:rPr>
          <w:rFonts w:ascii="华文楷体" w:eastAsia="华文楷体" w:hAnsi="华文楷体" w:hint="eastAsia"/>
        </w:rPr>
      </w:pPr>
    </w:p>
    <w:p w14:paraId="3269316D" w14:textId="456D3C55" w:rsidR="00B10F8A" w:rsidRPr="003F7D2C" w:rsidRDefault="00B10F8A" w:rsidP="004F2F04">
      <w:pPr>
        <w:adjustRightInd w:val="0"/>
        <w:snapToGrid w:val="0"/>
        <w:spacing w:after="0" w:line="276" w:lineRule="auto"/>
        <w:jc w:val="both"/>
        <w:rPr>
          <w:rFonts w:ascii="华文楷体" w:eastAsia="华文楷体" w:hAnsi="华文楷体" w:hint="eastAsia"/>
          <w:b/>
          <w:bCs/>
        </w:rPr>
      </w:pPr>
      <w:r w:rsidRPr="003F7D2C">
        <w:rPr>
          <w:rFonts w:ascii="华文楷体" w:eastAsia="华文楷体" w:hAnsi="华文楷体"/>
          <w:b/>
          <w:bCs/>
        </w:rPr>
        <w:t>您访问该报告的前提是，您代表自己及接收方同意接受下列条款和条件。请仔细阅读。</w:t>
      </w:r>
    </w:p>
    <w:p w14:paraId="11A18773" w14:textId="77777777" w:rsidR="0019515E" w:rsidRPr="004F2F04" w:rsidRDefault="0019515E" w:rsidP="004F2F04">
      <w:pPr>
        <w:adjustRightInd w:val="0"/>
        <w:snapToGrid w:val="0"/>
        <w:spacing w:after="0" w:line="276" w:lineRule="auto"/>
        <w:jc w:val="both"/>
        <w:rPr>
          <w:rFonts w:ascii="华文楷体" w:eastAsia="华文楷体" w:hAnsi="华文楷体" w:hint="eastAsia"/>
        </w:rPr>
      </w:pPr>
    </w:p>
    <w:p w14:paraId="37BD837C" w14:textId="6C612780" w:rsidR="0019515E" w:rsidRPr="004F2F04" w:rsidRDefault="0019515E" w:rsidP="004F2F04">
      <w:pPr>
        <w:adjustRightInd w:val="0"/>
        <w:snapToGrid w:val="0"/>
        <w:spacing w:after="0" w:line="276" w:lineRule="auto"/>
        <w:jc w:val="both"/>
        <w:rPr>
          <w:rFonts w:ascii="华文楷体" w:eastAsia="华文楷体" w:hAnsi="华文楷体" w:hint="eastAsia"/>
        </w:rPr>
      </w:pPr>
      <w:r w:rsidRPr="004F2F04">
        <w:rPr>
          <w:rFonts w:ascii="华文楷体" w:eastAsia="华文楷体" w:hAnsi="华文楷体"/>
        </w:rPr>
        <w:t>点击下方的“同意”按钮，即表示您和接收方同意受本条款和条件约束。该接受和同意应视为您代表自己及接收方作出的书面签名，并且无论本协议以电子方式书写和接受，本协议均应视为满足任何适用法律规定的书面要求。除下文规定的情形外，禁止向 Airwallex以外的任何人员分发或披露报告的任何部分，或其中包含的任何信息或建议。</w:t>
      </w:r>
    </w:p>
    <w:p w14:paraId="198131CD" w14:textId="77777777" w:rsidR="00FB560B" w:rsidRPr="004F2F04" w:rsidRDefault="00FB560B" w:rsidP="004F2F04">
      <w:pPr>
        <w:adjustRightInd w:val="0"/>
        <w:snapToGrid w:val="0"/>
        <w:spacing w:after="0" w:line="276" w:lineRule="auto"/>
        <w:jc w:val="both"/>
        <w:rPr>
          <w:rFonts w:ascii="华文楷体" w:eastAsia="华文楷体" w:hAnsi="华文楷体" w:hint="eastAsia"/>
        </w:rPr>
      </w:pPr>
    </w:p>
    <w:p w14:paraId="2215D001" w14:textId="427FA28C" w:rsidR="00FB560B" w:rsidRPr="003F7D2C" w:rsidRDefault="00FB560B" w:rsidP="003F7D2C">
      <w:pPr>
        <w:pStyle w:val="a9"/>
        <w:numPr>
          <w:ilvl w:val="0"/>
          <w:numId w:val="2"/>
        </w:numPr>
        <w:adjustRightInd w:val="0"/>
        <w:snapToGrid w:val="0"/>
        <w:spacing w:after="0" w:line="276" w:lineRule="auto"/>
        <w:jc w:val="both"/>
        <w:rPr>
          <w:rFonts w:ascii="华文楷体" w:eastAsia="华文楷体" w:hAnsi="华文楷体" w:hint="eastAsia"/>
        </w:rPr>
      </w:pPr>
      <w:r w:rsidRPr="003F7D2C">
        <w:rPr>
          <w:rFonts w:ascii="华文楷体" w:eastAsia="华文楷体" w:hAnsi="华文楷体"/>
        </w:rPr>
        <w:t>Airwallex 委托 EY 对其Financial Infrastructure Platform System的控制措施进行 SOC 1 Type 2 Examination 鉴证，以实现 Airwallex 描述中规定的相关控制目标（“SOC 1 业务”），该业务遵循 AICPA 和 IAASB 制定的鉴证准则。接收方已要求 Airwallex 向其提供 EY 就该业务编制的报告副本。</w:t>
      </w:r>
    </w:p>
    <w:p w14:paraId="062B7E7B" w14:textId="77777777" w:rsidR="00690093" w:rsidRPr="004F2F04" w:rsidRDefault="00690093" w:rsidP="004F2F04">
      <w:pPr>
        <w:adjustRightInd w:val="0"/>
        <w:snapToGrid w:val="0"/>
        <w:spacing w:after="0" w:line="276" w:lineRule="auto"/>
        <w:jc w:val="both"/>
        <w:rPr>
          <w:rFonts w:ascii="华文楷体" w:eastAsia="华文楷体" w:hAnsi="华文楷体" w:hint="eastAsia"/>
        </w:rPr>
      </w:pPr>
    </w:p>
    <w:p w14:paraId="39D97920" w14:textId="386F40C4" w:rsidR="00FB560B" w:rsidRPr="003F7D2C" w:rsidRDefault="00FB560B" w:rsidP="003F7D2C">
      <w:pPr>
        <w:pStyle w:val="a9"/>
        <w:numPr>
          <w:ilvl w:val="0"/>
          <w:numId w:val="2"/>
        </w:numPr>
        <w:adjustRightInd w:val="0"/>
        <w:snapToGrid w:val="0"/>
        <w:spacing w:after="0" w:line="276" w:lineRule="auto"/>
        <w:jc w:val="both"/>
        <w:rPr>
          <w:rFonts w:ascii="华文楷体" w:eastAsia="华文楷体" w:hAnsi="华文楷体" w:hint="eastAsia"/>
        </w:rPr>
      </w:pPr>
      <w:r w:rsidRPr="003F7D2C">
        <w:rPr>
          <w:rFonts w:ascii="华文楷体" w:eastAsia="华文楷体" w:hAnsi="华文楷体"/>
        </w:rPr>
        <w:t>相关服务的执行及报告的编制仅为 Airwallex、其客户及其审计师的利益和使用目的，并非为任何其他目的，包括 Airwallex 潜在客户的使用。EY 未就服务是否充分或报告的其他事项向接收方作出任何陈述或保证。如果 EY 受聘执行额外服务或程序，EY 可能会注意到报告中未涉及的其他事项。</w:t>
      </w:r>
    </w:p>
    <w:p w14:paraId="07D88E52" w14:textId="77777777" w:rsidR="00690093" w:rsidRPr="004F2F04" w:rsidRDefault="00690093" w:rsidP="004F2F04">
      <w:pPr>
        <w:adjustRightInd w:val="0"/>
        <w:snapToGrid w:val="0"/>
        <w:spacing w:after="0" w:line="276" w:lineRule="auto"/>
        <w:jc w:val="both"/>
        <w:rPr>
          <w:rFonts w:ascii="华文楷体" w:eastAsia="华文楷体" w:hAnsi="华文楷体" w:hint="eastAsia"/>
        </w:rPr>
      </w:pPr>
    </w:p>
    <w:p w14:paraId="67089465" w14:textId="77777777" w:rsidR="00FB560B" w:rsidRPr="003F7D2C" w:rsidRDefault="00FB560B" w:rsidP="003F7D2C">
      <w:pPr>
        <w:pStyle w:val="a9"/>
        <w:numPr>
          <w:ilvl w:val="0"/>
          <w:numId w:val="2"/>
        </w:numPr>
        <w:adjustRightInd w:val="0"/>
        <w:snapToGrid w:val="0"/>
        <w:spacing w:after="0" w:line="276" w:lineRule="auto"/>
        <w:jc w:val="both"/>
        <w:rPr>
          <w:rFonts w:ascii="华文楷体" w:eastAsia="华文楷体" w:hAnsi="华文楷体" w:hint="eastAsia"/>
        </w:rPr>
      </w:pPr>
      <w:r w:rsidRPr="003F7D2C">
        <w:rPr>
          <w:rFonts w:ascii="华文楷体" w:eastAsia="华文楷体" w:hAnsi="华文楷体"/>
        </w:rPr>
        <w:t>相关服务不包括：（a）按照 AICPA 和 IAASB 的公认审计准则对财务报表进行审计、审阅或鉴证；（b）按照适用的专业准则对预期财务报表进行鉴证；或（c）执行旨在发现欺诈或违法行为、或测试任何司法管辖区法律法规合规性的程序。</w:t>
      </w:r>
    </w:p>
    <w:p w14:paraId="23CA528F" w14:textId="77777777" w:rsidR="00690093" w:rsidRPr="004F2F04" w:rsidRDefault="00690093" w:rsidP="004F2F04">
      <w:pPr>
        <w:adjustRightInd w:val="0"/>
        <w:snapToGrid w:val="0"/>
        <w:spacing w:after="0" w:line="276" w:lineRule="auto"/>
        <w:jc w:val="both"/>
        <w:rPr>
          <w:rFonts w:ascii="华文楷体" w:eastAsia="华文楷体" w:hAnsi="华文楷体" w:hint="eastAsia"/>
        </w:rPr>
      </w:pPr>
    </w:p>
    <w:p w14:paraId="4F31C361" w14:textId="553D7D96" w:rsidR="00FB560B" w:rsidRPr="003F7D2C" w:rsidRDefault="00FB560B" w:rsidP="003F7D2C">
      <w:pPr>
        <w:pStyle w:val="a9"/>
        <w:numPr>
          <w:ilvl w:val="0"/>
          <w:numId w:val="2"/>
        </w:numPr>
        <w:adjustRightInd w:val="0"/>
        <w:snapToGrid w:val="0"/>
        <w:spacing w:after="0" w:line="276" w:lineRule="auto"/>
        <w:jc w:val="both"/>
        <w:rPr>
          <w:rFonts w:ascii="华文楷体" w:eastAsia="华文楷体" w:hAnsi="华文楷体" w:hint="eastAsia"/>
        </w:rPr>
      </w:pPr>
      <w:r w:rsidRPr="003F7D2C">
        <w:rPr>
          <w:rFonts w:ascii="华文楷体" w:eastAsia="华文楷体" w:hAnsi="华文楷体"/>
        </w:rPr>
        <w:t>接收方：（a）不因服务或其访问报告而取得针对 EY、安永全球网络的任何其他成员事务所，或其各自关联方、合伙人、代理人、代表或雇员（统称“EY 相关方”的任何权利），EY 亦不对接收方承担任何义务或责任；（b）不得依赖该报告；并且（c）不会主张任何适用法律的规定可以使本协议的任何条款无效或失效。</w:t>
      </w:r>
    </w:p>
    <w:p w14:paraId="41A0BC69" w14:textId="77777777" w:rsidR="00636363" w:rsidRPr="004F2F04" w:rsidRDefault="00636363" w:rsidP="004F2F04">
      <w:pPr>
        <w:adjustRightInd w:val="0"/>
        <w:snapToGrid w:val="0"/>
        <w:spacing w:after="0" w:line="276" w:lineRule="auto"/>
        <w:jc w:val="both"/>
        <w:rPr>
          <w:rFonts w:ascii="华文楷体" w:eastAsia="华文楷体" w:hAnsi="华文楷体" w:hint="eastAsia"/>
        </w:rPr>
      </w:pPr>
    </w:p>
    <w:p w14:paraId="7ED5A65D" w14:textId="77777777" w:rsidR="00636363" w:rsidRPr="003F7D2C" w:rsidRDefault="00636363" w:rsidP="003F7D2C">
      <w:pPr>
        <w:pStyle w:val="a9"/>
        <w:numPr>
          <w:ilvl w:val="0"/>
          <w:numId w:val="2"/>
        </w:numPr>
        <w:adjustRightInd w:val="0"/>
        <w:snapToGrid w:val="0"/>
        <w:spacing w:after="0" w:line="276" w:lineRule="auto"/>
        <w:jc w:val="both"/>
        <w:rPr>
          <w:rFonts w:ascii="华文楷体" w:eastAsia="华文楷体" w:hAnsi="华文楷体" w:hint="eastAsia"/>
        </w:rPr>
      </w:pPr>
      <w:r w:rsidRPr="003F7D2C">
        <w:rPr>
          <w:rFonts w:ascii="华文楷体" w:eastAsia="华文楷体" w:hAnsi="华文楷体"/>
        </w:rPr>
        <w:t>除非因法律程序而被强制要求披露（接收方应及时通知 EY，以便 EY 寻求适当保护），接收方不得以口头或书面形式披露报告或其任何部分，也不得在任何公开文件中或向任何第三方提及 EY。</w:t>
      </w:r>
    </w:p>
    <w:p w14:paraId="13045D8E" w14:textId="77777777" w:rsidR="005C53C5" w:rsidRPr="004F2F04" w:rsidRDefault="005C53C5" w:rsidP="004F2F04">
      <w:pPr>
        <w:adjustRightInd w:val="0"/>
        <w:snapToGrid w:val="0"/>
        <w:spacing w:after="0" w:line="276" w:lineRule="auto"/>
        <w:jc w:val="both"/>
        <w:rPr>
          <w:rFonts w:ascii="华文楷体" w:eastAsia="华文楷体" w:hAnsi="华文楷体" w:hint="eastAsia"/>
        </w:rPr>
      </w:pPr>
    </w:p>
    <w:p w14:paraId="1E782806" w14:textId="1247E04A" w:rsidR="00636363" w:rsidRPr="003F7D2C" w:rsidRDefault="00636363" w:rsidP="003F7D2C">
      <w:pPr>
        <w:pStyle w:val="a9"/>
        <w:numPr>
          <w:ilvl w:val="0"/>
          <w:numId w:val="2"/>
        </w:numPr>
        <w:adjustRightInd w:val="0"/>
        <w:snapToGrid w:val="0"/>
        <w:spacing w:after="0" w:line="276" w:lineRule="auto"/>
        <w:jc w:val="both"/>
        <w:rPr>
          <w:rFonts w:ascii="华文楷体" w:eastAsia="华文楷体" w:hAnsi="华文楷体" w:hint="eastAsia"/>
        </w:rPr>
      </w:pPr>
      <w:r w:rsidRPr="003F7D2C">
        <w:rPr>
          <w:rFonts w:ascii="华文楷体" w:eastAsia="华文楷体" w:hAnsi="华文楷体"/>
        </w:rPr>
        <w:t>接收方（代表其自身及其继承人和受让人）特此免除各 EY 相关方因报告、接收方访问报告或 EY 提供服务而产生或与之相关的接收方现有或未来可能对其提出的任何及所</w:t>
      </w:r>
      <w:r w:rsidRPr="003F7D2C">
        <w:rPr>
          <w:rFonts w:ascii="华文楷体" w:eastAsia="华文楷体" w:hAnsi="华文楷体"/>
        </w:rPr>
        <w:lastRenderedPageBreak/>
        <w:t>有索赔或诉因。接收方应就任何 EY 相关方因以下事项遭受或发生的所有索赔、责任、损失和费用向其赔偿、抗辩并使其免受损害：（a）接收方或其代表违反本协议；和/或（b）任何一方直接或间接从接收方处或应其要求取得报告访问权限后，对报告的任何使用或依赖。</w:t>
      </w:r>
    </w:p>
    <w:p w14:paraId="331975E4" w14:textId="77777777" w:rsidR="005C53C5" w:rsidRPr="004F2F04" w:rsidRDefault="005C53C5" w:rsidP="004F2F04">
      <w:pPr>
        <w:adjustRightInd w:val="0"/>
        <w:snapToGrid w:val="0"/>
        <w:spacing w:after="0" w:line="276" w:lineRule="auto"/>
        <w:jc w:val="both"/>
        <w:rPr>
          <w:rFonts w:ascii="华文楷体" w:eastAsia="华文楷体" w:hAnsi="华文楷体" w:hint="eastAsia"/>
        </w:rPr>
      </w:pPr>
    </w:p>
    <w:p w14:paraId="02A4203C" w14:textId="77777777" w:rsidR="00636363" w:rsidRPr="003F7D2C" w:rsidRDefault="00636363" w:rsidP="003F7D2C">
      <w:pPr>
        <w:pStyle w:val="a9"/>
        <w:numPr>
          <w:ilvl w:val="0"/>
          <w:numId w:val="2"/>
        </w:numPr>
        <w:adjustRightInd w:val="0"/>
        <w:snapToGrid w:val="0"/>
        <w:spacing w:after="0" w:line="276" w:lineRule="auto"/>
        <w:jc w:val="both"/>
        <w:rPr>
          <w:rFonts w:ascii="华文楷体" w:eastAsia="华文楷体" w:hAnsi="华文楷体" w:hint="eastAsia"/>
        </w:rPr>
      </w:pPr>
      <w:r w:rsidRPr="003F7D2C">
        <w:rPr>
          <w:rFonts w:ascii="华文楷体" w:eastAsia="华文楷体" w:hAnsi="华文楷体"/>
        </w:rPr>
        <w:t>本协议应受新加坡法律管辖，并依照新加坡法律解释；该等法律适用于新加坡居民订立并将在新加坡履行的协议。</w:t>
      </w:r>
    </w:p>
    <w:p w14:paraId="591CD192" w14:textId="34081CA3" w:rsidR="00636363" w:rsidRPr="004F2F04" w:rsidRDefault="00636363" w:rsidP="004F2F04">
      <w:pPr>
        <w:adjustRightInd w:val="0"/>
        <w:snapToGrid w:val="0"/>
        <w:spacing w:after="0" w:line="276" w:lineRule="auto"/>
        <w:jc w:val="both"/>
        <w:rPr>
          <w:rFonts w:ascii="华文楷体" w:eastAsia="华文楷体" w:hAnsi="华文楷体" w:hint="eastAsia"/>
        </w:rPr>
      </w:pPr>
    </w:p>
    <w:p w14:paraId="65BA0E50" w14:textId="39C07385" w:rsidR="00FB560B" w:rsidRPr="004F2F04" w:rsidRDefault="00FB560B" w:rsidP="004F2F04">
      <w:pPr>
        <w:adjustRightInd w:val="0"/>
        <w:snapToGrid w:val="0"/>
        <w:spacing w:after="0" w:line="276" w:lineRule="auto"/>
        <w:jc w:val="both"/>
        <w:rPr>
          <w:rFonts w:ascii="华文楷体" w:eastAsia="华文楷体" w:hAnsi="华文楷体" w:hint="eastAsia"/>
        </w:rPr>
      </w:pPr>
    </w:p>
    <w:tbl>
      <w:tblPr>
        <w:tblW w:w="5400" w:type="dxa"/>
        <w:jc w:val="center"/>
        <w:tblCellSpacing w:w="180" w:type="dxa"/>
        <w:tblBorders>
          <w:top w:val="nil"/>
          <w:left w:val="nil"/>
          <w:bottom w:val="nil"/>
          <w:right w:val="nil"/>
          <w:insideH w:val="nil"/>
          <w:insideV w:val="nil"/>
        </w:tblBorders>
        <w:tblLayout w:type="fixed"/>
        <w:tblCellMar>
          <w:left w:w="110" w:type="dxa"/>
          <w:right w:w="110" w:type="dxa"/>
        </w:tblCellMar>
        <w:tblLook w:val="04A0" w:firstRow="1" w:lastRow="0" w:firstColumn="1" w:lastColumn="0" w:noHBand="0" w:noVBand="1"/>
      </w:tblPr>
      <w:tblGrid>
        <w:gridCol w:w="2700"/>
        <w:gridCol w:w="2700"/>
      </w:tblGrid>
      <w:tr w:rsidR="00AC5A32" w14:paraId="0EF98D24" w14:textId="77777777" w:rsidTr="00AC5A32">
        <w:trPr>
          <w:tblCellSpacing w:w="180" w:type="dxa"/>
          <w:jc w:val="center"/>
        </w:trPr>
        <w:tc>
          <w:tcPr>
            <w:tcW w:w="2160" w:type="dxa"/>
            <w:tcBorders>
              <w:top w:val="single" w:sz="8" w:space="0" w:color="FFE600"/>
              <w:left w:val="single" w:sz="8" w:space="0" w:color="FFE600"/>
              <w:bottom w:val="single" w:sz="18" w:space="0" w:color="C7A900"/>
              <w:right w:val="single" w:sz="8" w:space="0" w:color="FFE600"/>
            </w:tcBorders>
            <w:shd w:val="clear" w:color="auto" w:fill="FFE600"/>
            <w:tcMar>
              <w:top w:w="110" w:type="dxa"/>
              <w:left w:w="170" w:type="dxa"/>
              <w:bottom w:w="110" w:type="dxa"/>
              <w:right w:w="170" w:type="dxa"/>
            </w:tcMar>
          </w:tcPr>
          <w:p w14:paraId="35FA1745" w14:textId="77777777" w:rsidR="00AC5A32" w:rsidRDefault="00AC5A32" w:rsidP="00D03878">
            <w:pPr>
              <w:spacing w:after="0"/>
              <w:jc w:val="center"/>
              <w:rPr>
                <w:rFonts w:hint="eastAsia"/>
              </w:rPr>
            </w:pPr>
            <w:r>
              <w:rPr>
                <w:rFonts w:ascii="Aptos" w:hAnsi="Aptos"/>
                <w:b/>
                <w:color w:val="171717"/>
              </w:rPr>
              <w:t>同意</w:t>
            </w:r>
          </w:p>
        </w:tc>
        <w:tc>
          <w:tcPr>
            <w:tcW w:w="2160" w:type="dxa"/>
            <w:tcBorders>
              <w:top w:val="single" w:sz="8" w:space="0" w:color="252A34"/>
              <w:left w:val="single" w:sz="8" w:space="0" w:color="252A34"/>
              <w:bottom w:val="single" w:sz="18" w:space="0" w:color="111318"/>
              <w:right w:val="single" w:sz="8" w:space="0" w:color="252A34"/>
            </w:tcBorders>
            <w:shd w:val="clear" w:color="auto" w:fill="252A34"/>
            <w:tcMar>
              <w:top w:w="110" w:type="dxa"/>
              <w:left w:w="170" w:type="dxa"/>
              <w:bottom w:w="110" w:type="dxa"/>
              <w:right w:w="170" w:type="dxa"/>
            </w:tcMar>
          </w:tcPr>
          <w:p w14:paraId="565B7DE5" w14:textId="77777777" w:rsidR="00AC5A32" w:rsidRDefault="00AC5A32" w:rsidP="00D03878">
            <w:pPr>
              <w:spacing w:after="0"/>
              <w:jc w:val="center"/>
              <w:rPr>
                <w:rFonts w:hint="eastAsia"/>
              </w:rPr>
            </w:pPr>
            <w:r>
              <w:rPr>
                <w:rFonts w:ascii="Aptos" w:hAnsi="Aptos"/>
                <w:b/>
                <w:color w:val="FFFFFF"/>
              </w:rPr>
              <w:t>拒绝</w:t>
            </w:r>
          </w:p>
        </w:tc>
      </w:tr>
    </w:tbl>
    <w:p w14:paraId="5873C2DB" w14:textId="77777777" w:rsidR="00144E2F" w:rsidRPr="004F2F04" w:rsidRDefault="00144E2F" w:rsidP="004F2F04">
      <w:pPr>
        <w:adjustRightInd w:val="0"/>
        <w:snapToGrid w:val="0"/>
        <w:spacing w:after="0" w:line="276" w:lineRule="auto"/>
        <w:jc w:val="both"/>
        <w:rPr>
          <w:rFonts w:ascii="华文楷体" w:eastAsia="华文楷体" w:hAnsi="华文楷体" w:hint="eastAsia"/>
        </w:rPr>
      </w:pPr>
    </w:p>
    <w:sectPr w:rsidR="00144E2F" w:rsidRPr="004F2F04" w:rsidSect="00230FA9">
      <w:pgSz w:w="11906" w:h="16838"/>
      <w:pgMar w:top="1440" w:right="1588" w:bottom="1440" w:left="158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6AA5A" w14:textId="77777777" w:rsidR="00DD14A1" w:rsidRDefault="00DD14A1" w:rsidP="00A86AE9">
      <w:pPr>
        <w:spacing w:after="0" w:line="240" w:lineRule="auto"/>
        <w:rPr>
          <w:rFonts w:hint="eastAsia"/>
        </w:rPr>
      </w:pPr>
      <w:r>
        <w:separator/>
      </w:r>
    </w:p>
  </w:endnote>
  <w:endnote w:type="continuationSeparator" w:id="0">
    <w:p w14:paraId="15BA8E08" w14:textId="77777777" w:rsidR="00DD14A1" w:rsidRDefault="00DD14A1" w:rsidP="00A86AE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15CEA" w14:textId="77777777" w:rsidR="00DD14A1" w:rsidRDefault="00DD14A1" w:rsidP="00A86AE9">
      <w:pPr>
        <w:spacing w:after="0" w:line="240" w:lineRule="auto"/>
        <w:rPr>
          <w:rFonts w:hint="eastAsia"/>
        </w:rPr>
      </w:pPr>
      <w:r>
        <w:separator/>
      </w:r>
    </w:p>
  </w:footnote>
  <w:footnote w:type="continuationSeparator" w:id="0">
    <w:p w14:paraId="34E80344" w14:textId="77777777" w:rsidR="00DD14A1" w:rsidRDefault="00DD14A1" w:rsidP="00A86AE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ED35F8"/>
    <w:multiLevelType w:val="hybridMultilevel"/>
    <w:tmpl w:val="6440808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71481EDD"/>
    <w:multiLevelType w:val="hybridMultilevel"/>
    <w:tmpl w:val="726405A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00650070">
    <w:abstractNumId w:val="1"/>
  </w:num>
  <w:num w:numId="2" w16cid:durableId="785274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3F3"/>
    <w:rsid w:val="00004C57"/>
    <w:rsid w:val="000203F3"/>
    <w:rsid w:val="00040694"/>
    <w:rsid w:val="000A6DC7"/>
    <w:rsid w:val="000A7582"/>
    <w:rsid w:val="00144E2F"/>
    <w:rsid w:val="00150C84"/>
    <w:rsid w:val="0019515E"/>
    <w:rsid w:val="001D5DC4"/>
    <w:rsid w:val="00221155"/>
    <w:rsid w:val="00230FA9"/>
    <w:rsid w:val="00242082"/>
    <w:rsid w:val="00286388"/>
    <w:rsid w:val="002938D6"/>
    <w:rsid w:val="002E74FF"/>
    <w:rsid w:val="00311592"/>
    <w:rsid w:val="00371397"/>
    <w:rsid w:val="00381B44"/>
    <w:rsid w:val="003F7500"/>
    <w:rsid w:val="003F7D2C"/>
    <w:rsid w:val="004A3995"/>
    <w:rsid w:val="004B5132"/>
    <w:rsid w:val="004F2F04"/>
    <w:rsid w:val="00580140"/>
    <w:rsid w:val="005C53C5"/>
    <w:rsid w:val="00636363"/>
    <w:rsid w:val="00683546"/>
    <w:rsid w:val="00690093"/>
    <w:rsid w:val="006D2531"/>
    <w:rsid w:val="00766838"/>
    <w:rsid w:val="0078432C"/>
    <w:rsid w:val="00795E59"/>
    <w:rsid w:val="007B0A38"/>
    <w:rsid w:val="007C1E66"/>
    <w:rsid w:val="008D1CF3"/>
    <w:rsid w:val="008E53BE"/>
    <w:rsid w:val="008F2F66"/>
    <w:rsid w:val="0090023A"/>
    <w:rsid w:val="00977F18"/>
    <w:rsid w:val="009C4FE3"/>
    <w:rsid w:val="00A86AE9"/>
    <w:rsid w:val="00AC5A32"/>
    <w:rsid w:val="00AF1CA6"/>
    <w:rsid w:val="00B10F8A"/>
    <w:rsid w:val="00D3166B"/>
    <w:rsid w:val="00DA38DA"/>
    <w:rsid w:val="00DD14A1"/>
    <w:rsid w:val="00DE023F"/>
    <w:rsid w:val="00E15E98"/>
    <w:rsid w:val="00E57454"/>
    <w:rsid w:val="00E75AAF"/>
    <w:rsid w:val="00EA067A"/>
    <w:rsid w:val="00EA7816"/>
    <w:rsid w:val="00F14869"/>
    <w:rsid w:val="00F47A40"/>
    <w:rsid w:val="00F86CC6"/>
    <w:rsid w:val="00FB3959"/>
    <w:rsid w:val="00FB56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043599"/>
  <w15:chartTrackingRefBased/>
  <w15:docId w15:val="{A1781522-EDB7-4C7C-AE88-490A346AE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203F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203F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203F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203F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203F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203F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203F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203F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203F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203F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203F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203F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203F3"/>
    <w:rPr>
      <w:rFonts w:cstheme="majorBidi"/>
      <w:color w:val="0F4761" w:themeColor="accent1" w:themeShade="BF"/>
      <w:sz w:val="28"/>
      <w:szCs w:val="28"/>
    </w:rPr>
  </w:style>
  <w:style w:type="character" w:customStyle="1" w:styleId="50">
    <w:name w:val="标题 5 字符"/>
    <w:basedOn w:val="a0"/>
    <w:link w:val="5"/>
    <w:uiPriority w:val="9"/>
    <w:semiHidden/>
    <w:rsid w:val="000203F3"/>
    <w:rPr>
      <w:rFonts w:cstheme="majorBidi"/>
      <w:color w:val="0F4761" w:themeColor="accent1" w:themeShade="BF"/>
      <w:sz w:val="24"/>
    </w:rPr>
  </w:style>
  <w:style w:type="character" w:customStyle="1" w:styleId="60">
    <w:name w:val="标题 6 字符"/>
    <w:basedOn w:val="a0"/>
    <w:link w:val="6"/>
    <w:uiPriority w:val="9"/>
    <w:semiHidden/>
    <w:rsid w:val="000203F3"/>
    <w:rPr>
      <w:rFonts w:cstheme="majorBidi"/>
      <w:b/>
      <w:bCs/>
      <w:color w:val="0F4761" w:themeColor="accent1" w:themeShade="BF"/>
    </w:rPr>
  </w:style>
  <w:style w:type="character" w:customStyle="1" w:styleId="70">
    <w:name w:val="标题 7 字符"/>
    <w:basedOn w:val="a0"/>
    <w:link w:val="7"/>
    <w:uiPriority w:val="9"/>
    <w:semiHidden/>
    <w:rsid w:val="000203F3"/>
    <w:rPr>
      <w:rFonts w:cstheme="majorBidi"/>
      <w:b/>
      <w:bCs/>
      <w:color w:val="595959" w:themeColor="text1" w:themeTint="A6"/>
    </w:rPr>
  </w:style>
  <w:style w:type="character" w:customStyle="1" w:styleId="80">
    <w:name w:val="标题 8 字符"/>
    <w:basedOn w:val="a0"/>
    <w:link w:val="8"/>
    <w:uiPriority w:val="9"/>
    <w:semiHidden/>
    <w:rsid w:val="000203F3"/>
    <w:rPr>
      <w:rFonts w:cstheme="majorBidi"/>
      <w:color w:val="595959" w:themeColor="text1" w:themeTint="A6"/>
    </w:rPr>
  </w:style>
  <w:style w:type="character" w:customStyle="1" w:styleId="90">
    <w:name w:val="标题 9 字符"/>
    <w:basedOn w:val="a0"/>
    <w:link w:val="9"/>
    <w:uiPriority w:val="9"/>
    <w:semiHidden/>
    <w:rsid w:val="000203F3"/>
    <w:rPr>
      <w:rFonts w:eastAsiaTheme="majorEastAsia" w:cstheme="majorBidi"/>
      <w:color w:val="595959" w:themeColor="text1" w:themeTint="A6"/>
    </w:rPr>
  </w:style>
  <w:style w:type="paragraph" w:styleId="a3">
    <w:name w:val="Title"/>
    <w:basedOn w:val="a"/>
    <w:next w:val="a"/>
    <w:link w:val="a4"/>
    <w:uiPriority w:val="10"/>
    <w:qFormat/>
    <w:rsid w:val="000203F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203F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03F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203F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203F3"/>
    <w:pPr>
      <w:spacing w:before="160"/>
      <w:jc w:val="center"/>
    </w:pPr>
    <w:rPr>
      <w:i/>
      <w:iCs/>
      <w:color w:val="404040" w:themeColor="text1" w:themeTint="BF"/>
    </w:rPr>
  </w:style>
  <w:style w:type="character" w:customStyle="1" w:styleId="a8">
    <w:name w:val="引用 字符"/>
    <w:basedOn w:val="a0"/>
    <w:link w:val="a7"/>
    <w:uiPriority w:val="29"/>
    <w:rsid w:val="000203F3"/>
    <w:rPr>
      <w:i/>
      <w:iCs/>
      <w:color w:val="404040" w:themeColor="text1" w:themeTint="BF"/>
    </w:rPr>
  </w:style>
  <w:style w:type="paragraph" w:styleId="a9">
    <w:name w:val="List Paragraph"/>
    <w:basedOn w:val="a"/>
    <w:uiPriority w:val="34"/>
    <w:qFormat/>
    <w:rsid w:val="000203F3"/>
    <w:pPr>
      <w:ind w:left="720"/>
      <w:contextualSpacing/>
    </w:pPr>
  </w:style>
  <w:style w:type="character" w:styleId="aa">
    <w:name w:val="Intense Emphasis"/>
    <w:basedOn w:val="a0"/>
    <w:uiPriority w:val="21"/>
    <w:qFormat/>
    <w:rsid w:val="000203F3"/>
    <w:rPr>
      <w:i/>
      <w:iCs/>
      <w:color w:val="0F4761" w:themeColor="accent1" w:themeShade="BF"/>
    </w:rPr>
  </w:style>
  <w:style w:type="paragraph" w:styleId="ab">
    <w:name w:val="Intense Quote"/>
    <w:basedOn w:val="a"/>
    <w:next w:val="a"/>
    <w:link w:val="ac"/>
    <w:uiPriority w:val="30"/>
    <w:qFormat/>
    <w:rsid w:val="000203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203F3"/>
    <w:rPr>
      <w:i/>
      <w:iCs/>
      <w:color w:val="0F4761" w:themeColor="accent1" w:themeShade="BF"/>
    </w:rPr>
  </w:style>
  <w:style w:type="character" w:styleId="ad">
    <w:name w:val="Intense Reference"/>
    <w:basedOn w:val="a0"/>
    <w:uiPriority w:val="32"/>
    <w:qFormat/>
    <w:rsid w:val="000203F3"/>
    <w:rPr>
      <w:b/>
      <w:bCs/>
      <w:smallCaps/>
      <w:color w:val="0F4761" w:themeColor="accent1" w:themeShade="BF"/>
      <w:spacing w:val="5"/>
    </w:rPr>
  </w:style>
  <w:style w:type="paragraph" w:styleId="ae">
    <w:name w:val="Normal (Web)"/>
    <w:basedOn w:val="a"/>
    <w:uiPriority w:val="99"/>
    <w:semiHidden/>
    <w:unhideWhenUsed/>
    <w:rsid w:val="00636363"/>
    <w:pPr>
      <w:widowControl/>
      <w:spacing w:before="100" w:beforeAutospacing="1" w:after="100" w:afterAutospacing="1" w:line="240" w:lineRule="auto"/>
    </w:pPr>
    <w:rPr>
      <w:rFonts w:ascii="宋体" w:eastAsia="宋体" w:hAnsi="宋体" w:cs="宋体"/>
      <w:kern w:val="0"/>
      <w:sz w:val="24"/>
      <w14:ligatures w14:val="none"/>
    </w:rPr>
  </w:style>
  <w:style w:type="table" w:styleId="af">
    <w:name w:val="Table Grid"/>
    <w:basedOn w:val="a1"/>
    <w:uiPriority w:val="39"/>
    <w:rsid w:val="000406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header"/>
    <w:basedOn w:val="a"/>
    <w:link w:val="af1"/>
    <w:uiPriority w:val="99"/>
    <w:unhideWhenUsed/>
    <w:rsid w:val="00A86AE9"/>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A86AE9"/>
    <w:rPr>
      <w:sz w:val="18"/>
      <w:szCs w:val="18"/>
    </w:rPr>
  </w:style>
  <w:style w:type="paragraph" w:styleId="af2">
    <w:name w:val="footer"/>
    <w:basedOn w:val="a"/>
    <w:link w:val="af3"/>
    <w:uiPriority w:val="99"/>
    <w:unhideWhenUsed/>
    <w:rsid w:val="00A86AE9"/>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A86AE9"/>
    <w:rPr>
      <w:sz w:val="18"/>
      <w:szCs w:val="18"/>
    </w:rPr>
  </w:style>
  <w:style w:type="paragraph" w:styleId="af4">
    <w:name w:val="footnote text"/>
    <w:basedOn w:val="a"/>
    <w:link w:val="af5"/>
    <w:uiPriority w:val="99"/>
    <w:semiHidden/>
    <w:unhideWhenUsed/>
    <w:rsid w:val="00F14869"/>
    <w:pPr>
      <w:snapToGrid w:val="0"/>
    </w:pPr>
    <w:rPr>
      <w:sz w:val="18"/>
      <w:szCs w:val="18"/>
    </w:rPr>
  </w:style>
  <w:style w:type="character" w:customStyle="1" w:styleId="af5">
    <w:name w:val="脚注文本 字符"/>
    <w:basedOn w:val="a0"/>
    <w:link w:val="af4"/>
    <w:uiPriority w:val="99"/>
    <w:semiHidden/>
    <w:rsid w:val="00F14869"/>
    <w:rPr>
      <w:sz w:val="18"/>
      <w:szCs w:val="18"/>
    </w:rPr>
  </w:style>
  <w:style w:type="character" w:styleId="af6">
    <w:name w:val="footnote reference"/>
    <w:basedOn w:val="a0"/>
    <w:uiPriority w:val="99"/>
    <w:semiHidden/>
    <w:unhideWhenUsed/>
    <w:rsid w:val="00F1486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FFE600"/>
        </a:solidFill>
        <a:ln>
          <a:noFill/>
        </a:ln>
        <a:effectLst>
          <a:outerShdw blurRad="50800" dist="38100" dir="5400000" algn="t" rotWithShape="0">
            <a:prstClr val="black">
              <a:alpha val="40000"/>
            </a:prstClr>
          </a:outerShdw>
        </a:effectLst>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9C267F-2FED-4CC6-9597-AFA7BAB43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2</Pages>
  <Words>221</Words>
  <Characters>1154</Characters>
  <Application>Microsoft Office Word</Application>
  <DocSecurity>0</DocSecurity>
  <Lines>19</Lines>
  <Paragraphs>4</Paragraphs>
  <ScaleCrop>false</ScaleCrop>
  <Company/>
  <LinksUpToDate>false</LinksUpToDate>
  <CharactersWithSpaces>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Smoky Gu</dc:creator>
  <cp:keywords/>
  <dc:description/>
  <cp:lastModifiedBy>Smoky Gu</cp:lastModifiedBy>
  <cp:revision>69</cp:revision>
  <cp:lastPrinted>2026-08-18T06:28:00Z</cp:lastPrinted>
  <dcterms:created xsi:type="dcterms:W3CDTF">2026-08-18T03:49:00Z</dcterms:created>
  <dcterms:modified xsi:type="dcterms:W3CDTF">2026-08-18T08:10:00Z</dcterms:modified>
</cp:coreProperties>
</file>