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2400"/>
      </w:pPr>
      <w:r>
        <w:t xml:space="preserve"/>
      </w:r>
    </w:p>
    <w:p>
      <w:pPr>
        <w:spacing w:after="120"/>
        <w:jc w:val="center"/>
      </w:pPr>
      <w:r>
        <w:rPr>
          <w:b/>
          <w:bCs/>
          <w:color w:val="1A4731"/>
          <w:sz w:val="96"/>
          <w:szCs w:val="96"/>
        </w:rPr>
        <w:t xml:space="preserve">SPACE</w:t>
      </w:r>
    </w:p>
    <w:p>
      <w:pPr>
        <w:spacing w:after="600"/>
        <w:jc w:val="center"/>
      </w:pPr>
      <w:r>
        <w:rPr>
          <w:color w:val="C9973A"/>
          <w:sz w:val="24"/>
          <w:szCs w:val="24"/>
        </w:rPr>
        <w:t xml:space="preserve">Software Platform Analysis, Comparison, and Evaluation</w:t>
      </w:r>
    </w:p>
    <w:p>
      <w:pPr>
        <w:pBdr>
          <w:top w:val="single" w:color="C9973A" w:sz="6" w:space="16"/>
          <w:bottom w:val="single" w:color="C9973A" w:sz="6" w:space="16"/>
        </w:pBdr>
        <w:spacing w:after="200" w:before="200" w:line="360"/>
        <w:jc w:val="center"/>
      </w:pPr>
      <w:r>
        <w:rPr>
          <w:b/>
          <w:bCs/>
          <w:color w:val="1A4731"/>
          <w:sz w:val="36"/>
          <w:szCs w:val="36"/>
        </w:rPr>
        <w:t xml:space="preserve">A Plain-English Guide</w:t>
      </w:r>
    </w:p>
    <w:p>
      <w:pPr>
        <w:spacing w:after="800" w:before="800"/>
      </w:pPr>
      <w:r>
        <w:t xml:space="preserve"/>
      </w:r>
    </w:p>
    <w:p>
      <w:pPr>
        <w:spacing w:line="340"/>
        <w:jc w:val="center"/>
      </w:pPr>
      <w:r>
        <w:rPr>
          <w:i/>
          <w:iCs/>
          <w:color w:val="666666"/>
          <w:sz w:val="22"/>
          <w:szCs w:val="22"/>
        </w:rPr>
        <w:t xml:space="preserve">What the tool does, who it is for, and how it fits into the EdTech procurement process.</w:t>
      </w:r>
    </w:p>
    <w:p>
      <w:r>
        <w:br w:type="page"/>
      </w:r>
    </w:p>
    <w:p>
      <w:pPr>
        <w:pStyle w:val="Heading1"/>
        <w:spacing w:after="200" w:before="480"/>
      </w:pPr>
      <w:r>
        <w:rPr>
          <w:b/>
          <w:bCs/>
          <w:color w:val="1A4731"/>
        </w:rPr>
        <w:t xml:space="preserve">What is SPACE?</w:t>
      </w:r>
    </w:p>
    <w:p>
      <w:pPr>
        <w:spacing w:after="160" w:line="320"/>
      </w:pPr>
      <w:r>
        <w:rPr>
          <w:b w:val="false"/>
          <w:bCs w:val="false"/>
          <w:color w:val="2B2B2B"/>
        </w:rPr>
        <w:t xml:space="preserve">SPACE stands for </w:t>
      </w:r>
      <w:r>
        <w:rPr>
          <w:b/>
          <w:bCs/>
          <w:color w:val="2B2B2B"/>
        </w:rPr>
        <w:t xml:space="preserve">Software Platform Analysis, Comparison, and Evaluation</w:t>
      </w:r>
      <w:r>
        <w:rPr>
          <w:b w:val="false"/>
          <w:bCs w:val="false"/>
          <w:color w:val="2B2B2B"/>
        </w:rPr>
        <w:t xml:space="preserve">. It is a web application designed to help an organisation pick the right educational technology platforms (EdTech) for its needs. Think of it as a structured way to ask, score, compare, and document "which of these tools is actually worth buying, and for which group of learners?"</w:t>
      </w:r>
    </w:p>
    <w:p>
      <w:pPr>
        <w:spacing w:after="160" w:line="320"/>
      </w:pPr>
      <w:r>
        <w:rPr>
          <w:color w:val="2B2B2B"/>
        </w:rPr>
        <w:t xml:space="preserve">EdTech procurement is harder than it looks. Vendors all claim to do everything, the features sound similar on glossy marketing pages, and different people in the organisation (curriculum leads, IT, accessibility experts, finance) value different things. Without structure, decisions end up driven by whoever shouted loudest in the last meeting. SPACE replaces that with a consistent process that is fast, transparent, and audit-friendly.</w:t>
      </w:r>
    </w:p>
    <w:p>
      <w:pPr>
        <w:pStyle w:val="Heading1"/>
        <w:spacing w:after="200" w:before="480"/>
      </w:pPr>
      <w:r>
        <w:rPr>
          <w:b/>
          <w:bCs/>
          <w:color w:val="1A4731"/>
        </w:rPr>
        <w:t xml:space="preserve">The two layers</w:t>
      </w:r>
    </w:p>
    <w:p>
      <w:pPr>
        <w:spacing w:after="160" w:line="320"/>
      </w:pPr>
      <w:r>
        <w:rPr>
          <w:color w:val="2B2B2B"/>
        </w:rPr>
        <w:t xml:space="preserve">SPACE has two complementary tools. They share the same underlying requirement set but operate at different speeds and confidence levels.</w:t>
      </w:r>
    </w:p>
    <w:p>
      <w:pPr>
        <w:pStyle w:val="Heading2"/>
        <w:spacing w:after="160" w:before="320"/>
      </w:pPr>
      <w:r>
        <w:rPr>
          <w:b/>
          <w:bCs/>
          <w:color w:val="1A4731"/>
        </w:rPr>
        <w:t xml:space="preserve">Layer 1: Tool Scanner (the fast triage)</w:t>
      </w:r>
    </w:p>
    <w:p>
      <w:pPr>
        <w:spacing w:after="160" w:line="320"/>
      </w:pPr>
      <w:r>
        <w:rPr>
          <w:color w:val="2B2B2B"/>
        </w:rPr>
        <w:t xml:space="preserve">Tool Scanner is the exploratory layer. You give it the name of a platform and its website URL, and an AI agent goes off and reads everything publicly available about it: the vendor website, product documentation, help centres, app store listings, YouTube demos, third-party reviews, news articles. From that evidence it produces a score (0 to 4) against every requirement in your catalogue.</w:t>
      </w:r>
    </w:p>
    <w:p>
      <w:pPr>
        <w:spacing w:after="160" w:line="320"/>
      </w:pPr>
      <w:r>
        <w:rPr>
          <w:color w:val="2B2B2B"/>
        </w:rPr>
        <w:t xml:space="preserve">What you get is a quick, evidence-based estimate of how a platform stacks up, delivered in minutes instead of weeks. Because the AI works only from public information, it is naturally conservative: if it cannot find proof of a feature, it scores it zero. That makes the scores useful for filtering ("which of these fifty platforms is worth a closer look?") even if they are not the final word.</w:t>
      </w:r>
    </w:p>
    <w:p>
      <w:pPr>
        <w:spacing w:after="160" w:line="320"/>
      </w:pPr>
      <w:r>
        <w:rPr>
          <w:color w:val="2B2B2B"/>
        </w:rPr>
        <w:t xml:space="preserve">Tool Scanner has four tabs:</w:t>
      </w:r>
    </w:p>
    <w:p>
      <w:pPr>
        <w:pStyle w:val="ListParagraph"/>
        <w:numPr>
          <w:ilvl w:val="0"/>
          <w:numId w:val="2"/>
        </w:numPr>
        <w:spacing w:after="80" w:line="300"/>
      </w:pPr>
      <w:r>
        <w:rPr>
          <w:b/>
          <w:bCs/>
          <w:color w:val="2B2B2B"/>
        </w:rPr>
        <w:t xml:space="preserve">Evaluator:</w:t>
      </w:r>
      <w:r>
        <w:rPr>
          <w:color w:val="2B2B2B"/>
        </w:rPr>
        <w:t xml:space="preserve"> where you run a new scan and see your history of past scans.</w:t>
      </w:r>
    </w:p>
    <w:p>
      <w:pPr>
        <w:pStyle w:val="ListParagraph"/>
        <w:numPr>
          <w:ilvl w:val="0"/>
          <w:numId w:val="2"/>
        </w:numPr>
        <w:spacing w:after="80" w:line="300"/>
      </w:pPr>
      <w:r>
        <w:rPr>
          <w:b/>
          <w:bCs/>
          <w:color w:val="2B2B2B"/>
        </w:rPr>
        <w:t xml:space="preserve">Rankings:</w:t>
      </w:r>
      <w:r>
        <w:rPr>
          <w:color w:val="2B2B2B"/>
        </w:rPr>
        <w:t xml:space="preserve"> every scanned platform ranked, filterable by grade level, fluency level, and requirement category.</w:t>
      </w:r>
    </w:p>
    <w:p>
      <w:pPr>
        <w:pStyle w:val="ListParagraph"/>
        <w:numPr>
          <w:ilvl w:val="0"/>
          <w:numId w:val="2"/>
        </w:numPr>
        <w:spacing w:after="80" w:line="300"/>
      </w:pPr>
      <w:r>
        <w:rPr>
          <w:b/>
          <w:bCs/>
          <w:color w:val="2B2B2B"/>
        </w:rPr>
        <w:t xml:space="preserve">Scoring Matrix:</w:t>
      </w:r>
      <w:r>
        <w:rPr>
          <w:color w:val="2B2B2B"/>
        </w:rPr>
        <w:t xml:space="preserve"> a spreadsheet-style grid with every platform as a column and every requirement as a row; downloadable as Excel.</w:t>
      </w:r>
    </w:p>
    <w:p>
      <w:pPr>
        <w:pStyle w:val="ListParagraph"/>
        <w:numPr>
          <w:ilvl w:val="0"/>
          <w:numId w:val="2"/>
        </w:numPr>
        <w:spacing w:after="80" w:line="300"/>
      </w:pPr>
      <w:r>
        <w:rPr>
          <w:b/>
          <w:bCs/>
          <w:color w:val="2B2B2B"/>
        </w:rPr>
        <w:t xml:space="preserve">Categorical Analysis:</w:t>
      </w:r>
      <w:r>
        <w:rPr>
          <w:color w:val="2B2B2B"/>
        </w:rPr>
        <w:t xml:space="preserve"> compare up to three platforms category by category to see which one is strongest where.</w:t>
      </w:r>
    </w:p>
    <w:p>
      <w:pPr>
        <w:spacing w:after="160" w:line="320"/>
      </w:pPr>
      <w:r>
        <w:rPr>
          <w:b w:val="false"/>
          <w:bCs w:val="false"/>
          <w:color w:val="2B2B2B"/>
        </w:rPr>
        <w:t xml:space="preserve">The scanner also respects </w:t>
      </w:r>
      <w:r>
        <w:rPr>
          <w:b/>
          <w:bCs/>
          <w:color w:val="2B2B2B"/>
        </w:rPr>
        <w:t xml:space="preserve">contexts</w:t>
      </w:r>
      <w:r>
        <w:rPr>
          <w:b w:val="false"/>
          <w:bCs w:val="false"/>
          <w:color w:val="2B2B2B"/>
        </w:rPr>
        <w:t xml:space="preserve"> (more on those below): you can switch into a context like "K-12 Reading Intervention" and everything reweights according to that context's priorities.</w:t>
      </w:r>
    </w:p>
    <w:p>
      <w:pPr>
        <w:pStyle w:val="Heading2"/>
        <w:spacing w:after="160" w:before="320"/>
      </w:pPr>
      <w:r>
        <w:rPr>
          <w:b/>
          <w:bCs/>
          <w:color w:val="1A4731"/>
        </w:rPr>
        <w:t xml:space="preserve">Layer 2: Tool Evaluator (the deliberate human review)</w:t>
      </w:r>
    </w:p>
    <w:p>
      <w:pPr>
        <w:spacing w:after="160" w:line="320"/>
      </w:pPr>
      <w:r>
        <w:rPr>
          <w:color w:val="2B2B2B"/>
        </w:rPr>
        <w:t xml:space="preserve">Tool Evaluator is the structured workflow your evaluators use when you have narrowed the field and need authoritative judgement. Two teams score every shortlisted platform independently:</w:t>
      </w:r>
    </w:p>
    <w:p>
      <w:pPr>
        <w:pStyle w:val="ListParagraph"/>
        <w:numPr>
          <w:ilvl w:val="0"/>
          <w:numId w:val="2"/>
        </w:numPr>
        <w:spacing w:after="80" w:line="300"/>
      </w:pPr>
      <w:r>
        <w:rPr>
          <w:b/>
          <w:bCs/>
          <w:color w:val="2B2B2B"/>
        </w:rPr>
        <w:t xml:space="preserve">Pedagogy Evaluators</w:t>
      </w:r>
      <w:r>
        <w:rPr>
          <w:color w:val="2B2B2B"/>
        </w:rPr>
        <w:t xml:space="preserve"> look at the curriculum, learning design, content quality, accessibility, and educational soundness.</w:t>
      </w:r>
    </w:p>
    <w:p>
      <w:pPr>
        <w:pStyle w:val="ListParagraph"/>
        <w:numPr>
          <w:ilvl w:val="0"/>
          <w:numId w:val="2"/>
        </w:numPr>
        <w:spacing w:after="80" w:line="300"/>
      </w:pPr>
      <w:r>
        <w:rPr>
          <w:b/>
          <w:bCs/>
          <w:color w:val="2B2B2B"/>
        </w:rPr>
        <w:t xml:space="preserve">Technical Evaluators</w:t>
      </w:r>
      <w:r>
        <w:rPr>
          <w:color w:val="2B2B2B"/>
        </w:rPr>
        <w:t xml:space="preserve"> look at APIs, data export, identity (SSO), hosting options, integration with your existing systems, and security.</w:t>
      </w:r>
    </w:p>
    <w:p>
      <w:pPr>
        <w:spacing w:after="160" w:line="320"/>
      </w:pPr>
      <w:r>
        <w:rPr>
          <w:color w:val="2B2B2B"/>
        </w:rPr>
        <w:t xml:space="preserve">Each team scores their part of the requirement set on a 0 to 4 scale, attaches evidence (a trial run, a vendor demo, documentation, or a vendor claim), and adds comments. Crucially, neither team sees the other team's scores during this phase: this prevents one expert's opinion from anchoring the other.</w:t>
      </w:r>
    </w:p>
    <w:p>
      <w:pPr>
        <w:spacing w:after="160" w:line="320"/>
      </w:pPr>
      <w:r>
        <w:rPr>
          <w:b w:val="false"/>
          <w:bCs w:val="false"/>
          <w:color w:val="2B2B2B"/>
        </w:rPr>
        <w:t xml:space="preserve">When both teams are done, the evaluation moves into the merged state. Any requirement where two evaluators disagreed by more than one point automatically opens a </w:t>
      </w:r>
      <w:r>
        <w:rPr>
          <w:b/>
          <w:bCs/>
          <w:color w:val="2B2B2B"/>
        </w:rPr>
        <w:t xml:space="preserve">conflict thread</w:t>
      </w:r>
      <w:r>
        <w:rPr>
          <w:b w:val="false"/>
          <w:bCs w:val="false"/>
          <w:color w:val="2B2B2B"/>
        </w:rPr>
        <w:t xml:space="preserve">: a small discussion area where evaluators share evidence, revisit their scores, and converge on agreement. Once every conflict is resolved and all threads are closed, the evaluation is </w:t>
      </w:r>
      <w:r>
        <w:rPr>
          <w:b/>
          <w:bCs/>
          <w:color w:val="2B2B2B"/>
        </w:rPr>
        <w:t xml:space="preserve">finalised</w:t>
      </w:r>
      <w:r>
        <w:rPr>
          <w:b w:val="false"/>
          <w:bCs w:val="false"/>
          <w:color w:val="2B2B2B"/>
        </w:rPr>
        <w:t xml:space="preserve">: locked, timestamped, and ready to feed the results dashboards.</w:t>
      </w:r>
    </w:p>
    <w:p>
      <w:pPr>
        <w:spacing w:after="160" w:line="320"/>
      </w:pPr>
      <w:r>
        <w:rPr>
          <w:color w:val="2B2B2B"/>
        </w:rPr>
        <w:t xml:space="preserve">The state machine, IN_PROGRESS to MERGED to FINALISED, is one-directional. To reopen a finalised evaluation, an administrator must take explicit action and record a reason; this creates a permanent audit trail entry.</w:t>
      </w:r>
    </w:p>
    <w:p>
      <w:pPr>
        <w:pStyle w:val="Heading1"/>
        <w:spacing w:after="200" w:before="480"/>
      </w:pPr>
      <w:r>
        <w:rPr>
          <w:b/>
          <w:bCs/>
          <w:color w:val="1A4731"/>
        </w:rPr>
        <w:t xml:space="preserve">The Results dashboard</w:t>
      </w:r>
    </w:p>
    <w:p>
      <w:pPr>
        <w:spacing w:after="160" w:line="320"/>
      </w:pPr>
      <w:r>
        <w:rPr>
          <w:color w:val="2B2B2B"/>
        </w:rPr>
        <w:t xml:space="preserve">Once evaluations are finalised, the analytical work begins. The Results section gives several lenses on the same data, all of which can be filtered by context, category, or specific platforms.</w:t>
      </w:r>
    </w:p>
    <w:p>
      <w:pPr>
        <w:pStyle w:val="ListParagraph"/>
        <w:numPr>
          <w:ilvl w:val="0"/>
          <w:numId w:val="2"/>
        </w:numPr>
        <w:spacing w:after="80" w:line="300"/>
      </w:pPr>
      <w:r>
        <w:rPr>
          <w:b/>
          <w:bCs/>
          <w:color w:val="2B2B2B"/>
        </w:rPr>
        <w:t xml:space="preserve">Comparison:</w:t>
      </w:r>
      <w:r>
        <w:rPr>
          <w:color w:val="2B2B2B"/>
        </w:rPr>
        <w:t xml:space="preserve"> a side-by-side weighted-score table of every platform. Pedagogy and Technical percentages are shown independently alongside the combined score, plus a recommendation tier (TOP_PICK, RECOMMENDED, CONSIDER, or NOT_RECOMMENDED). Platforms that have failed a Compliance Gate are flagged as DISQUALIFIED and excluded from comparisons.</w:t>
      </w:r>
    </w:p>
    <w:p>
      <w:pPr>
        <w:pStyle w:val="ListParagraph"/>
        <w:numPr>
          <w:ilvl w:val="0"/>
          <w:numId w:val="2"/>
        </w:numPr>
        <w:spacing w:after="80" w:line="300"/>
      </w:pPr>
      <w:r>
        <w:rPr>
          <w:b/>
          <w:bCs/>
          <w:color w:val="2B2B2B"/>
        </w:rPr>
        <w:t xml:space="preserve">Breakdown:</w:t>
      </w:r>
      <w:r>
        <w:rPr>
          <w:color w:val="2B2B2B"/>
        </w:rPr>
        <w:t xml:space="preserve"> a per-platform, per-category profile. Useful for spotting exactly where a platform shines or falls short.</w:t>
      </w:r>
    </w:p>
    <w:p>
      <w:pPr>
        <w:pStyle w:val="ListParagraph"/>
        <w:numPr>
          <w:ilvl w:val="0"/>
          <w:numId w:val="2"/>
        </w:numPr>
        <w:spacing w:after="80" w:line="300"/>
      </w:pPr>
      <w:r>
        <w:rPr>
          <w:b/>
          <w:bCs/>
          <w:color w:val="2B2B2B"/>
        </w:rPr>
        <w:t xml:space="preserve">Best Fit:</w:t>
      </w:r>
      <w:r>
        <w:rPr>
          <w:color w:val="2B2B2B"/>
        </w:rPr>
        <w:t xml:space="preserve"> probably the most powerful view. Instead of asking "which single platform is best?" it asks "what is the smallest combination of platforms that together covers the most requirements?" A greedy set-cover algorithm picks the lineup. This matters because in reality no single platform does everything, and procurement is often about complementing one strong tool with a second that fills the gap.</w:t>
      </w:r>
    </w:p>
    <w:p>
      <w:pPr>
        <w:pStyle w:val="ListParagraph"/>
        <w:numPr>
          <w:ilvl w:val="0"/>
          <w:numId w:val="2"/>
        </w:numPr>
        <w:spacing w:after="80" w:line="300"/>
      </w:pPr>
      <w:r>
        <w:rPr>
          <w:b/>
          <w:bCs/>
          <w:color w:val="2B2B2B"/>
        </w:rPr>
        <w:t xml:space="preserve">Build Readiness:</w:t>
      </w:r>
      <w:r>
        <w:rPr>
          <w:color w:val="2B2B2B"/>
        </w:rPr>
        <w:t xml:space="preserve"> focuses on technical integration markers (APIs, LTI, data export, SSO, interoperability). Tells you which platforms are easiest to plug into the systems you already operate.</w:t>
      </w:r>
    </w:p>
    <w:p>
      <w:pPr>
        <w:spacing w:after="160" w:line="320"/>
      </w:pPr>
      <w:r>
        <w:rPr>
          <w:color w:val="2B2B2B"/>
        </w:rPr>
        <w:t xml:space="preserve">Every Results view can be exported as a PDF, Excel, or CSV. The PDF is a polished, branded report suitable for sharing with leadership or external stakeholders, complete with cover page, comparison table, category breakdown, Best Fit recommendation, Build Readiness scores, and the full scoring matrix.</w:t>
      </w:r>
    </w:p>
    <w:p>
      <w:pPr>
        <w:pStyle w:val="Heading1"/>
        <w:spacing w:after="200" w:before="480"/>
      </w:pPr>
      <w:r>
        <w:rPr>
          <w:b/>
          <w:bCs/>
          <w:color w:val="1A4731"/>
        </w:rPr>
        <w:t xml:space="preserve">Core concepts</w:t>
      </w:r>
    </w:p>
    <w:p>
      <w:pPr>
        <w:spacing w:after="160" w:line="320"/>
      </w:pPr>
      <w:r>
        <w:rPr>
          <w:color w:val="2B2B2B"/>
        </w:rPr>
        <w:t xml:space="preserve">A few building blocks make the whole system work. They are the levers that administrators tune to fit their organisation.</w:t>
      </w:r>
    </w:p>
    <w:p>
      <w:pPr>
        <w:spacing w:after="160" w:line="320"/>
      </w:pPr>
      <w:r>
        <w:rPr>
          <w:b/>
          <w:bCs/>
          <w:color w:val="2B2B2B"/>
        </w:rPr>
        <w:t xml:space="preserve">Requirements </w:t>
      </w:r>
      <w:r>
        <w:rPr>
          <w:b w:val="false"/>
          <w:bCs w:val="false"/>
          <w:color w:val="2B2B2B"/>
        </w:rPr>
        <w:t xml:space="preserve">are the criteria platforms are evaluated against. Each one has a title, a longer description, a weight (HIGH, MEDIUM, or LOW), a category (free-form, used for grouping in views), an evaluator type (PEDAGOGY, TECHNICAL, or BOTH), and an optional Compliance Gate flag. Administrators manage the master list and can bulk-import via Excel.</w:t>
      </w:r>
    </w:p>
    <w:p>
      <w:pPr>
        <w:spacing w:after="160" w:line="320"/>
      </w:pPr>
      <w:r>
        <w:rPr>
          <w:b/>
          <w:bCs/>
          <w:color w:val="2B2B2B"/>
        </w:rPr>
        <w:t xml:space="preserve">Weights </w:t>
      </w:r>
      <w:r>
        <w:rPr>
          <w:b w:val="false"/>
          <w:bCs w:val="false"/>
          <w:color w:val="2B2B2B"/>
        </w:rPr>
        <w:t xml:space="preserve">convert raw scores into a weighted percentage. HIGH multiplies by three, MEDIUM by two, LOW by one. This means a HIGH requirement scoring badly hurts the overall percentage three times as much as a LOW requirement.</w:t>
      </w:r>
    </w:p>
    <w:p>
      <w:pPr>
        <w:spacing w:after="160" w:line="320"/>
      </w:pPr>
      <w:r>
        <w:rPr>
          <w:b/>
          <w:bCs/>
          <w:color w:val="2B2B2B"/>
        </w:rPr>
        <w:t xml:space="preserve">Compliance Gates </w:t>
      </w:r>
      <w:r>
        <w:rPr>
          <w:b w:val="false"/>
          <w:bCs w:val="false"/>
          <w:color w:val="2B2B2B"/>
        </w:rPr>
        <w:t xml:space="preserve">are pass/fail requirements used for hard blockers: legal, accessibility, data privacy, safety. A failure on any Compliance Gate immediately marks the platform as DISQUALIFIED, regardless of how well it scores everywhere else. This prevents you from accidentally recommending a platform that, say, fails GDPR even though it has great curriculum content.</w:t>
      </w:r>
    </w:p>
    <w:p>
      <w:pPr>
        <w:spacing w:after="160" w:line="320"/>
      </w:pPr>
      <w:r>
        <w:rPr>
          <w:b/>
          <w:bCs/>
          <w:color w:val="2B2B2B"/>
        </w:rPr>
        <w:t xml:space="preserve">Contexts </w:t>
      </w:r>
      <w:r>
        <w:rPr>
          <w:b w:val="false"/>
          <w:bCs w:val="false"/>
          <w:color w:val="2B2B2B"/>
        </w:rPr>
        <w:t xml:space="preserve">are named scenarios such as "Adult Beginner ESL", "K-12 Reading Intervention", or "Corporate Compliance Training". A context filters which requirements apply and can override the global weight of a requirement for that scenario only. So "data export" might be HIGH globally but MEDIUM in the K-12 Reading context where it matters less. Platforms can belong to multiple contexts. Requirements can too. This lets one evaluation database serve very different procurement questions.</w:t>
      </w:r>
    </w:p>
    <w:p>
      <w:pPr>
        <w:spacing w:after="160" w:line="320"/>
      </w:pPr>
      <w:r>
        <w:rPr>
          <w:b/>
          <w:bCs/>
          <w:color w:val="2B2B2B"/>
        </w:rPr>
        <w:t xml:space="preserve">N/A scoring </w:t>
      </w:r>
      <w:r>
        <w:rPr>
          <w:b w:val="false"/>
          <w:bCs w:val="false"/>
          <w:color w:val="2B2B2B"/>
        </w:rPr>
        <w:t xml:space="preserve">is allowed. When a requirement genuinely does not apply to a platform (or there's no way to score it confidently), the evaluator marks it N/A. N/A scores are excluded from the weighted percentage entirely: they neither help nor hurt the platform's score.</w:t>
      </w:r>
    </w:p>
    <w:p>
      <w:pPr>
        <w:pStyle w:val="Heading1"/>
        <w:spacing w:after="200" w:before="480"/>
      </w:pPr>
      <w:r>
        <w:rPr>
          <w:b/>
          <w:bCs/>
          <w:color w:val="1A4731"/>
        </w:rPr>
        <w:t xml:space="preserve">Roles and who does what</w:t>
      </w:r>
    </w:p>
    <w:p>
      <w:pPr>
        <w:spacing w:after="160" w:line="320"/>
      </w:pPr>
      <w:r>
        <w:rPr>
          <w:color w:val="2B2B2B"/>
        </w:rPr>
        <w:t xml:space="preserve">SPACE has five roles, each with carefully scoped permissions.</w:t>
      </w:r>
    </w:p>
    <w:p>
      <w:pPr>
        <w:pStyle w:val="ListParagraph"/>
        <w:numPr>
          <w:ilvl w:val="0"/>
          <w:numId w:val="2"/>
        </w:numPr>
        <w:spacing w:after="80" w:line="300"/>
      </w:pPr>
      <w:r>
        <w:rPr>
          <w:b/>
          <w:bCs/>
          <w:color w:val="2B2B2B"/>
        </w:rPr>
        <w:t xml:space="preserve">Super Admin:</w:t>
      </w:r>
      <w:r>
        <w:rPr>
          <w:color w:val="2B2B2B"/>
        </w:rPr>
        <w:t xml:space="preserve"> full control, including user account management. Usually the system owner.</w:t>
      </w:r>
    </w:p>
    <w:p>
      <w:pPr>
        <w:pStyle w:val="ListParagraph"/>
        <w:numPr>
          <w:ilvl w:val="0"/>
          <w:numId w:val="2"/>
        </w:numPr>
        <w:spacing w:after="80" w:line="300"/>
      </w:pPr>
      <w:r>
        <w:rPr>
          <w:b/>
          <w:bCs/>
          <w:color w:val="2B2B2B"/>
        </w:rPr>
        <w:t xml:space="preserve">Admin:</w:t>
      </w:r>
      <w:r>
        <w:rPr>
          <w:color w:val="2B2B2B"/>
        </w:rPr>
        <w:t xml:space="preserve"> manages requirements, contexts, platforms, and evaluations. Sets up the catalogue and assigns evaluators.</w:t>
      </w:r>
    </w:p>
    <w:p>
      <w:pPr>
        <w:pStyle w:val="ListParagraph"/>
        <w:numPr>
          <w:ilvl w:val="0"/>
          <w:numId w:val="2"/>
        </w:numPr>
        <w:spacing w:after="80" w:line="300"/>
      </w:pPr>
      <w:r>
        <w:rPr>
          <w:b/>
          <w:bCs/>
          <w:color w:val="2B2B2B"/>
        </w:rPr>
        <w:t xml:space="preserve">Pedagogy Evaluator:</w:t>
      </w:r>
      <w:r>
        <w:rPr>
          <w:color w:val="2B2B2B"/>
        </w:rPr>
        <w:t xml:space="preserve"> scores pedagogy-typed requirements during an evaluation. Sees only what they are assigned to score.</w:t>
      </w:r>
    </w:p>
    <w:p>
      <w:pPr>
        <w:pStyle w:val="ListParagraph"/>
        <w:numPr>
          <w:ilvl w:val="0"/>
          <w:numId w:val="2"/>
        </w:numPr>
        <w:spacing w:after="80" w:line="300"/>
      </w:pPr>
      <w:r>
        <w:rPr>
          <w:b/>
          <w:bCs/>
          <w:color w:val="2B2B2B"/>
        </w:rPr>
        <w:t xml:space="preserve">Technical Evaluator:</w:t>
      </w:r>
      <w:r>
        <w:rPr>
          <w:color w:val="2B2B2B"/>
        </w:rPr>
        <w:t xml:space="preserve"> scores technical-typed requirements during an evaluation. Sees only what they are assigned to score.</w:t>
      </w:r>
    </w:p>
    <w:p>
      <w:pPr>
        <w:pStyle w:val="ListParagraph"/>
        <w:numPr>
          <w:ilvl w:val="0"/>
          <w:numId w:val="2"/>
        </w:numPr>
        <w:spacing w:after="80" w:line="300"/>
      </w:pPr>
      <w:r>
        <w:rPr>
          <w:b/>
          <w:bCs/>
          <w:color w:val="2B2B2B"/>
        </w:rPr>
        <w:t xml:space="preserve">Viewer:</w:t>
      </w:r>
      <w:r>
        <w:rPr>
          <w:color w:val="2B2B2B"/>
        </w:rPr>
        <w:t xml:space="preserve"> read-only access. Can use Tool Scanner and explore Results, but cannot edit requirements, platforms, or scores. Useful for stakeholders who need visibility but no editorial control.</w:t>
      </w:r>
    </w:p>
    <w:p>
      <w:pPr>
        <w:spacing w:after="160" w:line="320"/>
      </w:pPr>
      <w:r>
        <w:rPr>
          <w:color w:val="2B2B2B"/>
        </w:rPr>
        <w:t xml:space="preserve">Permission checks happen at the database layer, not just in the UI, so role boundaries are robust against client-side tampering.</w:t>
      </w:r>
    </w:p>
    <w:p>
      <w:pPr>
        <w:pStyle w:val="Heading1"/>
        <w:spacing w:after="200" w:before="480"/>
      </w:pPr>
      <w:r>
        <w:rPr>
          <w:b/>
          <w:bCs/>
          <w:color w:val="1A4731"/>
        </w:rPr>
        <w:t xml:space="preserve">Data integrity and the audit trail</w:t>
      </w:r>
    </w:p>
    <w:p>
      <w:pPr>
        <w:spacing w:after="160" w:line="320"/>
      </w:pPr>
      <w:r>
        <w:rPr>
          <w:color w:val="2B2B2B"/>
        </w:rPr>
        <w:t xml:space="preserve">Every score submission is attributed to the user who made it and timestamped. Edits never silently overwrite: each change creates a new audit log entry, so the complete history of every score is preserved forever. Finalised evaluations are locked, and any later writes return an error unless an administrator explicitly reopens the evaluation with a reason. The whole point is that six months later, you can explain exactly who decided what and why.</w:t>
      </w:r>
    </w:p>
    <w:p>
      <w:pPr>
        <w:pStyle w:val="Heading1"/>
        <w:spacing w:after="200" w:before="480"/>
      </w:pPr>
      <w:r>
        <w:rPr>
          <w:b/>
          <w:bCs/>
          <w:color w:val="1A4731"/>
        </w:rPr>
        <w:t xml:space="preserve">What SPACE is not</w:t>
      </w:r>
    </w:p>
    <w:p>
      <w:pPr>
        <w:spacing w:after="160" w:line="320"/>
      </w:pPr>
      <w:r>
        <w:rPr>
          <w:color w:val="2B2B2B"/>
        </w:rPr>
        <w:t xml:space="preserve">SPACE is deliberately not a procurement platform, a vendor marketplace, or a contract management system. It does not handle pricing negotiation, purchase orders, or vendor onboarding. Its only job is to help you decide which platforms to procure (or not). After SPACE produces a recommendation, the actual buying happens through your normal procurement channels.</w:t>
      </w:r>
    </w:p>
    <w:p>
      <w:pPr>
        <w:spacing w:after="160" w:line="320"/>
      </w:pPr>
      <w:r>
        <w:rPr>
          <w:color w:val="2B2B2B"/>
        </w:rPr>
        <w:t xml:space="preserve">SPACE also does not capture in-app video or screen recordings of trials, run automated scraping beyond the AI Tool Scanner's public-source audit, or offer vendor-facing self-service. These are not in scope for the current version.</w:t>
      </w:r>
    </w:p>
    <w:p>
      <w:pPr>
        <w:pStyle w:val="Heading1"/>
        <w:spacing w:after="200" w:before="480"/>
      </w:pPr>
      <w:r>
        <w:rPr>
          <w:b/>
          <w:bCs/>
          <w:color w:val="1A4731"/>
        </w:rPr>
        <w:t xml:space="preserve">A typical workflow</w:t>
      </w:r>
    </w:p>
    <w:p>
      <w:pPr>
        <w:spacing w:after="160" w:line="320"/>
      </w:pPr>
      <w:r>
        <w:rPr>
          <w:color w:val="2B2B2B"/>
        </w:rPr>
        <w:t xml:space="preserve">To make this concrete, here is what an organisation using SPACE typically does over the course of a procurement cycle.</w:t>
      </w:r>
    </w:p>
    <w:p>
      <w:pPr>
        <w:pStyle w:val="ListParagraph"/>
        <w:numPr>
          <w:ilvl w:val="0"/>
          <w:numId w:val="3"/>
        </w:numPr>
        <w:spacing w:after="100" w:line="300"/>
      </w:pPr>
      <w:r>
        <w:rPr>
          <w:b/>
          <w:bCs/>
          <w:color w:val="2B2B2B"/>
        </w:rPr>
        <w:t xml:space="preserve">Administrators define the requirements once.</w:t>
      </w:r>
      <w:r>
        <w:rPr>
          <w:color w:val="2B2B2B"/>
        </w:rPr>
        <w:t xml:space="preserve"> They might enter twenty to eighty criteria covering pedagogy, content, accessibility, technical integration, and compliance. They mark a few as Compliance Gates (e.g. "complies with our data privacy policy"), assign weights, and group them into categories.</w:t>
      </w:r>
    </w:p>
    <w:p>
      <w:pPr>
        <w:pStyle w:val="ListParagraph"/>
        <w:numPr>
          <w:ilvl w:val="0"/>
          <w:numId w:val="3"/>
        </w:numPr>
        <w:spacing w:after="100" w:line="300"/>
      </w:pPr>
      <w:r>
        <w:rPr>
          <w:b/>
          <w:bCs/>
          <w:color w:val="2B2B2B"/>
        </w:rPr>
        <w:t xml:space="preserve">Administrators define one or more contexts</w:t>
      </w:r>
      <w:r>
        <w:rPr>
          <w:color w:val="2B2B2B"/>
        </w:rPr>
        <w:t xml:space="preserve"> that reflect the use cases the organisation cares about. Each context selects the applicable requirements and optionally overrides weights.</w:t>
      </w:r>
    </w:p>
    <w:p>
      <w:pPr>
        <w:pStyle w:val="ListParagraph"/>
        <w:numPr>
          <w:ilvl w:val="0"/>
          <w:numId w:val="3"/>
        </w:numPr>
        <w:spacing w:after="100" w:line="300"/>
      </w:pPr>
      <w:r>
        <w:rPr>
          <w:b/>
          <w:bCs/>
          <w:color w:val="2B2B2B"/>
        </w:rPr>
        <w:t xml:space="preserve">The team uses Tool Scanner to triage.</w:t>
      </w:r>
      <w:r>
        <w:rPr>
          <w:color w:val="2B2B2B"/>
        </w:rPr>
        <w:t xml:space="preserve"> Anyone can drop in a platform name and URL and get an AI-driven estimate in a few minutes. Over time the scanner builds up a library of evaluated platforms. Rankings and Best Fit views surface the most promising candidates.</w:t>
      </w:r>
    </w:p>
    <w:p>
      <w:pPr>
        <w:pStyle w:val="ListParagraph"/>
        <w:numPr>
          <w:ilvl w:val="0"/>
          <w:numId w:val="3"/>
        </w:numPr>
        <w:spacing w:after="100" w:line="300"/>
      </w:pPr>
      <w:r>
        <w:rPr>
          <w:b/>
          <w:bCs/>
          <w:color w:val="2B2B2B"/>
        </w:rPr>
        <w:t xml:space="preserve">For the shortlist, administrators create a formal evaluation</w:t>
      </w:r>
      <w:r>
        <w:rPr>
          <w:color w:val="2B2B2B"/>
        </w:rPr>
        <w:t xml:space="preserve"> and assign pedagogy and technical evaluators (often with a Team Lead on each side).</w:t>
      </w:r>
    </w:p>
    <w:p>
      <w:pPr>
        <w:pStyle w:val="ListParagraph"/>
        <w:numPr>
          <w:ilvl w:val="0"/>
          <w:numId w:val="3"/>
        </w:numPr>
        <w:spacing w:after="100" w:line="300"/>
      </w:pPr>
      <w:r>
        <w:rPr>
          <w:b/>
          <w:bCs/>
          <w:color w:val="2B2B2B"/>
        </w:rPr>
        <w:t xml:space="preserve">Evaluators independently score</w:t>
      </w:r>
      <w:r>
        <w:rPr>
          <w:color w:val="2B2B2B"/>
        </w:rPr>
        <w:t xml:space="preserve"> their slice of the requirements through Tool Evaluator. They attach evidence and comments. Once both teams submit, conflicts surface in threads and the team discusses until the scores converge.</w:t>
      </w:r>
    </w:p>
    <w:p>
      <w:pPr>
        <w:pStyle w:val="ListParagraph"/>
        <w:numPr>
          <w:ilvl w:val="0"/>
          <w:numId w:val="3"/>
        </w:numPr>
        <w:spacing w:after="100" w:line="300"/>
      </w:pPr>
      <w:r>
        <w:rPr>
          <w:b/>
          <w:bCs/>
          <w:color w:val="2B2B2B"/>
        </w:rPr>
        <w:t xml:space="preserve">The evaluation is finalised.</w:t>
      </w:r>
      <w:r>
        <w:rPr>
          <w:color w:val="2B2B2B"/>
        </w:rPr>
        <w:t xml:space="preserve"> It flows into Results.</w:t>
      </w:r>
    </w:p>
    <w:p>
      <w:pPr>
        <w:pStyle w:val="ListParagraph"/>
        <w:numPr>
          <w:ilvl w:val="0"/>
          <w:numId w:val="3"/>
        </w:numPr>
        <w:spacing w:after="100" w:line="300"/>
      </w:pPr>
      <w:r>
        <w:rPr>
          <w:b/>
          <w:bCs/>
          <w:color w:val="2B2B2B"/>
        </w:rPr>
        <w:t xml:space="preserve">Decision-makers consult Results,</w:t>
      </w:r>
      <w:r>
        <w:rPr>
          <w:color w:val="2B2B2B"/>
        </w:rPr>
        <w:t xml:space="preserve"> usually filtered by the specific context they care about, to compare platforms, identify the best single fit or the best combination of platforms, and export a PDF report to circulate.</w:t>
      </w:r>
    </w:p>
    <w:p>
      <w:pPr>
        <w:pStyle w:val="ListParagraph"/>
        <w:numPr>
          <w:ilvl w:val="0"/>
          <w:numId w:val="3"/>
        </w:numPr>
        <w:spacing w:after="100" w:line="300"/>
      </w:pPr>
      <w:r>
        <w:rPr>
          <w:b/>
          <w:bCs/>
          <w:color w:val="2B2B2B"/>
        </w:rPr>
        <w:t xml:space="preserve">The audit trail records</w:t>
      </w:r>
      <w:r>
        <w:rPr>
          <w:color w:val="2B2B2B"/>
        </w:rPr>
        <w:t xml:space="preserve"> exactly who scored what, when, and why.</w:t>
      </w:r>
    </w:p>
    <w:p>
      <w:pPr>
        <w:pStyle w:val="Heading1"/>
        <w:spacing w:after="200" w:before="480"/>
      </w:pPr>
      <w:r>
        <w:rPr>
          <w:b/>
          <w:bCs/>
          <w:color w:val="1A4731"/>
        </w:rPr>
        <w:t xml:space="preserve">Who benefits</w:t>
      </w:r>
    </w:p>
    <w:p>
      <w:pPr>
        <w:spacing w:after="160" w:line="320"/>
      </w:pPr>
      <w:r>
        <w:rPr>
          <w:color w:val="2B2B2B"/>
        </w:rPr>
        <w:t xml:space="preserve">Curriculum teams get a structured language for talking about pedagogy with their technical counterparts. IT and engineering teams get a way to surface their integration concerns without being overruled by content priorities. Procurement and finance get evidence-backed reports they can defend to leadership. Leadership gets fast, comparable summaries of complex decisions. And the organisation as a whole gets institutional memory: a year from now, nobody has to redo the analysis from scratch when a new evaluation comes around.</w:t>
      </w:r>
    </w:p>
    <w:p>
      <w:pPr>
        <w:spacing w:after="160" w:line="320"/>
      </w:pPr>
      <w:r>
        <w:rPr>
          <w:color w:val="2B2B2B"/>
        </w:rPr>
        <w:t xml:space="preserve">In short: SPACE turns EdTech procurement from a series of opinionated meetings into a documented, repeatable, fair-to-everyone process.</w:t>
      </w:r>
    </w:p>
    <w:p>
      <w:pPr>
        <w:pBdr>
          <w:bottom w:val="single" w:color="C9973A" w:sz="6" w:space="1"/>
        </w:pBdr>
        <w:spacing w:after="200" w:before="200"/>
      </w:pPr>
      <w:r>
        <w:t xml:space="preserve"/>
      </w:r>
    </w:p>
    <w:p>
      <w:pPr>
        <w:jc w:val="center"/>
      </w:pPr>
      <w:r>
        <w:rPr>
          <w:i/>
          <w:iCs/>
          <w:color w:val="666666"/>
          <w:sz w:val="18"/>
          <w:szCs w:val="18"/>
        </w:rPr>
        <w:t xml:space="preserve">SPACE  ·  Software Platform Analysis, Comparison, and Evaluation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A4731"/>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1A473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About SPACE</dc:title>
  <dc:creator>SPACE</dc:creator>
  <dc:description>A plain-English explainer for the SPACE platform.</dc:description>
  <cp:lastModifiedBy>Un-named</cp:lastModifiedBy>
  <cp:revision>1</cp:revision>
  <dcterms:created xsi:type="dcterms:W3CDTF">2026-05-28T18:34:04.303Z</dcterms:created>
  <dcterms:modified xsi:type="dcterms:W3CDTF">2026-05-28T18:34:04.304Z</dcterms:modified>
</cp:coreProperties>
</file>

<file path=docProps/custom.xml><?xml version="1.0" encoding="utf-8"?>
<Properties xmlns="http://schemas.openxmlformats.org/officeDocument/2006/custom-properties" xmlns:vt="http://schemas.openxmlformats.org/officeDocument/2006/docPropsVTypes"/>
</file>