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3A23F" w14:textId="77777777" w:rsidR="00B7180B" w:rsidRPr="008E4B75" w:rsidRDefault="008E4B75" w:rsidP="008E4B75">
      <w:pPr>
        <w:spacing w:after="0"/>
        <w:rPr>
          <w:rFonts w:ascii="Lato" w:hAnsi="Lato"/>
        </w:rPr>
      </w:pPr>
      <w:r w:rsidRPr="008E4B75">
        <w:rPr>
          <w:rFonts w:ascii="Lato" w:hAnsi="Lato"/>
        </w:rPr>
        <w:t>2016 ASR Public Use Dataset</w:t>
      </w:r>
    </w:p>
    <w:p w14:paraId="294432E4" w14:textId="77777777" w:rsidR="008E4B75" w:rsidRPr="008E4B75" w:rsidRDefault="008E4B75" w:rsidP="008E4B75">
      <w:pPr>
        <w:spacing w:after="0"/>
        <w:rPr>
          <w:rFonts w:ascii="Lato" w:hAnsi="Lato"/>
          <w:b/>
        </w:rPr>
      </w:pPr>
      <w:r w:rsidRPr="008E4B75">
        <w:rPr>
          <w:rFonts w:ascii="Lato" w:hAnsi="Lato"/>
          <w:b/>
        </w:rPr>
        <w:t>User’s Guide Errata</w:t>
      </w:r>
    </w:p>
    <w:p w14:paraId="38610CCD" w14:textId="10A4300E" w:rsidR="008E4B75" w:rsidRDefault="002117C0" w:rsidP="008E4B75">
      <w:pPr>
        <w:spacing w:after="0"/>
        <w:rPr>
          <w:rFonts w:ascii="Lato" w:hAnsi="Lato"/>
        </w:rPr>
      </w:pPr>
      <w:r>
        <w:rPr>
          <w:rFonts w:ascii="Lato" w:hAnsi="Lato"/>
        </w:rPr>
        <w:t>February 2020</w:t>
      </w:r>
    </w:p>
    <w:p w14:paraId="49B364D9" w14:textId="34279C65" w:rsidR="003219CB" w:rsidRDefault="003219CB" w:rsidP="003219CB">
      <w:pPr>
        <w:pBdr>
          <w:bottom w:val="single" w:sz="6" w:space="1" w:color="auto"/>
        </w:pBdr>
        <w:spacing w:after="0"/>
        <w:rPr>
          <w:rFonts w:ascii="Lato" w:hAnsi="Lato"/>
        </w:rPr>
      </w:pPr>
    </w:p>
    <w:p w14:paraId="6EA792CC" w14:textId="7E2A8CB2" w:rsidR="003219CB" w:rsidRDefault="002856CB" w:rsidP="00C168F6">
      <w:pPr>
        <w:pBdr>
          <w:bottom w:val="single" w:sz="6" w:space="1" w:color="auto"/>
        </w:pBdr>
        <w:spacing w:after="0"/>
        <w:rPr>
          <w:rFonts w:ascii="Lato" w:hAnsi="Lato"/>
        </w:rPr>
      </w:pPr>
      <w:r>
        <w:rPr>
          <w:rFonts w:ascii="Lato" w:hAnsi="Lato"/>
        </w:rPr>
        <w:t xml:space="preserve">The values in </w:t>
      </w:r>
      <w:r w:rsidR="00C168F6">
        <w:rPr>
          <w:rFonts w:ascii="Lato" w:hAnsi="Lato"/>
        </w:rPr>
        <w:t xml:space="preserve">table 10 of </w:t>
      </w:r>
      <w:r>
        <w:rPr>
          <w:rFonts w:ascii="Lato" w:hAnsi="Lato"/>
        </w:rPr>
        <w:t xml:space="preserve">the original User’s Guide </w:t>
      </w:r>
      <w:r w:rsidR="00C168F6">
        <w:rPr>
          <w:rFonts w:ascii="Lato" w:hAnsi="Lato"/>
        </w:rPr>
        <w:t>(“</w:t>
      </w:r>
      <w:r w:rsidR="00C168F6" w:rsidRPr="00C168F6">
        <w:rPr>
          <w:rFonts w:ascii="Lato" w:hAnsi="Lato"/>
        </w:rPr>
        <w:t xml:space="preserve">2016 </w:t>
      </w:r>
      <w:r w:rsidR="00693093" w:rsidRPr="00693093">
        <w:rPr>
          <w:rFonts w:ascii="Lato" w:hAnsi="Lato"/>
        </w:rPr>
        <w:t>ASR Person-Level Distributions Using Analytic Weight Compared to RADS Population Distributions</w:t>
      </w:r>
      <w:r w:rsidR="00C168F6">
        <w:rPr>
          <w:rFonts w:ascii="Lato" w:hAnsi="Lato"/>
        </w:rPr>
        <w:t xml:space="preserve">”) </w:t>
      </w:r>
      <w:r>
        <w:rPr>
          <w:rFonts w:ascii="Lato" w:hAnsi="Lato"/>
        </w:rPr>
        <w:t>were incorrect and have been replaced with the correct values in User</w:t>
      </w:r>
      <w:r w:rsidR="00BB006A">
        <w:rPr>
          <w:rFonts w:ascii="Lato" w:hAnsi="Lato"/>
        </w:rPr>
        <w:t>’</w:t>
      </w:r>
      <w:r>
        <w:rPr>
          <w:rFonts w:ascii="Lato" w:hAnsi="Lato"/>
        </w:rPr>
        <w:t xml:space="preserve">s Guide 3.0. The updated table is broken into two parts – 10a and 10b – </w:t>
      </w:r>
      <w:r w:rsidR="005E3F22">
        <w:rPr>
          <w:rFonts w:ascii="Lato" w:hAnsi="Lato"/>
        </w:rPr>
        <w:t>containing</w:t>
      </w:r>
      <w:bookmarkStart w:id="0" w:name="_GoBack"/>
      <w:bookmarkEnd w:id="0"/>
      <w:r>
        <w:rPr>
          <w:rFonts w:ascii="Lato" w:hAnsi="Lato"/>
        </w:rPr>
        <w:t xml:space="preserve"> information on ASR individuals 16+ years old and under 16 years old, respectively. </w:t>
      </w:r>
    </w:p>
    <w:p w14:paraId="7898535C" w14:textId="77777777" w:rsidR="003219CB" w:rsidRPr="003219CB" w:rsidRDefault="003219CB" w:rsidP="003219CB">
      <w:pPr>
        <w:pBdr>
          <w:bottom w:val="single" w:sz="6" w:space="1" w:color="auto"/>
        </w:pBdr>
        <w:spacing w:after="0"/>
        <w:rPr>
          <w:rFonts w:ascii="Lato" w:hAnsi="Lato"/>
          <w:b/>
        </w:rPr>
      </w:pPr>
    </w:p>
    <w:p w14:paraId="3F4B4D03" w14:textId="216B8059" w:rsidR="002117C0" w:rsidRPr="003219CB" w:rsidRDefault="002117C0" w:rsidP="008E4B75">
      <w:pPr>
        <w:spacing w:after="0"/>
        <w:rPr>
          <w:rFonts w:ascii="Lato" w:hAnsi="Lato"/>
          <w:b/>
        </w:rPr>
      </w:pPr>
    </w:p>
    <w:p w14:paraId="6B74CD65" w14:textId="656FC69E" w:rsidR="007064AB" w:rsidRPr="00B02F7D" w:rsidRDefault="008E4B75" w:rsidP="00B02F7D">
      <w:pPr>
        <w:spacing w:after="0"/>
        <w:rPr>
          <w:rFonts w:ascii="Lato" w:hAnsi="Lato"/>
        </w:rPr>
      </w:pPr>
      <w:r w:rsidRPr="00B02F7D">
        <w:rPr>
          <w:rFonts w:ascii="Lato" w:hAnsi="Lato"/>
        </w:rPr>
        <w:t xml:space="preserve">Post-publication, </w:t>
      </w:r>
      <w:r w:rsidR="00B02F7D" w:rsidRPr="00B02F7D">
        <w:rPr>
          <w:rFonts w:ascii="Lato" w:hAnsi="Lato"/>
        </w:rPr>
        <w:t xml:space="preserve">an inconsistency was found between the 2016 ASR User’s Guide and dataset. </w:t>
      </w:r>
      <w:r w:rsidR="00E916B4">
        <w:rPr>
          <w:rFonts w:ascii="Lato" w:hAnsi="Lato"/>
        </w:rPr>
        <w:t>The</w:t>
      </w:r>
      <w:r w:rsidR="00B02F7D" w:rsidRPr="00B02F7D">
        <w:rPr>
          <w:rFonts w:ascii="Lato" w:hAnsi="Lato"/>
        </w:rPr>
        <w:t xml:space="preserve"> </w:t>
      </w:r>
      <w:r w:rsidR="00E916B4">
        <w:rPr>
          <w:rFonts w:ascii="Lato" w:hAnsi="Lato"/>
        </w:rPr>
        <w:t>numbers assigned to each cohort</w:t>
      </w:r>
      <w:r w:rsidRPr="00B02F7D">
        <w:rPr>
          <w:rFonts w:ascii="Lato" w:hAnsi="Lato"/>
        </w:rPr>
        <w:t xml:space="preserve"> in </w:t>
      </w:r>
      <w:r w:rsidR="003F56B7" w:rsidRPr="00B02F7D">
        <w:rPr>
          <w:rFonts w:ascii="Lato" w:hAnsi="Lato"/>
        </w:rPr>
        <w:t>the 2016 ASR User’s Guide</w:t>
      </w:r>
      <w:r w:rsidRPr="00B02F7D">
        <w:rPr>
          <w:rFonts w:ascii="Lato" w:hAnsi="Lato"/>
        </w:rPr>
        <w:t xml:space="preserve"> </w:t>
      </w:r>
      <w:r w:rsidR="00797ACD">
        <w:rPr>
          <w:rFonts w:ascii="Lato" w:hAnsi="Lato"/>
        </w:rPr>
        <w:t>do</w:t>
      </w:r>
      <w:r w:rsidR="00B02F7D" w:rsidRPr="00B02F7D">
        <w:rPr>
          <w:rFonts w:ascii="Lato" w:hAnsi="Lato"/>
        </w:rPr>
        <w:t xml:space="preserve"> not match those in the dataset. </w:t>
      </w:r>
    </w:p>
    <w:p w14:paraId="5977E7F8" w14:textId="680B07A8" w:rsidR="007064AB" w:rsidRPr="007064AB" w:rsidRDefault="007064AB" w:rsidP="007064AB">
      <w:pPr>
        <w:spacing w:after="0"/>
        <w:rPr>
          <w:rFonts w:ascii="Lato" w:hAnsi="Lato"/>
          <w:highlight w:val="yellow"/>
        </w:rPr>
      </w:pPr>
    </w:p>
    <w:p w14:paraId="0A31ADD2" w14:textId="3FC93E8A" w:rsidR="007064AB" w:rsidRDefault="00FB7299" w:rsidP="00B02F7D">
      <w:pPr>
        <w:spacing w:after="0"/>
        <w:rPr>
          <w:rFonts w:ascii="Lato" w:hAnsi="Lato"/>
        </w:rPr>
      </w:pPr>
      <w:r>
        <w:rPr>
          <w:rFonts w:ascii="Lato" w:hAnsi="Lato"/>
        </w:rPr>
        <w:t>T</w:t>
      </w:r>
      <w:r w:rsidR="00B02F7D" w:rsidRPr="00B02F7D">
        <w:rPr>
          <w:rFonts w:ascii="Lato" w:hAnsi="Lato"/>
        </w:rPr>
        <w:t>he</w:t>
      </w:r>
      <w:r w:rsidR="00B02F7D">
        <w:rPr>
          <w:rFonts w:ascii="Lato" w:hAnsi="Lato"/>
        </w:rPr>
        <w:t xml:space="preserve"> </w:t>
      </w:r>
      <w:r w:rsidR="009F0267">
        <w:rPr>
          <w:rFonts w:ascii="Lato" w:hAnsi="Lato"/>
        </w:rPr>
        <w:t>following</w:t>
      </w:r>
      <w:r w:rsidR="00B02F7D">
        <w:rPr>
          <w:rFonts w:ascii="Lato" w:hAnsi="Lato"/>
        </w:rPr>
        <w:t xml:space="preserve"> changes to the guide</w:t>
      </w:r>
      <w:r w:rsidR="00DC3007">
        <w:rPr>
          <w:rFonts w:ascii="Lato" w:hAnsi="Lato"/>
        </w:rPr>
        <w:t xml:space="preserve"> – noted in red – </w:t>
      </w:r>
      <w:r w:rsidR="00DD0877">
        <w:rPr>
          <w:rFonts w:ascii="Lato" w:hAnsi="Lato"/>
        </w:rPr>
        <w:t>correct</w:t>
      </w:r>
      <w:r w:rsidR="00B02F7D">
        <w:rPr>
          <w:rFonts w:ascii="Lato" w:hAnsi="Lato"/>
        </w:rPr>
        <w:t xml:space="preserve"> this inconsistency.</w:t>
      </w:r>
      <w:r w:rsidR="00742AC7">
        <w:rPr>
          <w:rFonts w:ascii="Lato" w:hAnsi="Lato"/>
        </w:rPr>
        <w:t xml:space="preserve"> The dataset</w:t>
      </w:r>
      <w:r w:rsidR="005E3F22">
        <w:rPr>
          <w:rFonts w:ascii="Lato" w:hAnsi="Lato"/>
        </w:rPr>
        <w:t>s</w:t>
      </w:r>
      <w:r w:rsidR="00742AC7">
        <w:rPr>
          <w:rFonts w:ascii="Lato" w:hAnsi="Lato"/>
        </w:rPr>
        <w:t xml:space="preserve"> can be used without changes.</w:t>
      </w:r>
    </w:p>
    <w:p w14:paraId="004F1535" w14:textId="358F7516" w:rsidR="009F0267" w:rsidRDefault="009F0267" w:rsidP="008E4B75">
      <w:pPr>
        <w:spacing w:after="0"/>
        <w:rPr>
          <w:rFonts w:ascii="Lato" w:hAnsi="Lato"/>
        </w:rPr>
      </w:pPr>
    </w:p>
    <w:p w14:paraId="2A8C057F" w14:textId="77777777" w:rsidR="003F56B7" w:rsidRDefault="002B4DFE" w:rsidP="008E4B75">
      <w:pPr>
        <w:spacing w:after="0"/>
        <w:rPr>
          <w:rFonts w:ascii="Lato" w:hAnsi="Lato"/>
        </w:rPr>
      </w:pPr>
      <w:r>
        <w:rPr>
          <w:rFonts w:ascii="Lato" w:hAnsi="Lato"/>
        </w:rPr>
        <w:t>Page 5:</w:t>
      </w:r>
    </w:p>
    <w:p w14:paraId="58BB9155" w14:textId="77777777" w:rsidR="002B4DFE" w:rsidRDefault="002B4DFE" w:rsidP="008E4B75">
      <w:pPr>
        <w:spacing w:after="0"/>
        <w:rPr>
          <w:rFonts w:ascii="Lato" w:hAnsi="Lato"/>
        </w:rPr>
      </w:pPr>
    </w:p>
    <w:p w14:paraId="2EC34C90" w14:textId="52A062F0" w:rsidR="003F56B7" w:rsidRPr="003F56B7" w:rsidRDefault="00B02F7D" w:rsidP="003F56B7">
      <w:pPr>
        <w:numPr>
          <w:ilvl w:val="0"/>
          <w:numId w:val="1"/>
        </w:numPr>
        <w:spacing w:after="0"/>
        <w:rPr>
          <w:rFonts w:ascii="Lato" w:hAnsi="Lato"/>
        </w:rPr>
      </w:pPr>
      <w:r>
        <w:rPr>
          <w:rFonts w:ascii="Lato" w:hAnsi="Lato"/>
        </w:rPr>
        <w:t>“</w:t>
      </w:r>
      <w:r w:rsidR="003F56B7" w:rsidRPr="003F56B7">
        <w:rPr>
          <w:rFonts w:ascii="Lato" w:hAnsi="Lato"/>
        </w:rPr>
        <w:t xml:space="preserve">Cohort 1 – Refugees entering </w:t>
      </w:r>
      <w:r w:rsidR="003F56B7" w:rsidRPr="003F56B7">
        <w:rPr>
          <w:rFonts w:ascii="Lato" w:hAnsi="Lato"/>
          <w:color w:val="FF0000"/>
        </w:rPr>
        <w:t>FY 2011 and FY 2012,</w:t>
      </w:r>
    </w:p>
    <w:p w14:paraId="155CEC42" w14:textId="77777777" w:rsidR="003F56B7" w:rsidRPr="003F56B7" w:rsidRDefault="003F56B7" w:rsidP="003F56B7">
      <w:pPr>
        <w:numPr>
          <w:ilvl w:val="0"/>
          <w:numId w:val="1"/>
        </w:numPr>
        <w:spacing w:after="0"/>
        <w:rPr>
          <w:rFonts w:ascii="Lato" w:hAnsi="Lato"/>
        </w:rPr>
      </w:pPr>
      <w:r w:rsidRPr="003F56B7">
        <w:rPr>
          <w:rFonts w:ascii="Lato" w:hAnsi="Lato"/>
        </w:rPr>
        <w:t>Cohort 2 – Refugees entering FY 2013 and FY 2014, and</w:t>
      </w:r>
    </w:p>
    <w:p w14:paraId="28E05F71" w14:textId="5BDD9DB6" w:rsidR="003F56B7" w:rsidRPr="003F56B7" w:rsidRDefault="003F56B7" w:rsidP="003F56B7">
      <w:pPr>
        <w:numPr>
          <w:ilvl w:val="0"/>
          <w:numId w:val="1"/>
        </w:numPr>
        <w:spacing w:after="0"/>
        <w:rPr>
          <w:rFonts w:ascii="Lato" w:hAnsi="Lato"/>
        </w:rPr>
      </w:pPr>
      <w:r w:rsidRPr="003F56B7">
        <w:rPr>
          <w:rFonts w:ascii="Lato" w:hAnsi="Lato"/>
        </w:rPr>
        <w:t xml:space="preserve">Cohort 3 – Refugees entering </w:t>
      </w:r>
      <w:r w:rsidRPr="003F56B7">
        <w:rPr>
          <w:rFonts w:ascii="Lato" w:hAnsi="Lato"/>
          <w:color w:val="FF0000"/>
        </w:rPr>
        <w:t>FY 2015</w:t>
      </w:r>
      <w:r w:rsidR="00B02F7D">
        <w:rPr>
          <w:rFonts w:ascii="Lato" w:hAnsi="Lato"/>
          <w:color w:val="FF0000"/>
        </w:rPr>
        <w:t>”</w:t>
      </w:r>
    </w:p>
    <w:p w14:paraId="42BA461F" w14:textId="77777777" w:rsidR="008E4B75" w:rsidRDefault="008E4B75" w:rsidP="008E4B75">
      <w:pPr>
        <w:spacing w:after="0"/>
        <w:rPr>
          <w:rFonts w:ascii="Lato" w:hAnsi="Lato"/>
        </w:rPr>
      </w:pPr>
    </w:p>
    <w:tbl>
      <w:tblPr>
        <w:tblW w:w="4407" w:type="dxa"/>
        <w:tblInd w:w="612" w:type="dxa"/>
        <w:tblLook w:val="04A0" w:firstRow="1" w:lastRow="0" w:firstColumn="1" w:lastColumn="0" w:noHBand="0" w:noVBand="1"/>
      </w:tblPr>
      <w:tblGrid>
        <w:gridCol w:w="1278"/>
        <w:gridCol w:w="990"/>
        <w:gridCol w:w="1260"/>
        <w:gridCol w:w="1027"/>
      </w:tblGrid>
      <w:tr w:rsidR="00742AC7" w:rsidRPr="00742AC7" w14:paraId="23B1CEBC" w14:textId="77777777" w:rsidTr="00742AC7">
        <w:trPr>
          <w:trHeight w:val="570"/>
        </w:trPr>
        <w:tc>
          <w:tcPr>
            <w:tcW w:w="44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9EE487" w14:textId="59805581" w:rsidR="00742AC7" w:rsidRPr="00742AC7" w:rsidRDefault="009260AB" w:rsidP="00742AC7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20"/>
                <w:szCs w:val="20"/>
              </w:rPr>
            </w:pPr>
            <w:r>
              <w:rPr>
                <w:rFonts w:ascii="Lato" w:eastAsia="Times New Roman" w:hAnsi="Lato" w:cs="Times New Roman"/>
                <w:b/>
                <w:bCs/>
                <w:sz w:val="20"/>
                <w:szCs w:val="20"/>
              </w:rPr>
              <w:t>Table 1</w:t>
            </w:r>
            <w:r w:rsidR="00742AC7" w:rsidRPr="00742AC7">
              <w:rPr>
                <w:rFonts w:ascii="Lato" w:eastAsia="Times New Roman" w:hAnsi="Lato" w:cs="Times New Roman"/>
                <w:b/>
                <w:bCs/>
                <w:sz w:val="20"/>
                <w:szCs w:val="20"/>
              </w:rPr>
              <w:t>:  Population Distribution of Refugees Arriving Between 2011 and 2015</w:t>
            </w:r>
          </w:p>
        </w:tc>
      </w:tr>
      <w:tr w:rsidR="00742AC7" w:rsidRPr="00742AC7" w14:paraId="08494FE3" w14:textId="77777777" w:rsidTr="008A78F5">
        <w:trPr>
          <w:trHeight w:val="6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4C4E8" w14:textId="77777777" w:rsidR="00742AC7" w:rsidRPr="00742AC7" w:rsidRDefault="00742AC7" w:rsidP="00742AC7">
            <w:pPr>
              <w:spacing w:after="0" w:line="240" w:lineRule="auto"/>
              <w:rPr>
                <w:rFonts w:ascii="Lato" w:eastAsia="Times New Roman" w:hAnsi="Lato" w:cs="Times New Roman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12E47B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Year of  Arrival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D40140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Number of Refugees*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40C16E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% of Refugees</w:t>
            </w:r>
          </w:p>
        </w:tc>
      </w:tr>
      <w:tr w:rsidR="00742AC7" w:rsidRPr="00742AC7" w14:paraId="32234827" w14:textId="77777777" w:rsidTr="005A2E88">
        <w:trPr>
          <w:trHeight w:val="323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8A7068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FF0000"/>
                <w:sz w:val="20"/>
                <w:szCs w:val="20"/>
              </w:rPr>
              <w:t>Cohort      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0747C7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A331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69,933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590E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22%</w:t>
            </w:r>
          </w:p>
        </w:tc>
      </w:tr>
      <w:tr w:rsidR="00742AC7" w:rsidRPr="00742AC7" w14:paraId="1A206023" w14:textId="77777777" w:rsidTr="008A78F5">
        <w:trPr>
          <w:trHeight w:val="30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93C063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Cohort       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483CA0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BBD6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69,987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E84C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22%</w:t>
            </w:r>
          </w:p>
        </w:tc>
      </w:tr>
      <w:tr w:rsidR="00742AC7" w:rsidRPr="009447AA" w14:paraId="71191921" w14:textId="77777777" w:rsidTr="008A78F5">
        <w:trPr>
          <w:trHeight w:val="300"/>
        </w:trPr>
        <w:tc>
          <w:tcPr>
            <w:tcW w:w="1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4DEDA" w14:textId="77777777" w:rsidR="00742AC7" w:rsidRPr="00742AC7" w:rsidRDefault="00742AC7" w:rsidP="00742AC7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B6491F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E60E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69,926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97EF9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22%</w:t>
            </w:r>
          </w:p>
        </w:tc>
      </w:tr>
      <w:tr w:rsidR="00742AC7" w:rsidRPr="00742AC7" w14:paraId="14D96578" w14:textId="77777777" w:rsidTr="008A78F5">
        <w:trPr>
          <w:trHeight w:val="300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E5FECC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FF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FF0000"/>
                <w:sz w:val="20"/>
                <w:szCs w:val="20"/>
              </w:rPr>
              <w:t>Cohort      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6CC309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EB8A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58,238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DA9C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18%</w:t>
            </w:r>
          </w:p>
        </w:tc>
      </w:tr>
      <w:tr w:rsidR="00742AC7" w:rsidRPr="00742AC7" w14:paraId="3319771E" w14:textId="77777777" w:rsidTr="008A78F5">
        <w:trPr>
          <w:trHeight w:val="300"/>
        </w:trPr>
        <w:tc>
          <w:tcPr>
            <w:tcW w:w="1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67B6A" w14:textId="77777777" w:rsidR="00742AC7" w:rsidRPr="00742AC7" w:rsidRDefault="00742AC7" w:rsidP="00742AC7">
            <w:pPr>
              <w:spacing w:after="0" w:line="240" w:lineRule="auto"/>
              <w:rPr>
                <w:rFonts w:ascii="Lato" w:eastAsia="Times New Roman" w:hAnsi="Lato" w:cs="Times New Roman"/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899502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3F2C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56,424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65D5" w14:textId="77777777" w:rsidR="00742AC7" w:rsidRPr="00742AC7" w:rsidRDefault="00742AC7" w:rsidP="00742AC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  <w:t>17%</w:t>
            </w:r>
          </w:p>
        </w:tc>
      </w:tr>
      <w:tr w:rsidR="00742AC7" w:rsidRPr="00742AC7" w14:paraId="093B52B8" w14:textId="77777777" w:rsidTr="008A78F5">
        <w:trPr>
          <w:trHeight w:val="30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FB9276" w14:textId="77777777" w:rsidR="00742AC7" w:rsidRPr="00742AC7" w:rsidRDefault="00742AC7" w:rsidP="00742AC7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2EAD88" w14:textId="77777777" w:rsidR="00742AC7" w:rsidRPr="00742AC7" w:rsidRDefault="00742AC7" w:rsidP="00742AC7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324,508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C40D33" w14:textId="77777777" w:rsidR="00742AC7" w:rsidRPr="00742AC7" w:rsidRDefault="00742AC7" w:rsidP="00742AC7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100%</w:t>
            </w:r>
          </w:p>
        </w:tc>
      </w:tr>
      <w:tr w:rsidR="00742AC7" w:rsidRPr="00742AC7" w14:paraId="2CBA65C6" w14:textId="77777777" w:rsidTr="00742AC7">
        <w:trPr>
          <w:trHeight w:val="300"/>
        </w:trPr>
        <w:tc>
          <w:tcPr>
            <w:tcW w:w="4407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1139E" w14:textId="5803C8CD" w:rsidR="00742AC7" w:rsidRPr="00742AC7" w:rsidRDefault="00742AC7" w:rsidP="00742AC7">
            <w:pPr>
              <w:spacing w:after="0" w:line="240" w:lineRule="auto"/>
              <w:rPr>
                <w:rFonts w:ascii="Lato" w:eastAsia="Times New Roman" w:hAnsi="Lato" w:cs="Times New Roman"/>
                <w:sz w:val="20"/>
                <w:szCs w:val="20"/>
              </w:rPr>
            </w:pPr>
            <w:r w:rsidRPr="00742AC7">
              <w:rPr>
                <w:rFonts w:ascii="Lato" w:eastAsia="Times New Roman" w:hAnsi="Lato" w:cs="Times New Roman"/>
                <w:sz w:val="20"/>
                <w:szCs w:val="20"/>
              </w:rPr>
              <w:t>* Source: F</w:t>
            </w:r>
            <w:r>
              <w:rPr>
                <w:rFonts w:ascii="Lato" w:eastAsia="Times New Roman" w:hAnsi="Lato" w:cs="Times New Roman"/>
                <w:sz w:val="20"/>
                <w:szCs w:val="20"/>
              </w:rPr>
              <w:t xml:space="preserve">Y 2011-2015 data compiled from </w:t>
            </w:r>
            <w:r w:rsidRPr="00742AC7">
              <w:rPr>
                <w:rFonts w:ascii="Lato" w:eastAsia="Times New Roman" w:hAnsi="Lato" w:cs="Times New Roman"/>
                <w:sz w:val="20"/>
                <w:szCs w:val="20"/>
              </w:rPr>
              <w:t xml:space="preserve">Department of State admissions reports </w:t>
            </w:r>
          </w:p>
        </w:tc>
      </w:tr>
      <w:tr w:rsidR="00742AC7" w:rsidRPr="00742AC7" w14:paraId="5B06661F" w14:textId="77777777" w:rsidTr="00742AC7">
        <w:trPr>
          <w:trHeight w:val="450"/>
        </w:trPr>
        <w:tc>
          <w:tcPr>
            <w:tcW w:w="4407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DF1A73" w14:textId="77777777" w:rsidR="00742AC7" w:rsidRPr="00742AC7" w:rsidRDefault="00742AC7" w:rsidP="00742AC7">
            <w:pPr>
              <w:spacing w:after="0" w:line="240" w:lineRule="auto"/>
              <w:rPr>
                <w:rFonts w:ascii="Lato" w:eastAsia="Times New Roman" w:hAnsi="Lato" w:cs="Times New Roman"/>
                <w:sz w:val="20"/>
                <w:szCs w:val="20"/>
              </w:rPr>
            </w:pPr>
          </w:p>
        </w:tc>
      </w:tr>
    </w:tbl>
    <w:p w14:paraId="2C0F9D4F" w14:textId="1CE509D3" w:rsidR="002B4DFE" w:rsidRDefault="002B4DFE" w:rsidP="008E4B75">
      <w:pPr>
        <w:spacing w:after="0"/>
        <w:rPr>
          <w:rFonts w:ascii="Lato" w:hAnsi="Lato"/>
        </w:rPr>
      </w:pPr>
    </w:p>
    <w:p w14:paraId="6E12B770" w14:textId="77777777" w:rsidR="002B4DFE" w:rsidRDefault="00603D44" w:rsidP="008E4B75">
      <w:pPr>
        <w:spacing w:after="0"/>
        <w:rPr>
          <w:rFonts w:ascii="Lato" w:hAnsi="Lato"/>
        </w:rPr>
      </w:pPr>
      <w:r>
        <w:rPr>
          <w:rFonts w:ascii="Lato" w:hAnsi="Lato"/>
        </w:rPr>
        <w:t>Page 7:</w:t>
      </w:r>
    </w:p>
    <w:p w14:paraId="5F14386D" w14:textId="77777777" w:rsidR="00603D44" w:rsidRDefault="00603D44" w:rsidP="008E4B75">
      <w:pPr>
        <w:spacing w:after="0"/>
        <w:rPr>
          <w:rFonts w:ascii="Lato" w:hAnsi="Lato"/>
        </w:rPr>
      </w:pPr>
    </w:p>
    <w:p w14:paraId="25C58770" w14:textId="5BC4E403" w:rsidR="00603D44" w:rsidRDefault="00B02F7D" w:rsidP="00603D44">
      <w:pPr>
        <w:spacing w:after="0"/>
        <w:ind w:left="720"/>
        <w:rPr>
          <w:rFonts w:ascii="Lato" w:hAnsi="Lato"/>
        </w:rPr>
      </w:pPr>
      <w:r>
        <w:rPr>
          <w:rFonts w:ascii="Lato" w:eastAsia="Calibri" w:hAnsi="Lato"/>
        </w:rPr>
        <w:t>“</w:t>
      </w:r>
      <w:r w:rsidR="00603D44" w:rsidRPr="007327E9">
        <w:rPr>
          <w:rFonts w:ascii="Lato" w:eastAsia="Calibri" w:hAnsi="Lato"/>
        </w:rPr>
        <w:t xml:space="preserve">Within </w:t>
      </w:r>
      <w:r w:rsidR="00603D44" w:rsidRPr="0055667D">
        <w:rPr>
          <w:rFonts w:ascii="Lato" w:eastAsia="Calibri" w:hAnsi="Lato"/>
          <w:color w:val="FF0000"/>
        </w:rPr>
        <w:t xml:space="preserve">cohorts </w:t>
      </w:r>
      <w:r w:rsidR="00603D44" w:rsidRPr="00603D44">
        <w:rPr>
          <w:rFonts w:ascii="Lato" w:eastAsia="Calibri" w:hAnsi="Lato"/>
          <w:color w:val="FF0000"/>
        </w:rPr>
        <w:t>1 and 2</w:t>
      </w:r>
      <w:r w:rsidR="00603D44" w:rsidRPr="007327E9">
        <w:rPr>
          <w:rFonts w:ascii="Lato" w:eastAsia="Calibri" w:hAnsi="Lato"/>
        </w:rPr>
        <w:t>, the design maximiz</w:t>
      </w:r>
      <w:r>
        <w:rPr>
          <w:rFonts w:ascii="Lato" w:eastAsia="Calibri" w:hAnsi="Lato"/>
        </w:rPr>
        <w:t>es precision by year of entry. “</w:t>
      </w:r>
    </w:p>
    <w:p w14:paraId="25E9A55C" w14:textId="70CE2524" w:rsidR="00742AC7" w:rsidRDefault="00742AC7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2F73DA7A" w14:textId="058786D1" w:rsidR="002B4DFE" w:rsidRDefault="00742AC7" w:rsidP="008E4B75">
      <w:pPr>
        <w:spacing w:after="0"/>
        <w:rPr>
          <w:rFonts w:ascii="Lato" w:hAnsi="Lato"/>
        </w:rPr>
      </w:pPr>
      <w:r>
        <w:rPr>
          <w:rFonts w:ascii="Lato" w:hAnsi="Lato"/>
        </w:rPr>
        <w:lastRenderedPageBreak/>
        <w:t>Page 7 cont</w:t>
      </w:r>
      <w:r w:rsidR="00E25CB1">
        <w:rPr>
          <w:rFonts w:ascii="Lato" w:hAnsi="Lato"/>
        </w:rPr>
        <w:t>inued</w:t>
      </w:r>
      <w:r>
        <w:rPr>
          <w:rFonts w:ascii="Lato" w:hAnsi="Lato"/>
        </w:rPr>
        <w:t>:</w:t>
      </w:r>
    </w:p>
    <w:p w14:paraId="041CFD28" w14:textId="77777777" w:rsidR="00742AC7" w:rsidRDefault="00742AC7" w:rsidP="008E4B75">
      <w:pPr>
        <w:spacing w:after="0"/>
        <w:rPr>
          <w:rFonts w:ascii="Lato" w:hAnsi="Lato"/>
        </w:rPr>
      </w:pPr>
    </w:p>
    <w:tbl>
      <w:tblPr>
        <w:tblW w:w="7122" w:type="dxa"/>
        <w:tblInd w:w="612" w:type="dxa"/>
        <w:tblLook w:val="04A0" w:firstRow="1" w:lastRow="0" w:firstColumn="1" w:lastColumn="0" w:noHBand="0" w:noVBand="1"/>
      </w:tblPr>
      <w:tblGrid>
        <w:gridCol w:w="2576"/>
        <w:gridCol w:w="1172"/>
        <w:gridCol w:w="1147"/>
        <w:gridCol w:w="1147"/>
        <w:gridCol w:w="1080"/>
      </w:tblGrid>
      <w:tr w:rsidR="008512CC" w:rsidRPr="007327E9" w14:paraId="462860CA" w14:textId="77777777" w:rsidTr="008512CC">
        <w:trPr>
          <w:trHeight w:val="600"/>
        </w:trPr>
        <w:tc>
          <w:tcPr>
            <w:tcW w:w="71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7993D1" w14:textId="77777777" w:rsidR="008512CC" w:rsidRPr="007327E9" w:rsidRDefault="008512CC" w:rsidP="00F83290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7327E9">
              <w:rPr>
                <w:rFonts w:ascii="Lato" w:hAnsi="Lato"/>
                <w:b/>
                <w:bCs/>
                <w:sz w:val="20"/>
                <w:szCs w:val="20"/>
              </w:rPr>
              <w:t>Table 3:  2016 ASR Target Number of Household Interviews by Cohort and Year of Arrival</w:t>
            </w:r>
          </w:p>
        </w:tc>
      </w:tr>
      <w:tr w:rsidR="008512CC" w:rsidRPr="007327E9" w14:paraId="3DCBF65D" w14:textId="77777777" w:rsidTr="008512CC">
        <w:trPr>
          <w:trHeight w:val="255"/>
        </w:trPr>
        <w:tc>
          <w:tcPr>
            <w:tcW w:w="2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F123" w14:textId="77777777" w:rsidR="008512CC" w:rsidRPr="007327E9" w:rsidRDefault="008512CC" w:rsidP="00F83290">
            <w:pPr>
              <w:rPr>
                <w:rFonts w:ascii="Lato" w:hAnsi="Lato"/>
                <w:sz w:val="20"/>
                <w:szCs w:val="20"/>
              </w:rPr>
            </w:pPr>
            <w:r w:rsidRPr="007327E9">
              <w:rPr>
                <w:rFonts w:ascii="Lato" w:hAnsi="Lato"/>
                <w:sz w:val="20"/>
                <w:szCs w:val="20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D097B1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58422E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EFD999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7B71DC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D</w:t>
            </w:r>
          </w:p>
        </w:tc>
      </w:tr>
      <w:tr w:rsidR="008512CC" w:rsidRPr="007327E9" w14:paraId="7C5E2FC1" w14:textId="77777777" w:rsidTr="008512CC">
        <w:trPr>
          <w:trHeight w:val="1530"/>
        </w:trPr>
        <w:tc>
          <w:tcPr>
            <w:tcW w:w="2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727EC" w14:textId="77777777" w:rsidR="008512CC" w:rsidRPr="007327E9" w:rsidRDefault="008512CC" w:rsidP="00F83290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837648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Cohort Household Population %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5D710F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 xml:space="preserve"> 2016 Target HH    Interviews by Cohort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C74289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Expected Interviews     by Arrival Fiscal Year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5065CC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 xml:space="preserve">Arrival Fiscal Year </w:t>
            </w:r>
          </w:p>
        </w:tc>
      </w:tr>
      <w:tr w:rsidR="008512CC" w:rsidRPr="007327E9" w14:paraId="2AC18A1E" w14:textId="77777777" w:rsidTr="008512CC">
        <w:trPr>
          <w:trHeight w:val="413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5AE77D" w14:textId="77777777" w:rsidR="008512CC" w:rsidRPr="007327E9" w:rsidRDefault="008512CC" w:rsidP="00F83290">
            <w:pPr>
              <w:ind w:firstLine="144"/>
              <w:rPr>
                <w:rFonts w:ascii="Lato" w:hAnsi="Lato"/>
                <w:color w:val="000000"/>
                <w:sz w:val="20"/>
                <w:szCs w:val="20"/>
              </w:rPr>
            </w:pPr>
            <w:r w:rsidRPr="008512CC">
              <w:rPr>
                <w:rFonts w:ascii="Lato" w:hAnsi="Lato"/>
                <w:color w:val="FF0000"/>
                <w:sz w:val="20"/>
                <w:szCs w:val="20"/>
              </w:rPr>
              <w:t>Cohort 3</w:t>
            </w:r>
            <w:r w:rsidRPr="007327E9">
              <w:rPr>
                <w:rFonts w:ascii="Lato" w:hAnsi="Lato"/>
                <w:color w:val="000000"/>
                <w:sz w:val="20"/>
                <w:szCs w:val="20"/>
              </w:rPr>
              <w:t>:  FY</w:t>
            </w:r>
            <w:r>
              <w:rPr>
                <w:rFonts w:ascii="Lato" w:hAnsi="Lato"/>
                <w:color w:val="000000"/>
                <w:sz w:val="20"/>
                <w:szCs w:val="20"/>
              </w:rPr>
              <w:t xml:space="preserve"> </w:t>
            </w:r>
            <w:r w:rsidRPr="007327E9">
              <w:rPr>
                <w:rFonts w:ascii="Lato" w:hAnsi="Lato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6F814C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C0271C" w14:textId="77777777" w:rsidR="008512CC" w:rsidRPr="007327E9" w:rsidRDefault="008512CC" w:rsidP="00F83290">
            <w:pPr>
              <w:jc w:val="center"/>
              <w:rPr>
                <w:rFonts w:ascii="Lato" w:hAnsi="Lato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b/>
                <w:bCs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4998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791FAF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201</w:t>
            </w:r>
            <w:r>
              <w:rPr>
                <w:rFonts w:ascii="Lato" w:hAnsi="Lato"/>
                <w:color w:val="000000"/>
                <w:sz w:val="20"/>
                <w:szCs w:val="20"/>
              </w:rPr>
              <w:t>5</w:t>
            </w:r>
          </w:p>
        </w:tc>
      </w:tr>
      <w:tr w:rsidR="008512CC" w:rsidRPr="007327E9" w14:paraId="5250C614" w14:textId="77777777" w:rsidTr="008512CC">
        <w:trPr>
          <w:trHeight w:val="255"/>
        </w:trPr>
        <w:tc>
          <w:tcPr>
            <w:tcW w:w="2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DC5905" w14:textId="77777777" w:rsidR="008512CC" w:rsidRPr="007327E9" w:rsidRDefault="008512CC" w:rsidP="00F83290">
            <w:pPr>
              <w:ind w:firstLine="144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Cohort 2:  FY</w:t>
            </w:r>
            <w:r>
              <w:rPr>
                <w:rFonts w:ascii="Lato" w:hAnsi="Lato"/>
                <w:color w:val="000000"/>
                <w:sz w:val="20"/>
                <w:szCs w:val="20"/>
              </w:rPr>
              <w:t xml:space="preserve"> </w:t>
            </w:r>
            <w:r w:rsidRPr="007327E9">
              <w:rPr>
                <w:rFonts w:ascii="Lato" w:hAnsi="Lato"/>
                <w:color w:val="000000"/>
                <w:sz w:val="20"/>
                <w:szCs w:val="20"/>
              </w:rPr>
              <w:t>2013-2014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4FF087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CB5178" w14:textId="77777777" w:rsidR="008512CC" w:rsidRPr="007327E9" w:rsidRDefault="008512CC" w:rsidP="00F83290">
            <w:pPr>
              <w:jc w:val="center"/>
              <w:rPr>
                <w:rFonts w:ascii="Lato" w:hAnsi="Lato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b/>
                <w:bCs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4E0C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1BF9F3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201</w:t>
            </w:r>
            <w:r>
              <w:rPr>
                <w:rFonts w:ascii="Lato" w:hAnsi="Lato"/>
                <w:color w:val="000000"/>
                <w:sz w:val="20"/>
                <w:szCs w:val="20"/>
              </w:rPr>
              <w:t>4</w:t>
            </w:r>
          </w:p>
        </w:tc>
      </w:tr>
      <w:tr w:rsidR="008512CC" w:rsidRPr="007327E9" w14:paraId="1451F74E" w14:textId="77777777" w:rsidTr="008512CC">
        <w:trPr>
          <w:trHeight w:val="255"/>
        </w:trPr>
        <w:tc>
          <w:tcPr>
            <w:tcW w:w="2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BCF31" w14:textId="77777777" w:rsidR="008512CC" w:rsidRPr="007327E9" w:rsidRDefault="008512CC" w:rsidP="00F83290">
            <w:pPr>
              <w:ind w:firstLine="144"/>
              <w:rPr>
                <w:rFonts w:ascii="Lato" w:hAnsi="Lato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9A83" w14:textId="77777777" w:rsidR="008512CC" w:rsidRPr="007327E9" w:rsidRDefault="008512CC" w:rsidP="00F83290">
            <w:pPr>
              <w:rPr>
                <w:rFonts w:ascii="Lato" w:hAnsi="Lato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7C6A" w14:textId="77777777" w:rsidR="008512CC" w:rsidRPr="007327E9" w:rsidRDefault="008512CC" w:rsidP="00F83290">
            <w:pPr>
              <w:rPr>
                <w:rFonts w:ascii="Lato" w:hAnsi="Lato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CCC4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156860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201</w:t>
            </w:r>
            <w:r>
              <w:rPr>
                <w:rFonts w:ascii="Lato" w:hAnsi="Lato"/>
                <w:color w:val="000000"/>
                <w:sz w:val="20"/>
                <w:szCs w:val="20"/>
              </w:rPr>
              <w:t>3</w:t>
            </w:r>
          </w:p>
        </w:tc>
      </w:tr>
      <w:tr w:rsidR="008512CC" w:rsidRPr="007327E9" w14:paraId="033AD279" w14:textId="77777777" w:rsidTr="008512CC">
        <w:trPr>
          <w:trHeight w:val="255"/>
        </w:trPr>
        <w:tc>
          <w:tcPr>
            <w:tcW w:w="2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89294E" w14:textId="77777777" w:rsidR="008512CC" w:rsidRPr="007327E9" w:rsidRDefault="008512CC" w:rsidP="00F83290">
            <w:pPr>
              <w:ind w:firstLine="144"/>
              <w:rPr>
                <w:rFonts w:ascii="Lato" w:hAnsi="Lato"/>
                <w:color w:val="000000"/>
                <w:sz w:val="20"/>
                <w:szCs w:val="20"/>
              </w:rPr>
            </w:pPr>
            <w:r w:rsidRPr="008512CC">
              <w:rPr>
                <w:rFonts w:ascii="Lato" w:hAnsi="Lato"/>
                <w:color w:val="FF0000"/>
                <w:sz w:val="20"/>
                <w:szCs w:val="20"/>
              </w:rPr>
              <w:t>Cohort 1</w:t>
            </w:r>
            <w:r w:rsidRPr="007327E9">
              <w:rPr>
                <w:rFonts w:ascii="Lato" w:hAnsi="Lato"/>
                <w:color w:val="000000"/>
                <w:sz w:val="20"/>
                <w:szCs w:val="20"/>
              </w:rPr>
              <w:t>: FY</w:t>
            </w:r>
            <w:r>
              <w:rPr>
                <w:rFonts w:ascii="Lato" w:hAnsi="Lato"/>
                <w:color w:val="000000"/>
                <w:sz w:val="20"/>
                <w:szCs w:val="20"/>
              </w:rPr>
              <w:t xml:space="preserve"> </w:t>
            </w:r>
            <w:r w:rsidRPr="007327E9">
              <w:rPr>
                <w:rFonts w:ascii="Lato" w:hAnsi="Lato"/>
                <w:color w:val="000000"/>
                <w:sz w:val="20"/>
                <w:szCs w:val="20"/>
              </w:rPr>
              <w:t>2011-2012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025121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EF36E0" w14:textId="77777777" w:rsidR="008512CC" w:rsidRPr="007327E9" w:rsidRDefault="008512CC" w:rsidP="00F83290">
            <w:pPr>
              <w:jc w:val="center"/>
              <w:rPr>
                <w:rFonts w:ascii="Lato" w:hAnsi="Lato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b/>
                <w:bCs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320D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A1EE2B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201</w:t>
            </w:r>
            <w:r>
              <w:rPr>
                <w:rFonts w:ascii="Lato" w:hAnsi="Lato"/>
                <w:color w:val="000000"/>
                <w:sz w:val="20"/>
                <w:szCs w:val="20"/>
              </w:rPr>
              <w:t>2</w:t>
            </w:r>
          </w:p>
        </w:tc>
      </w:tr>
      <w:tr w:rsidR="008512CC" w:rsidRPr="007327E9" w14:paraId="6FE2EB06" w14:textId="77777777" w:rsidTr="008512CC">
        <w:trPr>
          <w:trHeight w:val="255"/>
        </w:trPr>
        <w:tc>
          <w:tcPr>
            <w:tcW w:w="2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92056" w14:textId="77777777" w:rsidR="008512CC" w:rsidRPr="007327E9" w:rsidRDefault="008512CC" w:rsidP="00F83290">
            <w:pPr>
              <w:rPr>
                <w:rFonts w:ascii="Lato" w:hAnsi="Lato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3573" w14:textId="77777777" w:rsidR="008512CC" w:rsidRPr="007327E9" w:rsidRDefault="008512CC" w:rsidP="00F83290">
            <w:pPr>
              <w:rPr>
                <w:rFonts w:ascii="Lato" w:hAnsi="Lato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3BB7" w14:textId="77777777" w:rsidR="008512CC" w:rsidRPr="007327E9" w:rsidRDefault="008512CC" w:rsidP="00F83290">
            <w:pPr>
              <w:rPr>
                <w:rFonts w:ascii="Lato" w:hAnsi="Lato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9D7E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82C596" w14:textId="77777777" w:rsidR="008512CC" w:rsidRPr="007327E9" w:rsidRDefault="008512CC" w:rsidP="00F83290">
            <w:pPr>
              <w:jc w:val="center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201</w:t>
            </w:r>
            <w:r>
              <w:rPr>
                <w:rFonts w:ascii="Lato" w:hAnsi="Lato"/>
                <w:color w:val="000000"/>
                <w:sz w:val="20"/>
                <w:szCs w:val="20"/>
              </w:rPr>
              <w:t>1</w:t>
            </w:r>
          </w:p>
        </w:tc>
      </w:tr>
      <w:tr w:rsidR="008512CC" w:rsidRPr="007327E9" w14:paraId="30F5F3D7" w14:textId="77777777" w:rsidTr="008512CC">
        <w:trPr>
          <w:trHeight w:val="255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5F35CB" w14:textId="77777777" w:rsidR="008512CC" w:rsidRPr="007327E9" w:rsidRDefault="008512CC" w:rsidP="00F83290">
            <w:pPr>
              <w:jc w:val="right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9FAD40" w14:textId="77777777" w:rsidR="008512CC" w:rsidRPr="007327E9" w:rsidRDefault="008512CC" w:rsidP="00F83290">
            <w:pPr>
              <w:jc w:val="right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C63782" w14:textId="77777777" w:rsidR="008512CC" w:rsidRPr="007327E9" w:rsidRDefault="008512CC" w:rsidP="00F83290">
            <w:pPr>
              <w:jc w:val="right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4C4619" w14:textId="77777777" w:rsidR="008512CC" w:rsidRPr="007327E9" w:rsidRDefault="008512CC" w:rsidP="00F83290">
            <w:pPr>
              <w:jc w:val="right"/>
              <w:rPr>
                <w:rFonts w:ascii="Lato" w:hAnsi="Lato"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1F0B" w14:textId="77777777" w:rsidR="008512CC" w:rsidRPr="007327E9" w:rsidRDefault="008512CC" w:rsidP="00F83290">
            <w:pPr>
              <w:rPr>
                <w:rFonts w:ascii="Lato" w:hAnsi="Lato"/>
                <w:sz w:val="20"/>
                <w:szCs w:val="20"/>
              </w:rPr>
            </w:pPr>
          </w:p>
        </w:tc>
      </w:tr>
    </w:tbl>
    <w:p w14:paraId="669848E8" w14:textId="77777777" w:rsidR="00603D44" w:rsidRDefault="00603D44" w:rsidP="008E4B75">
      <w:pPr>
        <w:spacing w:after="0"/>
        <w:rPr>
          <w:rFonts w:ascii="Lato" w:hAnsi="Lato"/>
        </w:rPr>
      </w:pPr>
    </w:p>
    <w:p w14:paraId="7B31E942" w14:textId="042EC68C" w:rsidR="00DD251D" w:rsidRDefault="00B02F7D" w:rsidP="00DD251D">
      <w:pPr>
        <w:spacing w:after="0"/>
        <w:ind w:left="720"/>
        <w:rPr>
          <w:rFonts w:ascii="Lato" w:hAnsi="Lato"/>
        </w:rPr>
      </w:pPr>
      <w:r>
        <w:rPr>
          <w:rFonts w:ascii="Lato" w:hAnsi="Lato"/>
        </w:rPr>
        <w:t>“</w:t>
      </w:r>
      <w:r w:rsidR="00DD251D" w:rsidRPr="00DD251D">
        <w:rPr>
          <w:rFonts w:ascii="Lato" w:hAnsi="Lato"/>
        </w:rPr>
        <w:t xml:space="preserve">Analysis of RADS data suggests that only 5 percent of </w:t>
      </w:r>
      <w:r w:rsidR="00DD251D" w:rsidRPr="0055667D">
        <w:rPr>
          <w:rFonts w:ascii="Lato" w:hAnsi="Lato"/>
          <w:color w:val="FF0000"/>
        </w:rPr>
        <w:t xml:space="preserve">cohort </w:t>
      </w:r>
      <w:r w:rsidR="0055667D" w:rsidRPr="0055667D">
        <w:rPr>
          <w:rFonts w:ascii="Lato" w:hAnsi="Lato"/>
          <w:color w:val="FF0000"/>
        </w:rPr>
        <w:t>2</w:t>
      </w:r>
      <w:r w:rsidR="00DD251D" w:rsidRPr="0055667D">
        <w:rPr>
          <w:rFonts w:ascii="Lato" w:hAnsi="Lato"/>
          <w:color w:val="FF0000"/>
        </w:rPr>
        <w:t>-</w:t>
      </w:r>
      <w:r w:rsidR="0055667D" w:rsidRPr="0055667D">
        <w:rPr>
          <w:rFonts w:ascii="Lato" w:hAnsi="Lato"/>
          <w:color w:val="FF0000"/>
        </w:rPr>
        <w:t>3</w:t>
      </w:r>
      <w:r w:rsidR="00DD251D" w:rsidRPr="0055667D">
        <w:rPr>
          <w:rFonts w:ascii="Lato" w:hAnsi="Lato"/>
          <w:color w:val="FF0000"/>
        </w:rPr>
        <w:t xml:space="preserve"> </w:t>
      </w:r>
      <w:r w:rsidR="00DD251D" w:rsidRPr="00DD251D">
        <w:rPr>
          <w:rFonts w:ascii="Lato" w:hAnsi="Lato"/>
        </w:rPr>
        <w:t>refugees speak “good” English, suggesting that the clear majority of interviews needed to be in languages other than English.</w:t>
      </w:r>
      <w:r>
        <w:rPr>
          <w:rFonts w:ascii="Lato" w:hAnsi="Lato"/>
        </w:rPr>
        <w:t>”</w:t>
      </w:r>
    </w:p>
    <w:p w14:paraId="661268FE" w14:textId="609E7C27" w:rsidR="00635DCF" w:rsidRDefault="00635DCF" w:rsidP="00DD251D">
      <w:pPr>
        <w:spacing w:after="0"/>
        <w:ind w:left="720"/>
        <w:rPr>
          <w:rFonts w:ascii="Lato" w:hAnsi="Lato"/>
        </w:rPr>
      </w:pPr>
    </w:p>
    <w:p w14:paraId="3B0DBE4F" w14:textId="2F35A016" w:rsidR="00635DCF" w:rsidRDefault="007C5C46" w:rsidP="007C5C46">
      <w:pPr>
        <w:spacing w:after="0"/>
        <w:rPr>
          <w:rFonts w:ascii="Lato" w:hAnsi="Lato"/>
        </w:rPr>
      </w:pPr>
      <w:r>
        <w:rPr>
          <w:rFonts w:ascii="Lato" w:hAnsi="Lato"/>
        </w:rPr>
        <w:t>Page 8:</w:t>
      </w:r>
    </w:p>
    <w:p w14:paraId="374B2EC1" w14:textId="5A4D75E2" w:rsidR="007C5C46" w:rsidRDefault="007C5C46" w:rsidP="007C5C46">
      <w:pPr>
        <w:spacing w:after="0"/>
        <w:ind w:left="720"/>
        <w:rPr>
          <w:rFonts w:ascii="Lato" w:hAnsi="Lato"/>
        </w:rPr>
      </w:pPr>
    </w:p>
    <w:p w14:paraId="68B03BC9" w14:textId="7ADD1C06" w:rsidR="007C5C46" w:rsidRDefault="00B02F7D" w:rsidP="007C5C46">
      <w:pPr>
        <w:spacing w:after="0"/>
        <w:ind w:left="720"/>
        <w:rPr>
          <w:rFonts w:ascii="Lato" w:eastAsia="Calibri" w:hAnsi="Lato"/>
        </w:rPr>
      </w:pPr>
      <w:r>
        <w:rPr>
          <w:rFonts w:ascii="Lato" w:eastAsia="Calibri" w:hAnsi="Lato"/>
        </w:rPr>
        <w:t>“</w:t>
      </w:r>
      <w:r w:rsidR="007C5C46" w:rsidRPr="007327E9">
        <w:rPr>
          <w:rFonts w:ascii="Lato" w:eastAsia="Calibri" w:hAnsi="Lato"/>
        </w:rPr>
        <w:t xml:space="preserve">Within cohort strata, additional stratification used the following factors: year of arrival (for </w:t>
      </w:r>
      <w:r w:rsidR="007C5C46" w:rsidRPr="0055667D">
        <w:rPr>
          <w:rFonts w:ascii="Lato" w:eastAsia="Calibri" w:hAnsi="Lato"/>
          <w:color w:val="FF0000"/>
        </w:rPr>
        <w:t xml:space="preserve">cohorts </w:t>
      </w:r>
      <w:r w:rsidR="007C5C46" w:rsidRPr="007C5C46">
        <w:rPr>
          <w:rFonts w:ascii="Lato" w:eastAsia="Calibri" w:hAnsi="Lato"/>
          <w:color w:val="FF0000"/>
        </w:rPr>
        <w:t xml:space="preserve">1 and 2 </w:t>
      </w:r>
      <w:r w:rsidR="007C5C46" w:rsidRPr="007327E9">
        <w:rPr>
          <w:rFonts w:ascii="Lato" w:eastAsia="Calibri" w:hAnsi="Lato"/>
        </w:rPr>
        <w:t>only); geographic region, native language, age group, gender, and household size (i.e., family size at arrival (1, 2, 3+ persons</w:t>
      </w:r>
      <w:r w:rsidR="007C5C46">
        <w:rPr>
          <w:rFonts w:ascii="Lato" w:eastAsia="Calibri" w:hAnsi="Lato"/>
        </w:rPr>
        <w:t>)</w:t>
      </w:r>
      <w:r w:rsidR="007C5C46" w:rsidRPr="007327E9">
        <w:rPr>
          <w:rFonts w:ascii="Lato" w:eastAsia="Calibri" w:hAnsi="Lato"/>
        </w:rPr>
        <w:t>).</w:t>
      </w:r>
      <w:r>
        <w:rPr>
          <w:rFonts w:ascii="Lato" w:eastAsia="Calibri" w:hAnsi="Lato"/>
        </w:rPr>
        <w:t>”</w:t>
      </w:r>
    </w:p>
    <w:p w14:paraId="07CAE342" w14:textId="57A29DE1" w:rsidR="007C5C46" w:rsidRDefault="007C5C46" w:rsidP="007C5C46">
      <w:pPr>
        <w:spacing w:after="0"/>
        <w:ind w:left="720"/>
        <w:rPr>
          <w:rFonts w:ascii="Lato" w:eastAsia="Calibri" w:hAnsi="Lato"/>
        </w:rPr>
      </w:pPr>
    </w:p>
    <w:p w14:paraId="148FA538" w14:textId="34BC8CA5" w:rsidR="00AB4A79" w:rsidRDefault="00AB4A79" w:rsidP="00AB4A79">
      <w:pPr>
        <w:spacing w:after="0"/>
        <w:rPr>
          <w:rFonts w:ascii="Lato" w:hAnsi="Lato"/>
        </w:rPr>
      </w:pPr>
      <w:r>
        <w:rPr>
          <w:rFonts w:ascii="Lato" w:hAnsi="Lato"/>
        </w:rPr>
        <w:t>Page 9:</w:t>
      </w:r>
    </w:p>
    <w:p w14:paraId="19850ECA" w14:textId="77777777" w:rsidR="00AB4A79" w:rsidRPr="007327E9" w:rsidRDefault="00AB4A79" w:rsidP="00AB4A79">
      <w:pPr>
        <w:keepNext/>
        <w:spacing w:line="320" w:lineRule="exact"/>
        <w:ind w:left="720"/>
        <w:rPr>
          <w:rFonts w:ascii="Lato" w:eastAsia="Calibri" w:hAnsi="Lato"/>
          <w:b/>
          <w:sz w:val="20"/>
          <w:szCs w:val="20"/>
        </w:rPr>
      </w:pPr>
      <w:r w:rsidRPr="007327E9">
        <w:rPr>
          <w:rFonts w:ascii="Lato" w:eastAsia="Calibri" w:hAnsi="Lato"/>
          <w:b/>
          <w:sz w:val="20"/>
          <w:szCs w:val="20"/>
        </w:rPr>
        <w:t>Table 5: Expected Sample Sizes and Dispositions for the Proposed 2016 ASR</w:t>
      </w:r>
    </w:p>
    <w:tbl>
      <w:tblPr>
        <w:tblW w:w="9247" w:type="dxa"/>
        <w:tblInd w:w="8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079"/>
        <w:gridCol w:w="1153"/>
        <w:gridCol w:w="1715"/>
        <w:gridCol w:w="1046"/>
        <w:gridCol w:w="1417"/>
        <w:gridCol w:w="1556"/>
        <w:gridCol w:w="1281"/>
      </w:tblGrid>
      <w:tr w:rsidR="00AB4A79" w:rsidRPr="007327E9" w14:paraId="4B6B256E" w14:textId="77777777" w:rsidTr="00AB4A79">
        <w:trPr>
          <w:trHeight w:val="567"/>
        </w:trPr>
        <w:tc>
          <w:tcPr>
            <w:tcW w:w="1079" w:type="dxa"/>
            <w:shd w:val="clear" w:color="auto" w:fill="auto"/>
            <w:noWrap/>
            <w:vAlign w:val="bottom"/>
            <w:hideMark/>
          </w:tcPr>
          <w:p w14:paraId="209521AB" w14:textId="77777777" w:rsidR="00AB4A79" w:rsidRPr="007327E9" w:rsidRDefault="00AB4A79" w:rsidP="00F83290">
            <w:pPr>
              <w:rPr>
                <w:rFonts w:ascii="Lato" w:hAnsi="Lato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b/>
                <w:bCs/>
                <w:color w:val="000000"/>
                <w:sz w:val="20"/>
                <w:szCs w:val="20"/>
              </w:rPr>
              <w:t>Cohort</w:t>
            </w:r>
          </w:p>
        </w:tc>
        <w:tc>
          <w:tcPr>
            <w:tcW w:w="1153" w:type="dxa"/>
            <w:shd w:val="clear" w:color="auto" w:fill="auto"/>
            <w:vAlign w:val="bottom"/>
            <w:hideMark/>
          </w:tcPr>
          <w:p w14:paraId="14395F23" w14:textId="77777777" w:rsidR="00AB4A79" w:rsidRPr="007327E9" w:rsidRDefault="00AB4A79" w:rsidP="00F83290">
            <w:pPr>
              <w:jc w:val="center"/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  <w:t>Fiscal Years of Arrival</w:t>
            </w:r>
          </w:p>
        </w:tc>
        <w:tc>
          <w:tcPr>
            <w:tcW w:w="1715" w:type="dxa"/>
            <w:shd w:val="clear" w:color="auto" w:fill="auto"/>
            <w:vAlign w:val="bottom"/>
            <w:hideMark/>
          </w:tcPr>
          <w:p w14:paraId="78037629" w14:textId="77777777" w:rsidR="00AB4A79" w:rsidRPr="007327E9" w:rsidRDefault="00AB4A79" w:rsidP="00F83290">
            <w:pPr>
              <w:ind w:left="207"/>
              <w:jc w:val="center"/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  <w:t>Expected Tracing Effectiveness</w:t>
            </w:r>
          </w:p>
        </w:tc>
        <w:tc>
          <w:tcPr>
            <w:tcW w:w="1046" w:type="dxa"/>
            <w:shd w:val="clear" w:color="auto" w:fill="auto"/>
            <w:vAlign w:val="bottom"/>
            <w:hideMark/>
          </w:tcPr>
          <w:p w14:paraId="37D908CB" w14:textId="77777777" w:rsidR="00AB4A79" w:rsidRPr="007327E9" w:rsidRDefault="00AB4A79" w:rsidP="00F83290">
            <w:pPr>
              <w:jc w:val="center"/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  <w:t>Sample Drawn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1C331E01" w14:textId="77777777" w:rsidR="00AB4A79" w:rsidRPr="007327E9" w:rsidRDefault="00AB4A79" w:rsidP="00F83290">
            <w:pPr>
              <w:jc w:val="center"/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  <w:t>Successfully Traced &amp; Contacted</w:t>
            </w:r>
          </w:p>
        </w:tc>
        <w:tc>
          <w:tcPr>
            <w:tcW w:w="1556" w:type="dxa"/>
            <w:vAlign w:val="bottom"/>
          </w:tcPr>
          <w:p w14:paraId="7012C010" w14:textId="77777777" w:rsidR="00AB4A79" w:rsidRPr="007327E9" w:rsidRDefault="00AB4A79" w:rsidP="00F83290">
            <w:pPr>
              <w:jc w:val="center"/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  <w:t>Respondent Participat</w:t>
            </w:r>
            <w:r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  <w:t>ion</w:t>
            </w:r>
          </w:p>
        </w:tc>
        <w:tc>
          <w:tcPr>
            <w:tcW w:w="1281" w:type="dxa"/>
            <w:shd w:val="clear" w:color="auto" w:fill="auto"/>
            <w:vAlign w:val="bottom"/>
            <w:hideMark/>
          </w:tcPr>
          <w:p w14:paraId="1A5F0C64" w14:textId="77777777" w:rsidR="00AB4A79" w:rsidRPr="007327E9" w:rsidRDefault="00AB4A79" w:rsidP="00F83290">
            <w:pPr>
              <w:jc w:val="center"/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  <w:t>Expected Interviews</w:t>
            </w:r>
          </w:p>
        </w:tc>
      </w:tr>
      <w:tr w:rsidR="00AB4A79" w:rsidRPr="007327E9" w14:paraId="470BFFD6" w14:textId="77777777" w:rsidTr="00AB4A79">
        <w:trPr>
          <w:trHeight w:val="300"/>
        </w:trPr>
        <w:tc>
          <w:tcPr>
            <w:tcW w:w="1079" w:type="dxa"/>
            <w:shd w:val="pct10" w:color="auto" w:fill="auto"/>
            <w:noWrap/>
            <w:vAlign w:val="bottom"/>
            <w:hideMark/>
          </w:tcPr>
          <w:p w14:paraId="6887C347" w14:textId="7DF3F778" w:rsidR="00AB4A79" w:rsidRPr="007327E9" w:rsidRDefault="00AB4A79" w:rsidP="00F83290">
            <w:pPr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AB4A79">
              <w:rPr>
                <w:rFonts w:ascii="Lato" w:hAnsi="Lato" w:cs="Arial"/>
                <w:b/>
                <w:bCs/>
                <w:color w:val="FF0000"/>
                <w:sz w:val="20"/>
                <w:szCs w:val="20"/>
              </w:rPr>
              <w:t>Cohort 3</w:t>
            </w:r>
          </w:p>
        </w:tc>
        <w:tc>
          <w:tcPr>
            <w:tcW w:w="1153" w:type="dxa"/>
            <w:shd w:val="pct10" w:color="auto" w:fill="auto"/>
            <w:noWrap/>
            <w:vAlign w:val="bottom"/>
            <w:hideMark/>
          </w:tcPr>
          <w:p w14:paraId="3B5B5E39" w14:textId="77777777" w:rsidR="00AB4A79" w:rsidRPr="007327E9" w:rsidRDefault="00AB4A79" w:rsidP="00F83290">
            <w:pPr>
              <w:jc w:val="center"/>
              <w:rPr>
                <w:rFonts w:ascii="Lato" w:hAnsi="Lato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b/>
                <w:bCs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715" w:type="dxa"/>
            <w:shd w:val="pct10" w:color="auto" w:fill="auto"/>
            <w:noWrap/>
            <w:vAlign w:val="bottom"/>
            <w:hideMark/>
          </w:tcPr>
          <w:p w14:paraId="3B3A8BF8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eastAsia="Calibri" w:hAnsi="Lato" w:cs="Arial"/>
                <w:sz w:val="20"/>
                <w:szCs w:val="20"/>
              </w:rPr>
              <w:t>51.0%</w:t>
            </w:r>
          </w:p>
        </w:tc>
        <w:tc>
          <w:tcPr>
            <w:tcW w:w="1046" w:type="dxa"/>
            <w:shd w:val="pct10" w:color="auto" w:fill="auto"/>
            <w:noWrap/>
            <w:vAlign w:val="bottom"/>
            <w:hideMark/>
          </w:tcPr>
          <w:p w14:paraId="50188C13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eastAsia="Calibri" w:hAnsi="Lato" w:cs="Arial"/>
                <w:sz w:val="20"/>
                <w:szCs w:val="20"/>
              </w:rPr>
              <w:t>1000</w:t>
            </w:r>
          </w:p>
        </w:tc>
        <w:tc>
          <w:tcPr>
            <w:tcW w:w="1417" w:type="dxa"/>
            <w:shd w:val="pct10" w:color="auto" w:fill="auto"/>
            <w:noWrap/>
            <w:vAlign w:val="bottom"/>
            <w:hideMark/>
          </w:tcPr>
          <w:p w14:paraId="58C28CB8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56" w:type="dxa"/>
            <w:shd w:val="pct10" w:color="auto" w:fill="auto"/>
            <w:vAlign w:val="bottom"/>
          </w:tcPr>
          <w:p w14:paraId="3A9D4430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color w:val="000000"/>
                <w:sz w:val="20"/>
                <w:szCs w:val="20"/>
              </w:rPr>
              <w:t>98%</w:t>
            </w:r>
          </w:p>
        </w:tc>
        <w:tc>
          <w:tcPr>
            <w:tcW w:w="1281" w:type="dxa"/>
            <w:shd w:val="pct10" w:color="auto" w:fill="auto"/>
            <w:noWrap/>
            <w:vAlign w:val="bottom"/>
            <w:hideMark/>
          </w:tcPr>
          <w:p w14:paraId="3E4DBB02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color w:val="000000"/>
                <w:sz w:val="20"/>
                <w:szCs w:val="20"/>
              </w:rPr>
              <w:t>500</w:t>
            </w:r>
          </w:p>
        </w:tc>
      </w:tr>
      <w:tr w:rsidR="00AB4A79" w:rsidRPr="007327E9" w14:paraId="5D41E3BF" w14:textId="77777777" w:rsidTr="00AB4A79">
        <w:trPr>
          <w:trHeight w:val="300"/>
        </w:trPr>
        <w:tc>
          <w:tcPr>
            <w:tcW w:w="1079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6292DA" w14:textId="77777777" w:rsidR="00AB4A79" w:rsidRPr="007327E9" w:rsidRDefault="00AB4A79" w:rsidP="00F83290">
            <w:pPr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  <w:t>Cohort 2</w:t>
            </w:r>
          </w:p>
        </w:tc>
        <w:tc>
          <w:tcPr>
            <w:tcW w:w="115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A8946F" w14:textId="77777777" w:rsidR="00AB4A79" w:rsidRPr="007327E9" w:rsidRDefault="00AB4A79" w:rsidP="00F83290">
            <w:pPr>
              <w:jc w:val="center"/>
              <w:rPr>
                <w:rFonts w:ascii="Lato" w:hAnsi="Lato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b/>
                <w:bCs/>
                <w:color w:val="000000"/>
                <w:sz w:val="20"/>
                <w:szCs w:val="20"/>
              </w:rPr>
              <w:t>2013-14</w:t>
            </w:r>
          </w:p>
        </w:tc>
        <w:tc>
          <w:tcPr>
            <w:tcW w:w="171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5314A2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eastAsia="Calibri" w:hAnsi="Lato" w:cs="Arial"/>
                <w:sz w:val="20"/>
                <w:szCs w:val="20"/>
              </w:rPr>
              <w:t>36.7%</w:t>
            </w:r>
          </w:p>
        </w:tc>
        <w:tc>
          <w:tcPr>
            <w:tcW w:w="10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E4B4812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eastAsia="Calibri" w:hAnsi="Lato" w:cs="Arial"/>
                <w:sz w:val="20"/>
                <w:szCs w:val="20"/>
              </w:rPr>
              <w:t>1432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189D60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556" w:type="dxa"/>
            <w:tcBorders>
              <w:bottom w:val="nil"/>
            </w:tcBorders>
            <w:vAlign w:val="bottom"/>
          </w:tcPr>
          <w:p w14:paraId="405A54FB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128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7AFCD2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color w:val="000000"/>
                <w:sz w:val="20"/>
                <w:szCs w:val="20"/>
              </w:rPr>
              <w:t>500</w:t>
            </w:r>
          </w:p>
        </w:tc>
      </w:tr>
      <w:tr w:rsidR="00AB4A79" w:rsidRPr="007327E9" w14:paraId="0393A205" w14:textId="77777777" w:rsidTr="00AB4A79">
        <w:trPr>
          <w:trHeight w:val="300"/>
        </w:trPr>
        <w:tc>
          <w:tcPr>
            <w:tcW w:w="1079" w:type="dxa"/>
            <w:tcBorders>
              <w:top w:val="nil"/>
              <w:bottom w:val="single" w:sz="8" w:space="0" w:color="auto"/>
            </w:tcBorders>
            <w:shd w:val="pct10" w:color="auto" w:fill="auto"/>
            <w:noWrap/>
            <w:vAlign w:val="bottom"/>
            <w:hideMark/>
          </w:tcPr>
          <w:p w14:paraId="43CAFFF6" w14:textId="57185E91" w:rsidR="00AB4A79" w:rsidRPr="007327E9" w:rsidRDefault="00AB4A79" w:rsidP="00F83290">
            <w:pPr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AB4A79">
              <w:rPr>
                <w:rFonts w:ascii="Lato" w:hAnsi="Lato" w:cs="Arial"/>
                <w:b/>
                <w:bCs/>
                <w:color w:val="FF0000"/>
                <w:sz w:val="20"/>
                <w:szCs w:val="20"/>
              </w:rPr>
              <w:t>Cohort 1</w:t>
            </w:r>
          </w:p>
        </w:tc>
        <w:tc>
          <w:tcPr>
            <w:tcW w:w="1153" w:type="dxa"/>
            <w:tcBorders>
              <w:top w:val="nil"/>
              <w:bottom w:val="single" w:sz="8" w:space="0" w:color="auto"/>
            </w:tcBorders>
            <w:shd w:val="pct10" w:color="auto" w:fill="auto"/>
            <w:noWrap/>
            <w:vAlign w:val="bottom"/>
            <w:hideMark/>
          </w:tcPr>
          <w:p w14:paraId="5DCA5795" w14:textId="77777777" w:rsidR="00AB4A79" w:rsidRPr="007327E9" w:rsidRDefault="00AB4A79" w:rsidP="00F83290">
            <w:pPr>
              <w:jc w:val="center"/>
              <w:rPr>
                <w:rFonts w:ascii="Lato" w:hAnsi="Lato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/>
                <w:b/>
                <w:bCs/>
                <w:color w:val="000000"/>
                <w:sz w:val="20"/>
                <w:szCs w:val="20"/>
              </w:rPr>
              <w:t>2011-12</w:t>
            </w:r>
          </w:p>
        </w:tc>
        <w:tc>
          <w:tcPr>
            <w:tcW w:w="1715" w:type="dxa"/>
            <w:tcBorders>
              <w:top w:val="nil"/>
              <w:bottom w:val="single" w:sz="8" w:space="0" w:color="auto"/>
            </w:tcBorders>
            <w:shd w:val="pct10" w:color="auto" w:fill="auto"/>
            <w:noWrap/>
            <w:vAlign w:val="bottom"/>
            <w:hideMark/>
          </w:tcPr>
          <w:p w14:paraId="368ED974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eastAsia="Calibri" w:hAnsi="Lato" w:cs="Arial"/>
                <w:sz w:val="20"/>
                <w:szCs w:val="20"/>
              </w:rPr>
              <w:t>23.5%</w:t>
            </w:r>
          </w:p>
        </w:tc>
        <w:tc>
          <w:tcPr>
            <w:tcW w:w="1046" w:type="dxa"/>
            <w:tcBorders>
              <w:top w:val="nil"/>
              <w:bottom w:val="single" w:sz="8" w:space="0" w:color="auto"/>
            </w:tcBorders>
            <w:shd w:val="pct10" w:color="auto" w:fill="auto"/>
            <w:noWrap/>
            <w:vAlign w:val="bottom"/>
            <w:hideMark/>
          </w:tcPr>
          <w:p w14:paraId="21390751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eastAsia="Calibri" w:hAnsi="Lato" w:cs="Arial"/>
                <w:sz w:val="20"/>
                <w:szCs w:val="20"/>
              </w:rPr>
              <w:t>2336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</w:tcBorders>
            <w:shd w:val="pct10" w:color="auto" w:fill="auto"/>
            <w:noWrap/>
            <w:vAlign w:val="bottom"/>
            <w:hideMark/>
          </w:tcPr>
          <w:p w14:paraId="23DA6F8A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1556" w:type="dxa"/>
            <w:tcBorders>
              <w:top w:val="nil"/>
              <w:bottom w:val="single" w:sz="8" w:space="0" w:color="auto"/>
            </w:tcBorders>
            <w:shd w:val="pct10" w:color="auto" w:fill="auto"/>
            <w:vAlign w:val="bottom"/>
          </w:tcPr>
          <w:p w14:paraId="0DF5D50E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color w:val="000000"/>
                <w:sz w:val="20"/>
                <w:szCs w:val="20"/>
              </w:rPr>
              <w:t>91%</w:t>
            </w:r>
          </w:p>
        </w:tc>
        <w:tc>
          <w:tcPr>
            <w:tcW w:w="1281" w:type="dxa"/>
            <w:tcBorders>
              <w:top w:val="nil"/>
              <w:bottom w:val="single" w:sz="8" w:space="0" w:color="auto"/>
            </w:tcBorders>
            <w:shd w:val="pct10" w:color="auto" w:fill="auto"/>
            <w:noWrap/>
            <w:vAlign w:val="bottom"/>
            <w:hideMark/>
          </w:tcPr>
          <w:p w14:paraId="2AFB3E59" w14:textId="77777777" w:rsidR="00AB4A79" w:rsidRPr="007327E9" w:rsidRDefault="00AB4A79" w:rsidP="00F83290">
            <w:pPr>
              <w:jc w:val="center"/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color w:val="000000"/>
                <w:sz w:val="20"/>
                <w:szCs w:val="20"/>
              </w:rPr>
              <w:t>500</w:t>
            </w:r>
          </w:p>
        </w:tc>
      </w:tr>
      <w:tr w:rsidR="00AB4A79" w:rsidRPr="007327E9" w14:paraId="4D9A685F" w14:textId="77777777" w:rsidTr="00AB4A79">
        <w:trPr>
          <w:trHeight w:val="300"/>
        </w:trPr>
        <w:tc>
          <w:tcPr>
            <w:tcW w:w="107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B4A72" w14:textId="77777777" w:rsidR="00AB4A79" w:rsidRPr="007327E9" w:rsidRDefault="00AB4A79" w:rsidP="00F83290">
            <w:pPr>
              <w:jc w:val="right"/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5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3CCD6" w14:textId="77777777" w:rsidR="00AB4A79" w:rsidRPr="007327E9" w:rsidRDefault="00AB4A79" w:rsidP="00F83290">
            <w:pPr>
              <w:rPr>
                <w:rFonts w:ascii="Lato" w:hAnsi="Lato"/>
                <w:b/>
                <w:color w:val="000000"/>
                <w:szCs w:val="20"/>
              </w:rPr>
            </w:pPr>
          </w:p>
        </w:tc>
        <w:tc>
          <w:tcPr>
            <w:tcW w:w="1715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5E3EB" w14:textId="77777777" w:rsidR="00AB4A79" w:rsidRPr="007327E9" w:rsidRDefault="00AB4A79" w:rsidP="00F83290">
            <w:pPr>
              <w:rPr>
                <w:rFonts w:ascii="Lato" w:hAnsi="Lato"/>
                <w:b/>
                <w:color w:val="000000"/>
                <w:szCs w:val="20"/>
              </w:rPr>
            </w:pPr>
          </w:p>
        </w:tc>
        <w:tc>
          <w:tcPr>
            <w:tcW w:w="1046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56E5B" w14:textId="77777777" w:rsidR="00AB4A79" w:rsidRPr="007327E9" w:rsidRDefault="00AB4A79" w:rsidP="00F83290">
            <w:pPr>
              <w:spacing w:line="276" w:lineRule="auto"/>
              <w:jc w:val="center"/>
              <w:rPr>
                <w:rFonts w:ascii="Lato" w:eastAsia="Calibri" w:hAnsi="Lato" w:cs="Arial"/>
                <w:b/>
                <w:sz w:val="20"/>
                <w:szCs w:val="20"/>
              </w:rPr>
            </w:pPr>
            <w:r w:rsidRPr="007327E9">
              <w:rPr>
                <w:rFonts w:ascii="Lato" w:eastAsia="Calibri" w:hAnsi="Lato" w:cs="Arial"/>
                <w:b/>
                <w:sz w:val="20"/>
                <w:szCs w:val="20"/>
              </w:rPr>
              <w:t>4,768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79DE9" w14:textId="77777777" w:rsidR="00AB4A79" w:rsidRPr="007327E9" w:rsidRDefault="00AB4A79" w:rsidP="00F83290">
            <w:pPr>
              <w:spacing w:line="276" w:lineRule="auto"/>
              <w:jc w:val="center"/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eastAsia="Calibri" w:hAnsi="Lato" w:cs="Arial"/>
                <w:b/>
                <w:sz w:val="20"/>
                <w:szCs w:val="20"/>
              </w:rPr>
              <w:t>1,585</w:t>
            </w:r>
          </w:p>
        </w:tc>
        <w:tc>
          <w:tcPr>
            <w:tcW w:w="1556" w:type="dxa"/>
            <w:tcBorders>
              <w:top w:val="single" w:sz="8" w:space="0" w:color="auto"/>
            </w:tcBorders>
            <w:vAlign w:val="center"/>
          </w:tcPr>
          <w:p w14:paraId="6951A911" w14:textId="77777777" w:rsidR="00AB4A79" w:rsidRPr="007327E9" w:rsidRDefault="00AB4A79" w:rsidP="00F83290">
            <w:pPr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FDE91" w14:textId="77777777" w:rsidR="00AB4A79" w:rsidRPr="007327E9" w:rsidRDefault="00AB4A79" w:rsidP="00F83290">
            <w:pPr>
              <w:spacing w:line="276" w:lineRule="auto"/>
              <w:jc w:val="center"/>
              <w:rPr>
                <w:rFonts w:ascii="Lato" w:hAnsi="Lato" w:cs="Arial"/>
                <w:b/>
                <w:bCs/>
                <w:color w:val="000000"/>
                <w:sz w:val="20"/>
                <w:szCs w:val="20"/>
              </w:rPr>
            </w:pPr>
            <w:r w:rsidRPr="007327E9">
              <w:rPr>
                <w:rFonts w:ascii="Lato" w:eastAsia="Calibri" w:hAnsi="Lato" w:cs="Arial"/>
                <w:b/>
                <w:sz w:val="20"/>
                <w:szCs w:val="20"/>
              </w:rPr>
              <w:t>1,500</w:t>
            </w:r>
          </w:p>
        </w:tc>
      </w:tr>
    </w:tbl>
    <w:p w14:paraId="406C65AA" w14:textId="53251190" w:rsidR="00AB4A79" w:rsidRDefault="00AB4A79" w:rsidP="00AB4A79">
      <w:pPr>
        <w:spacing w:after="0"/>
        <w:rPr>
          <w:rFonts w:ascii="Lato" w:hAnsi="Lato"/>
        </w:rPr>
      </w:pPr>
    </w:p>
    <w:p w14:paraId="501FA3B1" w14:textId="307484EA" w:rsidR="00120A0F" w:rsidRPr="008E4B75" w:rsidRDefault="00120A0F" w:rsidP="00AB4A79">
      <w:pPr>
        <w:spacing w:after="0"/>
        <w:rPr>
          <w:rFonts w:ascii="Lato" w:hAnsi="Lato"/>
        </w:rPr>
      </w:pPr>
      <w:r>
        <w:rPr>
          <w:rFonts w:ascii="Lato" w:hAnsi="Lato"/>
        </w:rPr>
        <w:t xml:space="preserve">Note: </w:t>
      </w:r>
      <w:r w:rsidR="00465BD7">
        <w:rPr>
          <w:rFonts w:ascii="Lato" w:hAnsi="Lato"/>
        </w:rPr>
        <w:t>T</w:t>
      </w:r>
      <w:r>
        <w:rPr>
          <w:rFonts w:ascii="Lato" w:hAnsi="Lato"/>
        </w:rPr>
        <w:t>able 6, page 11, uses the correct cohort definitions.</w:t>
      </w:r>
    </w:p>
    <w:sectPr w:rsidR="00120A0F" w:rsidRPr="008E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E0D9B"/>
    <w:multiLevelType w:val="hybridMultilevel"/>
    <w:tmpl w:val="6ED43914"/>
    <w:lvl w:ilvl="0" w:tplc="3D428CD0">
      <w:start w:val="14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75"/>
    <w:rsid w:val="00120A0F"/>
    <w:rsid w:val="00182B39"/>
    <w:rsid w:val="001A4B9B"/>
    <w:rsid w:val="002117C0"/>
    <w:rsid w:val="002856CB"/>
    <w:rsid w:val="002B4DFE"/>
    <w:rsid w:val="003219CB"/>
    <w:rsid w:val="00396416"/>
    <w:rsid w:val="003F56B7"/>
    <w:rsid w:val="00465BD7"/>
    <w:rsid w:val="004E261A"/>
    <w:rsid w:val="0051680B"/>
    <w:rsid w:val="0055667D"/>
    <w:rsid w:val="005A2E88"/>
    <w:rsid w:val="005E3F22"/>
    <w:rsid w:val="00603D44"/>
    <w:rsid w:val="00635DCF"/>
    <w:rsid w:val="00693093"/>
    <w:rsid w:val="007064AB"/>
    <w:rsid w:val="00742AC7"/>
    <w:rsid w:val="00797ACD"/>
    <w:rsid w:val="007B61F2"/>
    <w:rsid w:val="007C5C46"/>
    <w:rsid w:val="008512CC"/>
    <w:rsid w:val="008A78F5"/>
    <w:rsid w:val="008E4B75"/>
    <w:rsid w:val="009260AB"/>
    <w:rsid w:val="009447AA"/>
    <w:rsid w:val="009F0267"/>
    <w:rsid w:val="00A51E70"/>
    <w:rsid w:val="00AB4A79"/>
    <w:rsid w:val="00B02F7D"/>
    <w:rsid w:val="00B636D4"/>
    <w:rsid w:val="00B7180B"/>
    <w:rsid w:val="00BB006A"/>
    <w:rsid w:val="00C168F6"/>
    <w:rsid w:val="00C80BD6"/>
    <w:rsid w:val="00CD6402"/>
    <w:rsid w:val="00DC3007"/>
    <w:rsid w:val="00DD0877"/>
    <w:rsid w:val="00DD251D"/>
    <w:rsid w:val="00E01C76"/>
    <w:rsid w:val="00E25CB1"/>
    <w:rsid w:val="00E916B4"/>
    <w:rsid w:val="00FB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0C65"/>
  <w15:chartTrackingRefBased/>
  <w15:docId w15:val="{1562D5E5-AFB3-40CA-A58B-E6D02EC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5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5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CC244-3889-4694-930D-690B66DC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Vilter, Carolyn</dc:creator>
  <cp:keywords/>
  <dc:description/>
  <cp:lastModifiedBy>Vilter, Carolyn</cp:lastModifiedBy>
  <cp:revision>8</cp:revision>
  <dcterms:created xsi:type="dcterms:W3CDTF">2020-02-14T17:17:00Z</dcterms:created>
  <dcterms:modified xsi:type="dcterms:W3CDTF">2020-02-14T17:36:00Z</dcterms:modified>
</cp:coreProperties>
</file>