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1598"/>
      </w:tblGrid>
      <w:tr w:rsidR="00A901A9" w14:paraId="2C3957F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4908B" w14:textId="77777777" w:rsidR="00A901A9" w:rsidRDefault="00000000">
            <w:r>
              <w:rPr>
                <w:noProof/>
              </w:rPr>
              <w:drawing>
                <wp:inline distT="0" distB="0" distL="0" distR="0" wp14:anchorId="4ABB12CD" wp14:editId="05CD1F8A">
                  <wp:extent cx="2190750" cy="571500"/>
                  <wp:effectExtent l="0" t="0" r="0" b="0"/>
                  <wp:docPr id="1" name="utad" descr="Logo UTAD" title="UT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CD9EE4C" w14:textId="77777777" w:rsidR="00A901A9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44"/>
                <w:szCs w:val="44"/>
              </w:rPr>
              <w:t>Análise Automática de Radiografias de Escoliose com Deep Learning</w:t>
            </w:r>
          </w:p>
          <w:p w14:paraId="7F97D696" w14:textId="77777777" w:rsidR="00A901A9" w:rsidRDefault="00000000">
            <w:pPr>
              <w:spacing w:after="80"/>
              <w:jc w:val="center"/>
            </w:pPr>
            <w:r>
              <w:rPr>
                <w:i/>
                <w:iCs/>
                <w:color w:val="1A3A6B"/>
                <w:sz w:val="26"/>
                <w:szCs w:val="26"/>
              </w:rPr>
              <w:t>Pipeline para Estimação dos Ângulos de Cobb com HRNet-W32</w:t>
            </w:r>
          </w:p>
          <w:p w14:paraId="7F1037CB" w14:textId="77777777" w:rsidR="00A901A9" w:rsidRDefault="00000000">
            <w:pPr>
              <w:jc w:val="center"/>
            </w:pPr>
            <w:r>
              <w:rPr>
                <w:b/>
                <w:bCs/>
                <w:color w:val="1A3A6B"/>
              </w:rPr>
              <w:t>Sérgio Miguel Pereira Moniz (UTAD)</w:t>
            </w:r>
            <w:r>
              <w:rPr>
                <w:color w:val="1A3A6B"/>
              </w:rPr>
              <w:t xml:space="preserve">    |    Orientador: António Cunha (UTAD)    |    Coorientador: António Gouveia (UTAD)</w:t>
            </w:r>
          </w:p>
        </w:tc>
      </w:tr>
    </w:tbl>
    <w:p w14:paraId="2EF063E4" w14:textId="77777777" w:rsidR="00A901A9" w:rsidRDefault="00000000">
      <w:pPr>
        <w:pBdr>
          <w:top w:val="single" w:sz="6" w:space="3" w:color="1A3A6B"/>
          <w:left w:val="single" w:sz="6" w:space="3" w:color="1A3A6B"/>
          <w:bottom w:val="single" w:sz="6" w:space="3" w:color="1A3A6B"/>
          <w:right w:val="single" w:sz="6" w:space="3" w:color="1A3A6B"/>
        </w:pBdr>
        <w:shd w:val="clear" w:color="auto" w:fill="1A3A6B"/>
        <w:spacing w:before="100"/>
        <w:jc w:val="center"/>
      </w:pPr>
      <w:r>
        <w:rPr>
          <w:b/>
          <w:bCs/>
          <w:color w:val="FFFFFF"/>
          <w:sz w:val="30"/>
          <w:szCs w:val="30"/>
        </w:rPr>
        <w:t>Resumo</w:t>
      </w:r>
    </w:p>
    <w:p w14:paraId="5734EE67" w14:textId="77777777" w:rsidR="00A901A9" w:rsidRDefault="00000000">
      <w:pPr>
        <w:spacing w:after="70" w:line="250" w:lineRule="auto"/>
        <w:jc w:val="both"/>
      </w:pPr>
      <w:r>
        <w:rPr>
          <w:color w:val="222222"/>
          <w:sz w:val="19"/>
          <w:szCs w:val="19"/>
        </w:rPr>
        <w:t>A escoliose é uma deformidade tridimensional da coluna cuja avaliação depende da medição manual do ângulo de Cobb em radiografias — processo demorado, subjetivo e com variabilidade inter-observador. Este trabalho propõe um pipeline de Deep Learning que automatiza essa análise: a arquitetura HRNet-W32, treinada no Spinal-AI2024, regride simultaneamente os três ângulos de Cobb (Torácico Proximal, Torácico Principal, Lombar) e suporta a classificação clínica de severidade. Após 88 épocas, o modelo atinge CMAE médio de 2.62° em validação e 2.83° em teste — quase 50% abaixo da referência state-of-the-art (5–7°).</w:t>
      </w:r>
    </w:p>
    <w:tbl>
      <w:tblPr>
        <w:tblW w:w="153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9"/>
        <w:gridCol w:w="7699"/>
      </w:tblGrid>
      <w:tr w:rsidR="00A901A9" w14:paraId="2D9C080C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24AAD7B0" w14:textId="77777777" w:rsidR="00A901A9" w:rsidRDefault="00000000">
            <w:pPr>
              <w:pBdr>
                <w:top w:val="single" w:sz="6" w:space="3" w:color="1A3A6B"/>
                <w:left w:val="single" w:sz="6" w:space="3" w:color="1A3A6B"/>
                <w:bottom w:val="single" w:sz="6" w:space="3" w:color="1A3A6B"/>
                <w:right w:val="single" w:sz="6" w:space="3" w:color="1A3A6B"/>
              </w:pBdr>
              <w:shd w:val="clear" w:color="auto" w:fill="1A3A6B"/>
              <w:spacing w:before="10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Introdução</w:t>
            </w:r>
          </w:p>
          <w:p w14:paraId="49212E7D" w14:textId="77777777" w:rsidR="00A901A9" w:rsidRDefault="00000000">
            <w:pPr>
              <w:spacing w:after="70" w:line="250" w:lineRule="auto"/>
              <w:jc w:val="both"/>
            </w:pPr>
            <w:r>
              <w:rPr>
                <w:color w:val="222222"/>
                <w:sz w:val="19"/>
                <w:szCs w:val="19"/>
              </w:rPr>
              <w:t>A escoliose afeta 2–3% dos adolescentes e o seu seguimento exige medições reprodutíveis do ângulo de Cobb. A medição manual é morosa e tem variabilidade inter-observador que ultrapassa 5°.</w:t>
            </w:r>
          </w:p>
          <w:p w14:paraId="19014A0E" w14:textId="77777777" w:rsidR="00A901A9" w:rsidRDefault="00000000">
            <w:pPr>
              <w:spacing w:after="70" w:line="250" w:lineRule="auto"/>
              <w:jc w:val="both"/>
            </w:pPr>
            <w:r>
              <w:rPr>
                <w:color w:val="222222"/>
                <w:sz w:val="19"/>
                <w:szCs w:val="19"/>
              </w:rPr>
              <w:t>Apresenta-se um pipeline ponta-a-ponta que recebe uma radiografia e devolve os três ângulos de Cobb e a respetiva categoria clínica (Normal, Leve, Moderada, Grave) — apoiando o rastreio populacional, reduzindo o tempo de diagnóstico e padronizando a medição.</w:t>
            </w:r>
          </w:p>
        </w:tc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182A9FD" w14:textId="77777777" w:rsidR="00A901A9" w:rsidRDefault="00000000">
            <w:pPr>
              <w:pBdr>
                <w:top w:val="single" w:sz="6" w:space="3" w:color="1A3A6B"/>
                <w:left w:val="single" w:sz="6" w:space="3" w:color="1A3A6B"/>
                <w:bottom w:val="single" w:sz="6" w:space="3" w:color="1A3A6B"/>
                <w:right w:val="single" w:sz="6" w:space="3" w:color="1A3A6B"/>
              </w:pBdr>
              <w:shd w:val="clear" w:color="auto" w:fill="1A3A6B"/>
              <w:spacing w:before="10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Conclusões</w:t>
            </w:r>
          </w:p>
          <w:p w14:paraId="6CC043DF" w14:textId="77777777" w:rsidR="00A901A9" w:rsidRDefault="00000000">
            <w:pPr>
              <w:spacing w:after="70" w:line="250" w:lineRule="auto"/>
              <w:jc w:val="both"/>
            </w:pPr>
            <w:r>
              <w:rPr>
                <w:color w:val="222222"/>
                <w:sz w:val="19"/>
                <w:szCs w:val="19"/>
              </w:rPr>
              <w:t>O pipeline desenvolvido demonstra que é viável automatizar a análise radiográfica da escoliose com alta precisão. O HRNet-W32 atinge 2.62° de CMAE em validação e 2.83° em teste, superando o estado da arte e ficando bem abaixo da variabilidade inter-observador clínica.</w:t>
            </w:r>
          </w:p>
          <w:p w14:paraId="26F8B09C" w14:textId="77777777" w:rsidR="00A901A9" w:rsidRDefault="00000000">
            <w:pPr>
              <w:spacing w:after="70" w:line="250" w:lineRule="auto"/>
              <w:jc w:val="both"/>
            </w:pPr>
            <w:r>
              <w:rPr>
                <w:color w:val="222222"/>
                <w:sz w:val="19"/>
                <w:szCs w:val="19"/>
              </w:rPr>
              <w:t>Trabalho futuro: cross-validation k-fold; explorar Vision Transformers e U-Net++; integrar a estimação direta dos 68 keypoints vertebrais com Wing Loss; e validar em radiografias de instituições portuguesas com avaliação clínica cega.</w:t>
            </w:r>
          </w:p>
        </w:tc>
      </w:tr>
    </w:tbl>
    <w:p w14:paraId="55ED70C0" w14:textId="77777777" w:rsidR="00A901A9" w:rsidRDefault="00000000">
      <w:pPr>
        <w:pBdr>
          <w:top w:val="single" w:sz="6" w:space="3" w:color="1A3A6B"/>
          <w:left w:val="single" w:sz="6" w:space="3" w:color="1A3A6B"/>
          <w:bottom w:val="single" w:sz="6" w:space="3" w:color="1A3A6B"/>
          <w:right w:val="single" w:sz="6" w:space="3" w:color="1A3A6B"/>
        </w:pBdr>
        <w:shd w:val="clear" w:color="auto" w:fill="1A3A6B"/>
        <w:spacing w:before="100"/>
        <w:jc w:val="center"/>
      </w:pPr>
      <w:r>
        <w:rPr>
          <w:b/>
          <w:bCs/>
          <w:color w:val="FFFFFF"/>
          <w:sz w:val="30"/>
          <w:szCs w:val="30"/>
        </w:rPr>
        <w:t>Dataset e Categorias Clínicas</w:t>
      </w:r>
    </w:p>
    <w:p w14:paraId="110B5F07" w14:textId="77777777" w:rsidR="00A901A9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293F952D" wp14:editId="074AA0FD">
            <wp:extent cx="5524500" cy="2809875"/>
            <wp:effectExtent l="0" t="0" r="0" b="0"/>
            <wp:docPr id="259082794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4AE2" w14:textId="77777777" w:rsidR="00A901A9" w:rsidRDefault="00000000">
      <w:pPr>
        <w:spacing w:before="10" w:after="60"/>
        <w:jc w:val="center"/>
      </w:pPr>
      <w:r>
        <w:rPr>
          <w:i/>
          <w:iCs/>
          <w:color w:val="555555"/>
          <w:sz w:val="16"/>
          <w:szCs w:val="16"/>
        </w:rPr>
        <w:t>Figura 1: Exemplos do Spinal-AI2024 (subset 5 – teste). Os limiares clínicos do ângulo máximo de Cobb definem 4 categorias: Normal &lt; 10°, Leve 10–25°, Moderada 25–40° e Grave &gt; 40°.</w:t>
      </w:r>
    </w:p>
    <w:p w14:paraId="22CABAE9" w14:textId="77777777" w:rsidR="00A901A9" w:rsidRDefault="00000000">
      <w:pPr>
        <w:pBdr>
          <w:top w:val="single" w:sz="6" w:space="3" w:color="1A3A6B"/>
          <w:left w:val="single" w:sz="6" w:space="3" w:color="1A3A6B"/>
          <w:bottom w:val="single" w:sz="6" w:space="3" w:color="1A3A6B"/>
          <w:right w:val="single" w:sz="6" w:space="3" w:color="1A3A6B"/>
        </w:pBdr>
        <w:shd w:val="clear" w:color="auto" w:fill="1A3A6B"/>
        <w:spacing w:before="100"/>
        <w:jc w:val="center"/>
      </w:pPr>
      <w:r>
        <w:rPr>
          <w:b/>
          <w:bCs/>
          <w:color w:val="FFFFFF"/>
          <w:sz w:val="30"/>
          <w:szCs w:val="30"/>
        </w:rPr>
        <w:t>Métodos</w:t>
      </w:r>
    </w:p>
    <w:p w14:paraId="56714B65" w14:textId="77777777" w:rsidR="00A901A9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550EC1E1" wp14:editId="3230C8E1">
            <wp:extent cx="5905500" cy="1600200"/>
            <wp:effectExtent l="0" t="0" r="0" b="0"/>
            <wp:docPr id="1830340022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37DC" w14:textId="77777777" w:rsidR="00A901A9" w:rsidRDefault="00000000">
      <w:pPr>
        <w:spacing w:before="10" w:after="60"/>
        <w:jc w:val="center"/>
      </w:pPr>
      <w:r>
        <w:rPr>
          <w:i/>
          <w:iCs/>
          <w:color w:val="555555"/>
          <w:sz w:val="16"/>
          <w:szCs w:val="16"/>
        </w:rPr>
        <w:t>Figura 2: Fluxograma da metodologia desenvolvida</w:t>
      </w:r>
    </w:p>
    <w:tbl>
      <w:tblPr>
        <w:tblW w:w="153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9"/>
        <w:gridCol w:w="7699"/>
      </w:tblGrid>
      <w:tr w:rsidR="00A901A9" w14:paraId="4996237F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200" w:type="dxa"/>
            </w:tcMar>
          </w:tcPr>
          <w:p w14:paraId="1379C86B" w14:textId="77777777" w:rsidR="00A901A9" w:rsidRDefault="00000000">
            <w:pPr>
              <w:spacing w:after="70" w:line="250" w:lineRule="auto"/>
              <w:jc w:val="both"/>
            </w:pPr>
            <w:r>
              <w:rPr>
                <w:color w:val="222222"/>
                <w:sz w:val="19"/>
                <w:szCs w:val="19"/>
              </w:rPr>
              <w:t>Dataset — Spinal-AI2024 (~16 000 radiografias, 5 subsets; subsets 1–4 para treino/validação 80/20, subset 5 reservado para teste). Cada imagem está anotada com três ângulos de Cobb.</w:t>
            </w:r>
          </w:p>
          <w:p w14:paraId="420A6E03" w14:textId="77777777" w:rsidR="00A901A9" w:rsidRDefault="00000000">
            <w:pPr>
              <w:spacing w:after="70" w:line="250" w:lineRule="auto"/>
              <w:jc w:val="both"/>
            </w:pPr>
            <w:r>
              <w:rPr>
                <w:color w:val="222222"/>
                <w:sz w:val="19"/>
                <w:szCs w:val="19"/>
              </w:rPr>
              <w:t>Pré-processamento — leitura em escala de cinzentos, CLAHE (clip-limit = 3.0), redimensionamento para 512×512 e normalização ImageNet. Em treino: HorizontalFlip, rotação ±10°, RandomBrightnessContrast e GaussNoise.</w:t>
            </w:r>
          </w:p>
        </w:tc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252B4B53" w14:textId="77777777" w:rsidR="00A901A9" w:rsidRPr="005D22FB" w:rsidRDefault="00000000">
            <w:pPr>
              <w:spacing w:after="70" w:line="250" w:lineRule="auto"/>
              <w:jc w:val="both"/>
              <w:rPr>
                <w:lang w:val="en-US"/>
              </w:rPr>
            </w:pPr>
            <w:r>
              <w:rPr>
                <w:color w:val="222222"/>
                <w:sz w:val="19"/>
                <w:szCs w:val="19"/>
              </w:rPr>
              <w:t xml:space="preserve">Modelo — HRNet-W32 (~29 M parâmetros; 4 ramos paralelos [32, 64, 128, 256]) com cabeça de regressão para 3 ângulos. </w:t>
            </w:r>
            <w:r w:rsidRPr="005D22FB">
              <w:rPr>
                <w:color w:val="222222"/>
                <w:sz w:val="19"/>
                <w:szCs w:val="19"/>
                <w:lang w:val="en-US"/>
              </w:rPr>
              <w:t>Loss = MSE + Wing Loss (</w:t>
            </w:r>
            <w:r>
              <w:rPr>
                <w:color w:val="222222"/>
                <w:sz w:val="19"/>
                <w:szCs w:val="19"/>
              </w:rPr>
              <w:t>α</w:t>
            </w:r>
            <w:r w:rsidRPr="005D22FB">
              <w:rPr>
                <w:color w:val="222222"/>
                <w:sz w:val="19"/>
                <w:szCs w:val="19"/>
                <w:lang w:val="en-US"/>
              </w:rPr>
              <w:t xml:space="preserve">=1.0, </w:t>
            </w:r>
            <w:r>
              <w:rPr>
                <w:color w:val="222222"/>
                <w:sz w:val="19"/>
                <w:szCs w:val="19"/>
              </w:rPr>
              <w:t>β</w:t>
            </w:r>
            <w:r w:rsidRPr="005D22FB">
              <w:rPr>
                <w:color w:val="222222"/>
                <w:sz w:val="19"/>
                <w:szCs w:val="19"/>
                <w:lang w:val="en-US"/>
              </w:rPr>
              <w:t>=0.1).</w:t>
            </w:r>
          </w:p>
          <w:p w14:paraId="08F567A7" w14:textId="77777777" w:rsidR="00A901A9" w:rsidRDefault="00000000">
            <w:pPr>
              <w:spacing w:after="70" w:line="250" w:lineRule="auto"/>
              <w:jc w:val="both"/>
            </w:pPr>
            <w:r w:rsidRPr="005D22FB">
              <w:rPr>
                <w:color w:val="222222"/>
                <w:sz w:val="19"/>
                <w:szCs w:val="19"/>
                <w:lang w:val="en-US"/>
              </w:rPr>
              <w:t xml:space="preserve">Treino — AdamW (lr=1×10⁻³, weight_decay=1×10⁻⁴) com Cosine Annealing Warm Restarts (T₀=10, T_mult=2). </w:t>
            </w:r>
            <w:r>
              <w:rPr>
                <w:color w:val="222222"/>
                <w:sz w:val="19"/>
                <w:szCs w:val="19"/>
              </w:rPr>
              <w:t>Batch = 8, gradient clipping = 5.0, early stopping (patience = 15). Classificação clínica por categoria: Normal &lt; 10°, Leve 10–25°, Moderada 25–40°, Grave &gt; 40°.</w:t>
            </w:r>
          </w:p>
        </w:tc>
      </w:tr>
    </w:tbl>
    <w:p w14:paraId="1FDC90F6" w14:textId="77777777" w:rsidR="00A901A9" w:rsidRDefault="00000000">
      <w:pPr>
        <w:pBdr>
          <w:top w:val="single" w:sz="6" w:space="3" w:color="1A3A6B"/>
          <w:left w:val="single" w:sz="6" w:space="3" w:color="1A3A6B"/>
          <w:bottom w:val="single" w:sz="6" w:space="3" w:color="1A3A6B"/>
          <w:right w:val="single" w:sz="6" w:space="3" w:color="1A3A6B"/>
        </w:pBdr>
        <w:shd w:val="clear" w:color="auto" w:fill="1A3A6B"/>
        <w:spacing w:before="100"/>
        <w:jc w:val="center"/>
      </w:pPr>
      <w:r>
        <w:rPr>
          <w:b/>
          <w:bCs/>
          <w:color w:val="FFFFFF"/>
          <w:sz w:val="30"/>
          <w:szCs w:val="30"/>
        </w:rPr>
        <w:t>Resultados</w:t>
      </w:r>
    </w:p>
    <w:tbl>
      <w:tblPr>
        <w:tblW w:w="153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9"/>
        <w:gridCol w:w="7699"/>
      </w:tblGrid>
      <w:tr w:rsidR="00A901A9" w14:paraId="767D3277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100" w:type="dxa"/>
            </w:tcMar>
            <w:vAlign w:val="center"/>
          </w:tcPr>
          <w:p w14:paraId="6BB1EE54" w14:textId="77777777" w:rsidR="00A901A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97280C" wp14:editId="05E812B4">
                  <wp:extent cx="3429000" cy="1238250"/>
                  <wp:effectExtent l="0" t="0" r="0" b="0"/>
                  <wp:docPr id="57511155" name="fig" descr="fig" title="f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0F8DD" w14:textId="77777777" w:rsidR="00A901A9" w:rsidRDefault="00000000">
            <w:pPr>
              <w:spacing w:before="10" w:after="6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Figura 3: (esq.) Evolução do CMAE durante o treino — (dir.) Erro por região (Val. vs. Teste)</w:t>
            </w:r>
          </w:p>
        </w:tc>
        <w:tc>
          <w:tcPr>
            <w:tcW w:w="7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A2802F0" w14:textId="77777777" w:rsidR="00A901A9" w:rsidRDefault="00000000">
            <w:pPr>
              <w:spacing w:after="70" w:line="250" w:lineRule="auto"/>
              <w:jc w:val="both"/>
            </w:pPr>
            <w:r>
              <w:rPr>
                <w:color w:val="222222"/>
                <w:sz w:val="19"/>
                <w:szCs w:val="19"/>
              </w:rPr>
              <w:t>Após 88 épocas, o modelo atingiu CMAE médio de 2.62° em validação e 2.83° em teste — quase 50% abaixo do estado da arte (≈ 5–7°). O treino convergiu de forma estável e sem overfitting (Figura 3).</w:t>
            </w:r>
          </w:p>
          <w:p w14:paraId="2C05840F" w14:textId="77777777" w:rsidR="00A901A9" w:rsidRDefault="00000000">
            <w:pPr>
              <w:spacing w:after="70" w:line="250" w:lineRule="auto"/>
              <w:jc w:val="both"/>
            </w:pPr>
            <w:r>
              <w:rPr>
                <w:color w:val="222222"/>
                <w:sz w:val="19"/>
                <w:szCs w:val="19"/>
              </w:rPr>
              <w:t>A análise por região (Figura 4) mostra desempenho equilibrado: melhor nos segmentos torácicos (≈ 2.4°–2.7°) e ligeiramente superior na região lombar (3.00° / 3.18°), o que é coerente com a maior variabilidade morfológica desta zona. A diferença reduzida entre validação e teste indica boa generalização.</w:t>
            </w:r>
          </w:p>
          <w:p w14:paraId="6AA8093D" w14:textId="77777777" w:rsidR="00A901A9" w:rsidRDefault="00000000">
            <w:pPr>
              <w:spacing w:before="10" w:after="6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Tabela 1: Síntese de resultados (Val / Teste)</w:t>
            </w:r>
          </w:p>
          <w:tbl>
            <w:tblPr>
              <w:tblW w:w="6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6"/>
              <w:gridCol w:w="2094"/>
            </w:tblGrid>
            <w:tr w:rsidR="00A901A9" w14:paraId="6FBC631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0" w:type="auto"/>
                  <w:shd w:val="clear" w:color="auto" w:fill="1A3A6B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4B77688A" w14:textId="77777777" w:rsidR="00A901A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Métrica</w:t>
                  </w:r>
                </w:p>
              </w:tc>
              <w:tc>
                <w:tcPr>
                  <w:tcW w:w="0" w:type="auto"/>
                  <w:shd w:val="clear" w:color="auto" w:fill="1A3A6B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3EF247E1" w14:textId="77777777" w:rsidR="00A901A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Valor</w:t>
                  </w:r>
                </w:p>
              </w:tc>
            </w:tr>
            <w:tr w:rsidR="00A901A9" w14:paraId="0A1CCC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9328030" w14:textId="77777777" w:rsidR="00A901A9" w:rsidRDefault="00000000">
                  <w:r>
                    <w:rPr>
                      <w:b/>
                      <w:bCs/>
                      <w:color w:val="1A3A6B"/>
                      <w:sz w:val="18"/>
                      <w:szCs w:val="18"/>
                    </w:rPr>
                    <w:t>CMAE médio (Validação)</w:t>
                  </w:r>
                </w:p>
              </w:tc>
              <w:tc>
                <w:tcPr>
                  <w:tcW w:w="0" w:type="auto"/>
                  <w:shd w:val="clear" w:color="auto" w:fill="E8EEF5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116C7DA5" w14:textId="77777777" w:rsidR="00A901A9" w:rsidRDefault="00000000">
                  <w:pPr>
                    <w:jc w:val="center"/>
                  </w:pPr>
                  <w:r>
                    <w:rPr>
                      <w:b/>
                      <w:bCs/>
                      <w:color w:val="1A3A6B"/>
                      <w:sz w:val="20"/>
                      <w:szCs w:val="20"/>
                    </w:rPr>
                    <w:t>2.62°</w:t>
                  </w:r>
                </w:p>
              </w:tc>
            </w:tr>
            <w:tr w:rsidR="00A901A9" w14:paraId="040277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0DCB0A86" w14:textId="77777777" w:rsidR="00A901A9" w:rsidRDefault="00000000">
                  <w:r>
                    <w:rPr>
                      <w:b/>
                      <w:bCs/>
                      <w:color w:val="1A3A6B"/>
                      <w:sz w:val="18"/>
                      <w:szCs w:val="18"/>
                    </w:rPr>
                    <w:t>CMAE médio (Teste)</w:t>
                  </w:r>
                </w:p>
              </w:tc>
              <w:tc>
                <w:tcPr>
                  <w:tcW w:w="0" w:type="auto"/>
                  <w:shd w:val="clear" w:color="auto" w:fill="E8EEF5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415F6715" w14:textId="77777777" w:rsidR="00A901A9" w:rsidRDefault="00000000">
                  <w:pPr>
                    <w:jc w:val="center"/>
                  </w:pPr>
                  <w:r>
                    <w:rPr>
                      <w:b/>
                      <w:bCs/>
                      <w:color w:val="1A3A6B"/>
                      <w:sz w:val="20"/>
                      <w:szCs w:val="20"/>
                    </w:rPr>
                    <w:t>2.83°</w:t>
                  </w:r>
                </w:p>
              </w:tc>
            </w:tr>
            <w:tr w:rsidR="00A901A9" w14:paraId="6C2D93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6DAF78C3" w14:textId="77777777" w:rsidR="00A901A9" w:rsidRDefault="00000000">
                  <w:r>
                    <w:rPr>
                      <w:b/>
                      <w:bCs/>
                      <w:color w:val="1A3A6B"/>
                      <w:sz w:val="18"/>
                      <w:szCs w:val="18"/>
                    </w:rPr>
                    <w:t>CMAE — Torácico Proximal</w:t>
                  </w:r>
                </w:p>
              </w:tc>
              <w:tc>
                <w:tcPr>
                  <w:tcW w:w="0" w:type="auto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7FB8B610" w14:textId="77777777" w:rsidR="00A901A9" w:rsidRDefault="00000000">
                  <w:pPr>
                    <w:jc w:val="center"/>
                  </w:pPr>
                  <w:r>
                    <w:rPr>
                      <w:b/>
                      <w:bCs/>
                      <w:color w:val="1A3A6B"/>
                      <w:sz w:val="20"/>
                      <w:szCs w:val="20"/>
                    </w:rPr>
                    <w:t>2.49° / 2.63°</w:t>
                  </w:r>
                </w:p>
              </w:tc>
            </w:tr>
            <w:tr w:rsidR="00A901A9" w14:paraId="109922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8C4D2" w14:textId="77777777" w:rsidR="00A901A9" w:rsidRDefault="00000000">
                  <w:r>
                    <w:rPr>
                      <w:b/>
                      <w:bCs/>
                      <w:color w:val="1A3A6B"/>
                      <w:sz w:val="18"/>
                      <w:szCs w:val="18"/>
                    </w:rPr>
                    <w:t>CMAE — Torácico Principal</w:t>
                  </w:r>
                </w:p>
              </w:tc>
              <w:tc>
                <w:tcPr>
                  <w:tcW w:w="0" w:type="auto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532369A8" w14:textId="77777777" w:rsidR="00A901A9" w:rsidRDefault="00000000">
                  <w:pPr>
                    <w:jc w:val="center"/>
                  </w:pPr>
                  <w:r>
                    <w:rPr>
                      <w:b/>
                      <w:bCs/>
                      <w:color w:val="1A3A6B"/>
                      <w:sz w:val="20"/>
                      <w:szCs w:val="20"/>
                    </w:rPr>
                    <w:t>2.37° / 2.68°</w:t>
                  </w:r>
                </w:p>
              </w:tc>
            </w:tr>
            <w:tr w:rsidR="00A901A9" w14:paraId="612C66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5DD90B55" w14:textId="77777777" w:rsidR="00A901A9" w:rsidRDefault="00000000">
                  <w:r>
                    <w:rPr>
                      <w:b/>
                      <w:bCs/>
                      <w:color w:val="1A3A6B"/>
                      <w:sz w:val="18"/>
                      <w:szCs w:val="18"/>
                    </w:rPr>
                    <w:t>CMAE — Lombar</w:t>
                  </w:r>
                </w:p>
              </w:tc>
              <w:tc>
                <w:tcPr>
                  <w:tcW w:w="0" w:type="auto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6A949531" w14:textId="77777777" w:rsidR="00A901A9" w:rsidRDefault="00000000">
                  <w:pPr>
                    <w:jc w:val="center"/>
                  </w:pPr>
                  <w:r>
                    <w:rPr>
                      <w:b/>
                      <w:bCs/>
                      <w:color w:val="1A3A6B"/>
                      <w:sz w:val="20"/>
                      <w:szCs w:val="20"/>
                    </w:rPr>
                    <w:t>3.00° / 3.18°</w:t>
                  </w:r>
                </w:p>
              </w:tc>
            </w:tr>
            <w:tr w:rsidR="00A901A9" w14:paraId="1079AE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7F620D1B" w14:textId="77777777" w:rsidR="00A901A9" w:rsidRDefault="00000000">
                  <w:r>
                    <w:rPr>
                      <w:b/>
                      <w:bCs/>
                      <w:color w:val="1A3A6B"/>
                      <w:sz w:val="18"/>
                      <w:szCs w:val="18"/>
                    </w:rPr>
                    <w:t>Loss final (Val / Teste)</w:t>
                  </w:r>
                </w:p>
              </w:tc>
              <w:tc>
                <w:tcPr>
                  <w:tcW w:w="0" w:type="auto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6F9DB6C6" w14:textId="77777777" w:rsidR="00A901A9" w:rsidRDefault="00000000">
                  <w:pPr>
                    <w:jc w:val="center"/>
                  </w:pPr>
                  <w:r>
                    <w:rPr>
                      <w:b/>
                      <w:bCs/>
                      <w:color w:val="1A3A6B"/>
                      <w:sz w:val="20"/>
                      <w:szCs w:val="20"/>
                    </w:rPr>
                    <w:t>2.17 / 2.38</w:t>
                  </w:r>
                </w:p>
              </w:tc>
            </w:tr>
            <w:tr w:rsidR="00A901A9" w14:paraId="2A793D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724BBF3" w14:textId="77777777" w:rsidR="00A901A9" w:rsidRDefault="00000000">
                  <w:r>
                    <w:rPr>
                      <w:b/>
                      <w:bCs/>
                      <w:color w:val="1A3A6B"/>
                      <w:sz w:val="18"/>
                      <w:szCs w:val="18"/>
                    </w:rPr>
                    <w:t>Referência SOTA AASCE</w:t>
                  </w:r>
                </w:p>
              </w:tc>
              <w:tc>
                <w:tcPr>
                  <w:tcW w:w="0" w:type="auto"/>
                  <w:shd w:val="clear" w:color="auto" w:fill="E8EEF5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474B2FE5" w14:textId="77777777" w:rsidR="00A901A9" w:rsidRDefault="00000000">
                  <w:pPr>
                    <w:jc w:val="center"/>
                  </w:pPr>
                  <w:r>
                    <w:rPr>
                      <w:b/>
                      <w:bCs/>
                      <w:color w:val="1A3A6B"/>
                      <w:sz w:val="20"/>
                      <w:szCs w:val="20"/>
                    </w:rPr>
                    <w:t>≈ 5–7°</w:t>
                  </w:r>
                </w:p>
              </w:tc>
            </w:tr>
          </w:tbl>
          <w:p w14:paraId="082B0C22" w14:textId="77777777" w:rsidR="00A901A9" w:rsidRDefault="00A901A9"/>
        </w:tc>
      </w:tr>
    </w:tbl>
    <w:p w14:paraId="3C05EF53" w14:textId="77777777" w:rsidR="007E6DFA" w:rsidRDefault="007E6DFA"/>
    <w:sectPr w:rsidR="007E6DFA">
      <w:pgSz w:w="16838" w:h="23811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D305E"/>
    <w:multiLevelType w:val="hybridMultilevel"/>
    <w:tmpl w:val="79EA83D4"/>
    <w:lvl w:ilvl="0" w:tplc="BABEA5C4">
      <w:start w:val="1"/>
      <w:numFmt w:val="bullet"/>
      <w:lvlText w:val="●"/>
      <w:lvlJc w:val="left"/>
      <w:pPr>
        <w:ind w:left="720" w:hanging="360"/>
      </w:pPr>
    </w:lvl>
    <w:lvl w:ilvl="1" w:tplc="D6B6AFC4">
      <w:start w:val="1"/>
      <w:numFmt w:val="bullet"/>
      <w:lvlText w:val="○"/>
      <w:lvlJc w:val="left"/>
      <w:pPr>
        <w:ind w:left="1440" w:hanging="360"/>
      </w:pPr>
    </w:lvl>
    <w:lvl w:ilvl="2" w:tplc="A6DCD75C">
      <w:start w:val="1"/>
      <w:numFmt w:val="bullet"/>
      <w:lvlText w:val="■"/>
      <w:lvlJc w:val="left"/>
      <w:pPr>
        <w:ind w:left="2160" w:hanging="360"/>
      </w:pPr>
    </w:lvl>
    <w:lvl w:ilvl="3" w:tplc="86B0B2C4">
      <w:start w:val="1"/>
      <w:numFmt w:val="bullet"/>
      <w:lvlText w:val="●"/>
      <w:lvlJc w:val="left"/>
      <w:pPr>
        <w:ind w:left="2880" w:hanging="360"/>
      </w:pPr>
    </w:lvl>
    <w:lvl w:ilvl="4" w:tplc="76507840">
      <w:start w:val="1"/>
      <w:numFmt w:val="bullet"/>
      <w:lvlText w:val="○"/>
      <w:lvlJc w:val="left"/>
      <w:pPr>
        <w:ind w:left="3600" w:hanging="360"/>
      </w:pPr>
    </w:lvl>
    <w:lvl w:ilvl="5" w:tplc="99F60250">
      <w:start w:val="1"/>
      <w:numFmt w:val="bullet"/>
      <w:lvlText w:val="■"/>
      <w:lvlJc w:val="left"/>
      <w:pPr>
        <w:ind w:left="4320" w:hanging="360"/>
      </w:pPr>
    </w:lvl>
    <w:lvl w:ilvl="6" w:tplc="1C4AA784">
      <w:start w:val="1"/>
      <w:numFmt w:val="bullet"/>
      <w:lvlText w:val="●"/>
      <w:lvlJc w:val="left"/>
      <w:pPr>
        <w:ind w:left="5040" w:hanging="360"/>
      </w:pPr>
    </w:lvl>
    <w:lvl w:ilvl="7" w:tplc="F4CAA00C">
      <w:start w:val="1"/>
      <w:numFmt w:val="bullet"/>
      <w:lvlText w:val="●"/>
      <w:lvlJc w:val="left"/>
      <w:pPr>
        <w:ind w:left="5760" w:hanging="360"/>
      </w:pPr>
    </w:lvl>
    <w:lvl w:ilvl="8" w:tplc="9DEE34E6">
      <w:start w:val="1"/>
      <w:numFmt w:val="bullet"/>
      <w:lvlText w:val="●"/>
      <w:lvlJc w:val="left"/>
      <w:pPr>
        <w:ind w:left="6480" w:hanging="360"/>
      </w:pPr>
    </w:lvl>
  </w:abstractNum>
  <w:num w:numId="1" w16cid:durableId="207644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1A9"/>
    <w:rsid w:val="00445B97"/>
    <w:rsid w:val="004B16C8"/>
    <w:rsid w:val="005D22FB"/>
    <w:rsid w:val="007E6DFA"/>
    <w:rsid w:val="00A901A9"/>
    <w:rsid w:val="00C31F14"/>
    <w:rsid w:val="00EF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3CAEB"/>
  <w15:docId w15:val="{149B0407-2215-4E1D-A9A6-B13197D1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599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Poster — Análise Automática de Escoliose</vt:lpstr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Poster — Análise Automática de Escoliose</dc:title>
  <dc:creator>Sérgio Moniz</dc:creator>
  <cp:lastModifiedBy>SÉRGIO MIGUEL PEREIRA MONIZ</cp:lastModifiedBy>
  <cp:revision>5</cp:revision>
  <cp:lastPrinted>2026-05-18T10:39:00Z</cp:lastPrinted>
  <dcterms:created xsi:type="dcterms:W3CDTF">2026-05-11T16:53:00Z</dcterms:created>
  <dcterms:modified xsi:type="dcterms:W3CDTF">2026-05-18T10:54:00Z</dcterms:modified>
</cp:coreProperties>
</file>