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08" w:firstLine="0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Reintentos de domiciliación</w:t>
      </w:r>
    </w:p>
    <w:p w:rsidR="00000000" w:rsidDel="00000000" w:rsidP="00000000" w:rsidRDefault="00000000" w:rsidRPr="00000000" w14:paraId="0000000C">
      <w:pPr>
        <w:rPr>
          <w:sz w:val="72"/>
          <w:szCs w:val="7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08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08" w:right="0" w:firstLine="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</w:t>
      </w:r>
    </w:p>
    <w:p w:rsidR="00000000" w:rsidDel="00000000" w:rsidP="00000000" w:rsidRDefault="00000000" w:rsidRPr="00000000" w14:paraId="0000000F">
      <w:pPr>
        <w:ind w:left="708" w:firstLine="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240" w:lineRule="auto"/>
            <w:ind w:left="0" w:right="0" w:firstLine="0"/>
            <w:jc w:val="both"/>
            <w:rPr>
              <w:rFonts w:ascii="Corbel" w:cs="Corbel" w:eastAsia="Corbel" w:hAnsi="Corbe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240" w:lineRule="auto"/>
            <w:ind w:left="0" w:right="0" w:firstLine="0"/>
            <w:jc w:val="both"/>
            <w:rPr>
              <w:rFonts w:ascii="Corbel" w:cs="Corbel" w:eastAsia="Corbel" w:hAnsi="Corbe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TÉRMINOS Y DEFINICIONES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240" w:lineRule="auto"/>
            <w:ind w:left="0" w:right="0" w:firstLine="0"/>
            <w:jc w:val="both"/>
            <w:rPr>
              <w:rFonts w:ascii="Corbel" w:cs="Corbel" w:eastAsia="Corbel" w:hAnsi="Corbe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1fob9te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Domiciliación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240" w:lineRule="auto"/>
            <w:ind w:left="0" w:right="0" w:firstLine="0"/>
            <w:jc w:val="both"/>
            <w:rPr>
              <w:rFonts w:ascii="Corbel" w:cs="Corbel" w:eastAsia="Corbel" w:hAnsi="Corbe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znysh7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DESARROLLO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ind w:left="708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1494" w:right="0" w:hanging="36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nuevas listas de cobro mediante el proceso de domiciliación a la cartera con intentos fallidos de cobranza.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1494" w:right="0" w:hanging="36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TÉRMINOS Y DEFINICIONES</w:t>
      </w:r>
    </w:p>
    <w:p w:rsidR="00000000" w:rsidDel="00000000" w:rsidP="00000000" w:rsidRDefault="00000000" w:rsidRPr="00000000" w14:paraId="00000025">
      <w:pPr>
        <w:pStyle w:val="Heading1"/>
        <w:numPr>
          <w:ilvl w:val="1"/>
          <w:numId w:val="1"/>
        </w:numPr>
        <w:ind w:left="862" w:hanging="72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Domiciliación </w:t>
      </w:r>
    </w:p>
    <w:p w:rsidR="00000000" w:rsidDel="00000000" w:rsidP="00000000" w:rsidRDefault="00000000" w:rsidRPr="00000000" w14:paraId="00000026">
      <w:pPr>
        <w:spacing w:before="240" w:lineRule="auto"/>
        <w:rPr/>
      </w:pPr>
      <w:r w:rsidDel="00000000" w:rsidR="00000000" w:rsidRPr="00000000">
        <w:rPr>
          <w:rtl w:val="0"/>
        </w:rPr>
        <w:t xml:space="preserve">Método para realizar pagos de forma automática con cargo a tarjeta de nómina, cuenta de cheques, tarjeta de débito o crédito.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1494" w:right="0" w:hanging="36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elaborar una lista de reintentos de domiciliación, ingresar al módulo de cobranza &gt; Domiciliación y</w:t>
      </w:r>
      <w:r w:rsidDel="00000000" w:rsidR="00000000" w:rsidRPr="00000000">
        <w:rPr>
          <w:rtl w:val="0"/>
        </w:rPr>
        <w:t xml:space="preserve">, seleccione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botón “Procesos”.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643483" cy="1601784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23826" l="0" r="0" t="5948"/>
                    <a:stretch>
                      <a:fillRect/>
                    </a:stretch>
                  </pic:blipFill>
                  <pic:spPr>
                    <a:xfrm>
                      <a:off x="0" y="0"/>
                      <a:ext cx="5643483" cy="160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876300</wp:posOffset>
                </wp:positionV>
                <wp:extent cx="419763" cy="348201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55169" y="3624950"/>
                          <a:ext cx="381663" cy="310101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FC8004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876300</wp:posOffset>
                </wp:positionV>
                <wp:extent cx="419763" cy="348201"/>
                <wp:effectExtent b="0" l="0" r="0" t="0"/>
                <wp:wrapNone/>
                <wp:docPr id="2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63" cy="3482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el proceso de reintentos y dar clic al botón “Ejecutar”.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705475" cy="292227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92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1181100</wp:posOffset>
                </wp:positionV>
                <wp:extent cx="357836" cy="527933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6132" y="3535084"/>
                          <a:ext cx="319736" cy="489833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FC8004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1181100</wp:posOffset>
                </wp:positionV>
                <wp:extent cx="357836" cy="527933"/>
                <wp:effectExtent b="0" l="0" r="0" t="0"/>
                <wp:wrapNone/>
                <wp:docPr id="2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836" cy="5279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mostrará la lista de paquetes de domiciliación que existen para seleccionar la(s) lista(s) de las cuales quiere generar su proceso de reintentos.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la lista a considerar y dar clic en “Seleccionar”.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705475" cy="21336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118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mostrará la opción de la cuenta bancaria y el porcentaje. Se podrá seleccionar más listas a través del botón “Add” (Agregar), o bien eliminar las listas seleccionadas con el botón de “Clear” (Limpiar).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686425" cy="203962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3205" t="360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3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terminado el proceso de selección de listas, seleccionar la cuenta y definir el porcentaje, dar clic al botón “Ok”.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686425" cy="2287905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8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ejecutará un proceso de creación de una nueva lista para domiciliar.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667375" cy="2414905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1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nueva lista de domiciliación contiene todos los créditos no cobrados de las listas seleccionadas por un importe de % seleccionado.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667375" cy="2624455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2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footerReference r:id="rId20" w:type="even"/>
      <w:pgSz w:h="15840" w:w="12240" w:orient="portrait"/>
      <w:pgMar w:bottom="1418" w:top="2041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70485</wp:posOffset>
          </wp:positionV>
          <wp:extent cx="7780655" cy="361950"/>
          <wp:effectExtent b="0" l="0" r="0" t="0"/>
          <wp:wrapSquare wrapText="bothSides" distB="0" distT="0" distL="114300" distR="114300"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0655" cy="36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both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both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83820</wp:posOffset>
          </wp:positionV>
          <wp:extent cx="7780655" cy="361950"/>
          <wp:effectExtent b="0" l="0" r="0" t="0"/>
          <wp:wrapSquare wrapText="bothSides" distB="0" distT="0" distL="114300" distR="11430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0655" cy="36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9359900</wp:posOffset>
              </wp:positionV>
              <wp:extent cx="7791450" cy="32385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69325" y="3637125"/>
                        <a:ext cx="7753350" cy="285750"/>
                      </a:xfrm>
                      <a:prstGeom prst="rect">
                        <a:avLst/>
                      </a:prstGeom>
                      <a:solidFill>
                        <a:srgbClr val="F7903B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  <a:effectLst>
                        <a:outerShdw rotWithShape="0" algn="ctr" dir="3806097" dist="28398">
                          <a:srgbClr val="8A5C00">
                            <a:alpha val="49803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www.zell.mx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9359900</wp:posOffset>
              </wp:positionV>
              <wp:extent cx="7791450" cy="323850"/>
              <wp:effectExtent b="0" l="0" r="0" t="0"/>
              <wp:wrapNone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323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004.0" w:type="dxa"/>
      <w:jc w:val="left"/>
      <w:tblInd w:w="-17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256"/>
      <w:gridCol w:w="7748"/>
      <w:tblGridChange w:id="0">
        <w:tblGrid>
          <w:gridCol w:w="1256"/>
          <w:gridCol w:w="7748"/>
        </w:tblGrid>
      </w:tblGridChange>
    </w:tblGrid>
    <w:tr>
      <w:trPr>
        <w:cantSplit w:val="0"/>
        <w:trHeight w:val="72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</wp:posOffset>
                </wp:positionH>
                <wp:positionV relativeFrom="paragraph">
                  <wp:posOffset>95250</wp:posOffset>
                </wp:positionV>
                <wp:extent cx="730250" cy="657225"/>
                <wp:effectExtent b="0" l="0" r="0" t="0"/>
                <wp:wrapNone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27032" l="10523" r="70808" t="272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250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Nombre del documento:</w:t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Reintentos de domiciliación</w:t>
          </w:r>
        </w:p>
      </w:tc>
    </w:tr>
    <w:tr>
      <w:trPr>
        <w:cantSplit w:val="0"/>
        <w:trHeight w:val="23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</w:tr>
    <w:tr>
      <w:trPr>
        <w:cantSplit w:val="0"/>
        <w:trHeight w:val="231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00</w:t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1560"/>
      </w:tabs>
      <w:spacing w:after="0" w:before="0" w:line="240" w:lineRule="auto"/>
      <w:ind w:left="0" w:right="0" w:firstLine="0"/>
      <w:jc w:val="both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04.0" w:type="dxa"/>
      <w:jc w:val="left"/>
      <w:tblInd w:w="-17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256"/>
      <w:gridCol w:w="7748"/>
      <w:tblGridChange w:id="0">
        <w:tblGrid>
          <w:gridCol w:w="1256"/>
          <w:gridCol w:w="7748"/>
        </w:tblGrid>
      </w:tblGridChange>
    </w:tblGrid>
    <w:tr>
      <w:trPr>
        <w:cantSplit w:val="0"/>
        <w:trHeight w:val="72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</wp:posOffset>
                </wp:positionH>
                <wp:positionV relativeFrom="paragraph">
                  <wp:posOffset>95250</wp:posOffset>
                </wp:positionV>
                <wp:extent cx="730250" cy="657225"/>
                <wp:effectExtent b="0" l="0" r="0" t="0"/>
                <wp:wrapNone/>
                <wp:docPr descr="Logotipo&#10;&#10;Descripción generada automáticamente" id="30" name="image5.png"/>
                <a:graphic>
                  <a:graphicData uri="http://schemas.openxmlformats.org/drawingml/2006/picture">
                    <pic:pic>
                      <pic:nvPicPr>
                        <pic:cNvPr descr="Logotipo&#10;&#10;Descripción generada automáticamente" id="0" name="image5.png"/>
                        <pic:cNvPicPr preferRelativeResize="0"/>
                      </pic:nvPicPr>
                      <pic:blipFill>
                        <a:blip r:embed="rId1"/>
                        <a:srcRect b="27032" l="10523" r="70808" t="272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250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Nombre del documento:</w:t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Reintentos de domiciliación</w:t>
          </w:r>
        </w:p>
      </w:tc>
    </w:tr>
    <w:tr>
      <w:trPr>
        <w:cantSplit w:val="0"/>
        <w:trHeight w:val="23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</w:tr>
    <w:tr>
      <w:trPr>
        <w:cantSplit w:val="0"/>
        <w:trHeight w:val="231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00</w:t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decimal"/>
      <w:lvlText w:val="%1.%2"/>
      <w:lvlJc w:val="left"/>
      <w:pPr>
        <w:ind w:left="862" w:hanging="720"/>
      </w:pPr>
      <w:rPr>
        <w:b w:val="1"/>
        <w:sz w:val="24"/>
        <w:szCs w:val="24"/>
      </w:rPr>
    </w:lvl>
    <w:lvl w:ilvl="2">
      <w:start w:val="1"/>
      <w:numFmt w:val="decimal"/>
      <w:lvlText w:val="%1.%2.%3"/>
      <w:lvlJc w:val="left"/>
      <w:pPr>
        <w:ind w:left="3130" w:hanging="1080"/>
      </w:pPr>
      <w:rPr/>
    </w:lvl>
    <w:lvl w:ilvl="3">
      <w:start w:val="1"/>
      <w:numFmt w:val="decimal"/>
      <w:lvlText w:val="%1.%2.%3.%4"/>
      <w:lvlJc w:val="left"/>
      <w:pPr>
        <w:ind w:left="3130" w:hanging="1080"/>
      </w:pPr>
      <w:rPr/>
    </w:lvl>
    <w:lvl w:ilvl="4">
      <w:start w:val="1"/>
      <w:numFmt w:val="decimal"/>
      <w:lvlText w:val="%1.%2.%3.%4.%5"/>
      <w:lvlJc w:val="left"/>
      <w:pPr>
        <w:ind w:left="2574" w:hanging="1440.0000000000002"/>
      </w:pPr>
      <w:rPr/>
    </w:lvl>
    <w:lvl w:ilvl="5">
      <w:start w:val="1"/>
      <w:numFmt w:val="decimal"/>
      <w:lvlText w:val="%1.%2.%3.%4.%5.%6"/>
      <w:lvlJc w:val="left"/>
      <w:pPr>
        <w:ind w:left="2934" w:hanging="1800.0000000000002"/>
      </w:pPr>
      <w:rPr/>
    </w:lvl>
    <w:lvl w:ilvl="6">
      <w:start w:val="1"/>
      <w:numFmt w:val="decimal"/>
      <w:lvlText w:val="%1.%2.%3.%4.%5.%6.%7"/>
      <w:lvlJc w:val="left"/>
      <w:pPr>
        <w:ind w:left="3294" w:hanging="2160"/>
      </w:pPr>
      <w:rPr/>
    </w:lvl>
    <w:lvl w:ilvl="7">
      <w:start w:val="1"/>
      <w:numFmt w:val="decimal"/>
      <w:lvlText w:val="%1.%2.%3.%4.%5.%6.%7.%8"/>
      <w:lvlJc w:val="left"/>
      <w:pPr>
        <w:ind w:left="3294" w:hanging="2160"/>
      </w:pPr>
      <w:rPr/>
    </w:lvl>
    <w:lvl w:ilvl="8">
      <w:start w:val="1"/>
      <w:numFmt w:val="decimal"/>
      <w:lvlText w:val="%1.%2.%3.%4.%5.%6.%7.%8.%9"/>
      <w:lvlJc w:val="left"/>
      <w:pPr>
        <w:ind w:left="3654" w:hanging="252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90" w:hanging="390"/>
      </w:pPr>
      <w:rPr/>
    </w:lvl>
    <w:lvl w:ilvl="1">
      <w:start w:val="2"/>
      <w:numFmt w:val="decimal"/>
      <w:lvlText w:val="%1.%2."/>
      <w:lvlJc w:val="left"/>
      <w:pPr>
        <w:ind w:left="720" w:hanging="720"/>
      </w:pPr>
      <w:rPr>
        <w:b w:val="1"/>
      </w:rPr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4"/>
        <w:szCs w:val="24"/>
        <w:lang w:val="es-MX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E71B2"/>
    <w:pPr>
      <w:jc w:val="both"/>
    </w:pPr>
    <w:rPr>
      <w:rFonts w:ascii="Century Gothic" w:hAnsi="Century Gothic"/>
      <w:sz w:val="24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2F5815"/>
    <w:pPr>
      <w:keepNext w:val="1"/>
      <w:keepLines w:val="1"/>
      <w:spacing w:after="0" w:before="240"/>
      <w:outlineLvl w:val="0"/>
    </w:pPr>
    <w:rPr>
      <w:rFonts w:cstheme="majorBidi" w:eastAsiaTheme="majorEastAsia"/>
      <w:b w:val="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2F5815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AB577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B5770"/>
  </w:style>
  <w:style w:type="paragraph" w:styleId="Piedepgina">
    <w:name w:val="footer"/>
    <w:basedOn w:val="Normal"/>
    <w:link w:val="PiedepginaCar"/>
    <w:uiPriority w:val="99"/>
    <w:unhideWhenUsed w:val="1"/>
    <w:rsid w:val="00AB577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B5770"/>
  </w:style>
  <w:style w:type="table" w:styleId="Tablaconcuadrcula">
    <w:name w:val="Table Grid"/>
    <w:basedOn w:val="Tablanormal"/>
    <w:uiPriority w:val="39"/>
    <w:rsid w:val="00AB577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CA6B7F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E2D8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E2D8F"/>
    <w:rPr>
      <w:rFonts w:ascii="Tahoma" w:cs="Tahoma" w:hAnsi="Tahoma"/>
      <w:sz w:val="16"/>
      <w:szCs w:val="16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105EDF"/>
  </w:style>
  <w:style w:type="character" w:styleId="Textoennegrita">
    <w:name w:val="Strong"/>
    <w:basedOn w:val="Fuentedeprrafopredeter"/>
    <w:uiPriority w:val="22"/>
    <w:qFormat w:val="1"/>
    <w:rsid w:val="00BE65BF"/>
    <w:rPr>
      <w:b w:val="1"/>
      <w:bCs w:val="1"/>
    </w:rPr>
  </w:style>
  <w:style w:type="character" w:styleId="Ttulo1Car" w:customStyle="1">
    <w:name w:val="Título 1 Car"/>
    <w:basedOn w:val="Fuentedeprrafopredeter"/>
    <w:link w:val="Ttulo1"/>
    <w:uiPriority w:val="9"/>
    <w:rsid w:val="002F5815"/>
    <w:rPr>
      <w:rFonts w:ascii="Century Gothic" w:hAnsi="Century Gothic" w:cstheme="majorBidi" w:eastAsiaTheme="majorEastAsia"/>
      <w:b w:val="1"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2F5815"/>
    <w:rPr>
      <w:rFonts w:ascii="Century Gothic" w:hAnsi="Century Gothic" w:cstheme="majorBidi" w:eastAsiaTheme="majorEastAsia"/>
      <w:b w:val="1"/>
      <w:sz w:val="24"/>
      <w:szCs w:val="26"/>
    </w:rPr>
  </w:style>
  <w:style w:type="character" w:styleId="Hipervnculo">
    <w:name w:val="Hyperlink"/>
    <w:basedOn w:val="Fuentedeprrafopredeter"/>
    <w:uiPriority w:val="99"/>
    <w:rsid w:val="00B87A4A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87A4A"/>
    <w:pPr>
      <w:spacing w:before="480"/>
      <w:outlineLvl w:val="9"/>
    </w:pPr>
    <w:rPr>
      <w:rFonts w:asciiTheme="majorHAnsi" w:hAnsiTheme="majorHAnsi"/>
      <w:bCs w:val="1"/>
      <w:color w:val="30818d" w:themeColor="accent1" w:themeShade="0000BF"/>
      <w:sz w:val="28"/>
      <w:szCs w:val="28"/>
      <w:lang w:eastAsia="en-US" w:val="en-US"/>
    </w:rPr>
  </w:style>
  <w:style w:type="paragraph" w:styleId="TDC1">
    <w:name w:val="toc 1"/>
    <w:basedOn w:val="Normal"/>
    <w:next w:val="Normal"/>
    <w:autoRedefine w:val="1"/>
    <w:uiPriority w:val="39"/>
    <w:rsid w:val="002D35C7"/>
    <w:pPr>
      <w:tabs>
        <w:tab w:val="left" w:pos="660"/>
        <w:tab w:val="right" w:leader="dot" w:pos="8828"/>
      </w:tabs>
      <w:spacing w:after="100" w:line="240" w:lineRule="auto"/>
    </w:pPr>
    <w:rPr>
      <w:rFonts w:cs="Times New Roman" w:eastAsia="Times New Roman"/>
      <w:bCs w:val="1"/>
      <w:noProof w:val="1"/>
      <w:szCs w:val="24"/>
      <w:lang w:eastAsia="es-ES" w:val="es-ES_tradnl"/>
    </w:rPr>
  </w:style>
  <w:style w:type="paragraph" w:styleId="Zell-Titulo" w:customStyle="1">
    <w:name w:val="Zell - Titulo"/>
    <w:basedOn w:val="Ttulo1"/>
    <w:link w:val="Zell-TituloCar"/>
    <w:qFormat w:val="1"/>
    <w:rsid w:val="00B87A4A"/>
    <w:pPr>
      <w:spacing w:before="480" w:line="240" w:lineRule="auto"/>
      <w:jc w:val="center"/>
    </w:pPr>
    <w:rPr>
      <w:rFonts w:asciiTheme="majorHAnsi" w:hAnsiTheme="majorHAnsi"/>
      <w:bCs w:val="1"/>
      <w:color w:val="000000" w:themeColor="text1"/>
      <w:sz w:val="28"/>
      <w:szCs w:val="28"/>
      <w:lang w:eastAsia="es-ES" w:val="es-ES_tradnl"/>
    </w:rPr>
  </w:style>
  <w:style w:type="paragraph" w:styleId="Zell-Normal" w:customStyle="1">
    <w:name w:val="Zell - Normal"/>
    <w:basedOn w:val="Normal"/>
    <w:link w:val="Zell-NormalCar"/>
    <w:qFormat w:val="1"/>
    <w:rsid w:val="00B87A4A"/>
    <w:pPr>
      <w:spacing w:after="0" w:line="240" w:lineRule="auto"/>
    </w:pPr>
    <w:rPr>
      <w:rFonts w:cs="Tahoma" w:eastAsia="Times New Roman"/>
      <w:szCs w:val="24"/>
      <w:lang w:eastAsia="es-ES"/>
    </w:rPr>
  </w:style>
  <w:style w:type="character" w:styleId="Zell-TituloCar" w:customStyle="1">
    <w:name w:val="Zell - Titulo Car"/>
    <w:basedOn w:val="Ttulo1Car"/>
    <w:link w:val="Zell-Titulo"/>
    <w:rsid w:val="00B87A4A"/>
    <w:rPr>
      <w:rFonts w:asciiTheme="majorHAnsi" w:cstheme="majorBidi" w:eastAsiaTheme="majorEastAsia" w:hAnsiTheme="majorHAnsi"/>
      <w:b w:val="1"/>
      <w:bCs w:val="1"/>
      <w:color w:val="000000" w:themeColor="text1"/>
      <w:sz w:val="28"/>
      <w:szCs w:val="28"/>
      <w:lang w:eastAsia="es-ES" w:val="es-ES_tradnl"/>
    </w:rPr>
  </w:style>
  <w:style w:type="character" w:styleId="Zell-NormalCar" w:customStyle="1">
    <w:name w:val="Zell - Normal Car"/>
    <w:basedOn w:val="Fuentedeprrafopredeter"/>
    <w:link w:val="Zell-Normal"/>
    <w:rsid w:val="00B87A4A"/>
    <w:rPr>
      <w:rFonts w:ascii="Century Gothic" w:cs="Tahoma" w:eastAsia="Times New Roman" w:hAnsi="Century Gothic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Profundidad">
  <a:themeElements>
    <a:clrScheme name="Profundidad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Profundidad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rofundidad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zWruf+oRQev7Q3a7uPbdeHRNfQ==">CgMxLjAyCGguZ2pkZ3hzMgloLjMwajB6bGwyCWguMWZvYjl0ZTIJaC4zem55c2g3OAByITF0SC1tWU95OTYzNGV3VHR4OHlDNHFWanhJbldwYUw4dQ==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2022-01-03T18:43:00Z</dcterms:created>
  <dc:creator>narda</dc:creator>
</cp:coreProperties>
</file>