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4375" cy="71437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2551.7999267578125"/>
        <w:gridCol w:w="1418.4002685546875"/>
        <w:gridCol w:w="283.199462890625"/>
        <w:gridCol w:w="1560.400390625"/>
        <w:gridCol w:w="707.9998779296875"/>
        <w:gridCol w:w="1277.39990234375"/>
        <w:gridCol w:w="2551.199951171875"/>
        <w:tblGridChange w:id="0">
          <w:tblGrid>
            <w:gridCol w:w="991.6000366210938"/>
            <w:gridCol w:w="1555.2000427246094"/>
            <w:gridCol w:w="2551.7999267578125"/>
            <w:gridCol w:w="1418.4002685546875"/>
            <w:gridCol w:w="283.199462890625"/>
            <w:gridCol w:w="1560.400390625"/>
            <w:gridCol w:w="707.9998779296875"/>
            <w:gridCol w:w="1277.39990234375"/>
            <w:gridCol w:w="2551.19995117187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14/02/2025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Inicio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Fin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12:40</w:t>
            </w:r>
          </w:p>
        </w:tc>
      </w:tr>
      <w:tr>
        <w:trPr>
          <w:cantSplit w:val="0"/>
          <w:trHeight w:val="319.200439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Asistentes</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Nombre completo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r>
      <w:tr>
        <w:trPr>
          <w:cantSplit w:val="0"/>
          <w:trHeight w:val="322.1997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Francisco Javier Cameros Orta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Javier Mora Gómez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JM</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7915649414062"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Alfredo Grajeda Anguiano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AG</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Chelsea Evelyn Contreras Delgado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Cristian Eunice Salazar Cortés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CS</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Liza Andrea Bejar Chávez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LB</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1579589843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Isis Nayely García Covarrubias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IG</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Johana Bleizeffer Valdez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JB</w:t>
            </w:r>
          </w:p>
        </w:tc>
      </w:tr>
      <w:tr>
        <w:trPr>
          <w:cantSplit w:val="0"/>
          <w:trHeight w:val="319.59899902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Carolina Gasca Espinosa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CG</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03210449218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Edgar Hugo Langarica Mejía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HL</w:t>
            </w:r>
          </w:p>
        </w:tc>
      </w:tr>
      <w:tr>
        <w:trPr>
          <w:cantSplit w:val="0"/>
          <w:trHeight w:val="319.1992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2624511718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Santiago Moragrega Canudas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SM</w:t>
            </w:r>
          </w:p>
        </w:tc>
      </w:tr>
      <w:tr>
        <w:trPr>
          <w:cantSplit w:val="0"/>
          <w:trHeight w:val="319.19982910156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Temas Tratados</w:t>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62.10556030273438" w:right="129.0145874023437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 (iniciales)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Situación / Problema / Tema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expuesto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62.5054931640625" w:right="133.8146972656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 (iniciales)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94.898681640625" w:right="120.2258300781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Aprendizajes / Soluciones propuestas /  Retroalimentación</w:t>
            </w:r>
          </w:p>
        </w:tc>
      </w:tr>
      <w:tr>
        <w:trPr>
          <w:cantSplit w:val="0"/>
          <w:trHeight w:val="2710.120697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4043884277" w:lineRule="auto"/>
              <w:ind w:left="125.159912109375" w:right="45.9429931640625" w:firstLine="7.56958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CRQ reportaron que al intentar  autorizar solicitud de crédito PyME  aparecía política forzosa de matriz de  riesgo alto. Anteriormente sí les permitía  autorizar.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64.757080078125" w:right="92.0855712890625"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 CC, AG,  JM, HL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7773551940918" w:lineRule="auto"/>
              <w:ind w:left="115.389404296875" w:right="49.2041015625" w:hanging="1.195068359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en esa solicitud se detonó como  riesgo bajo. Revisando el caso anterior, la  matriz de riesgo fue configurada posterior a  la autorización de ese crédito. Se le dio  alternativa de duplicar política, y en la que  ya tenía configurada el detonar política  para los perfiles establecidos. CC comenta  que sucedió algo parecido en AYU para  mitigantes de la matriz de riesgo. AG dice  que fue porque la integradora tenía riesgo  alto, la de productos medio, pero se asigna </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4"/>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399658203125"/>
        <w:gridCol w:w="1560.400390625"/>
        <w:gridCol w:w="4536.5997314453125"/>
        <w:tblGridChange w:id="0">
          <w:tblGrid>
            <w:gridCol w:w="991.6000366210938"/>
            <w:gridCol w:w="1555.2000427246094"/>
            <w:gridCol w:w="4253.399658203125"/>
            <w:gridCol w:w="1560.400390625"/>
            <w:gridCol w:w="4536.5997314453125"/>
          </w:tblGrid>
        </w:tblGridChange>
      </w:tblGrid>
      <w:tr>
        <w:trPr>
          <w:cantSplit w:val="0"/>
          <w:trHeight w:val="197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91313171387" w:lineRule="auto"/>
              <w:ind w:left="122.7593994140625" w:right="48.6767578125" w:firstLine="0.1995849609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 promedio. JM dice que cuando se detona  la política crea un paquete de requisitos,  llamados mitigantes, donde tienes que  realizar acciones para mitigar el riesgo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4384765625" w:line="246.48791313171387" w:lineRule="auto"/>
              <w:ind w:left="121.1663818359375" w:right="49.832763671875" w:firstLine="17.52929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(visitas, documentos…). HL dice que BXL  también quiso aplicar mitigantes en el  producto y afectaba depósito en garantía en función de un riesgo.</w:t>
            </w:r>
          </w:p>
        </w:tc>
      </w:tr>
      <w:tr>
        <w:trPr>
          <w:cantSplit w:val="0"/>
          <w:trHeight w:val="614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5.159912109375" w:right="45.899658203125" w:firstLine="7.56958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INM reportaron error en asignación de  reglas de primer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 FC, CC,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2473487854004" w:lineRule="auto"/>
              <w:ind w:left="115.389404296875" w:right="48.0224609375" w:hanging="1.195068359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primero validaba calendario de  listas de cobro, los cuales sí tenía, pero no la  de primer pago. Comentaron que los que  cargaban era la de cobro y de ahí tomaba  la fecha de pago. Con Paco se vio que  cargaron dos calendarios que generaron  lista de cobro, pero el tercero aún no estaba,  por lo que se apertura con otra fecha. FC  dice que la política 612 y la regla 1020 de  primer pago deberían ser las mismas, pero la  612 valida que exista fecha en calendario  de listas de cobro posterior a la fecha de  apertura, después la 1020 también busca  fecha en listas de cobranza posterior, pero  adicional busca que no estén generadas, sin  embargo, en este caso, las dos listas que  quedaban fueron de diciembre, por lo que  ya no tenía fecha a colocar. CC dice que se  adicional se vieron dos reglas, la 56 y la 58,  son para calendarios de domiciliación con  tres fechas (generación, pago y  movimiento), donde la diferencia es que la  56 toma la fecha de pago de la lista y la 58  la fecha de generación, pero aún así pone  la fecha de pago. AG comenta el </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7"/>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399658203125"/>
        <w:gridCol w:w="1560.400390625"/>
        <w:gridCol w:w="4536.5997314453125"/>
        <w:tblGridChange w:id="0">
          <w:tblGrid>
            <w:gridCol w:w="991.6000366210938"/>
            <w:gridCol w:w="1555.2000427246094"/>
            <w:gridCol w:w="4253.399658203125"/>
            <w:gridCol w:w="1560.400390625"/>
            <w:gridCol w:w="4536.5997314453125"/>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28.1378173828125" w:right="51.7578125" w:hanging="5.178833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complementar el archivo de reglas de  primer pago con la definición.</w:t>
            </w:r>
          </w:p>
        </w:tc>
      </w:tr>
      <w:tr>
        <w:trPr>
          <w:cantSplit w:val="0"/>
          <w:trHeight w:val="172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868190765381" w:lineRule="auto"/>
              <w:ind w:left="117.78961181640625" w:right="45.62255859375" w:firstLine="14.93988037109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TPG solicitaron proceso para actualizar  con Banxico la moneda (dólares y UDI).  Se liberó en test, pero al ejecutar aparecía última publicación de Banxico  de UDIs, los cuales son los días 10 y los 25,  pero si se ejecutaba el 10, aparecía los  del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3784523010254" w:lineRule="auto"/>
              <w:ind w:left="115.389404296875" w:right="49.610595703125" w:hanging="2.58972167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realizó una consulta a la api que trae el  valor del día de ejecución. Se cotizó con 0  unidades en esta ocasión, pero  posteriormente se deberán cotizar los dos  procesos.</w:t>
            </w:r>
          </w:p>
        </w:tc>
      </w:tr>
      <w:tr>
        <w:trPr>
          <w:cantSplit w:val="0"/>
          <w:trHeight w:val="221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187770843506" w:lineRule="auto"/>
              <w:ind w:left="125.35919189453125" w:right="47.6733398437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CFA reportaron que se detonaba  mensaje de política de folio ya ingresado  en solicitud. Aparecía cuenta de  disposición en la solicitud.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1265411377" w:lineRule="auto"/>
              <w:ind w:left="122.958984375" w:right="48.79150390625" w:firstLine="7.36999511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Era la política 201 que valida longitud de  cuenta de disposición, pero se vio que lo que  en realidad valida es la consistencia de la  cuenta vs el tipo de disposición, por lo que  en este caso se puso tipo de disposición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6.48791313171387" w:lineRule="auto"/>
              <w:ind w:left="122.958984375" w:right="53.35205078125"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cheque y verificaba el número de cuenta de cheque, pero al ser cliente recurrente tenia  el mismo número. Se realizó configuración para que lo tomara en cuenta.</w:t>
            </w:r>
          </w:p>
        </w:tc>
      </w:tr>
      <w:tr>
        <w:trPr>
          <w:cantSplit w:val="0"/>
          <w:trHeight w:val="3689.3197631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35919189453125" w:right="46.576538085937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GFI se están haciendo 3 consultas a  prevención de lavado, las cuales tienen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 FC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6608390808105" w:lineRule="auto"/>
              <w:ind w:left="115.389404296875" w:right="48.5302734375" w:hanging="2.58972167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puede ser un bug, por lo que  puede pasar con otros clientes. FC dice que  se programa consulta a nivel notificación donde al cambiar de estatus realiza  consulta, el cual ya fue corregido por lo que  si se identifica nuevamente hay que  reportarlo. Otro problema era al indicarlo  como consulta de primera vez, el cual  también se corrigió. En este caso, si se  consulta 3 veces en el día, se deben pagar,  a diferencia de buró de crédito que tiene un  plazo donde puedes consultar varias veces.  Es por eso que hay que revisar la correcta  configuración con clientes que tengan  contratado a Prevención de Lavado.</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10"/>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8001708984375"/>
        <w:tblGridChange w:id="0">
          <w:tblGrid>
            <w:gridCol w:w="1262.7999877929688"/>
            <w:gridCol w:w="3360.599822998047"/>
            <w:gridCol w:w="2241.600341796875"/>
            <w:gridCol w:w="6915.800170898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399658203125"/>
        <w:gridCol w:w="1560.400390625"/>
        <w:gridCol w:w="4536.5997314453125"/>
        <w:tblGridChange w:id="0">
          <w:tblGrid>
            <w:gridCol w:w="991.6000366210938"/>
            <w:gridCol w:w="1555.2000427246094"/>
            <w:gridCol w:w="4253.399658203125"/>
            <w:gridCol w:w="1560.400390625"/>
            <w:gridCol w:w="4536.5997314453125"/>
          </w:tblGrid>
        </w:tblGridChange>
      </w:tblGrid>
      <w:tr>
        <w:trPr>
          <w:cantSplit w:val="0"/>
          <w:trHeight w:val="14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0.3790283203125" w:right="46.1639404296875" w:firstLine="12.3504638671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BLX reportaron que había reportes que  salían con pipes.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HL, FC,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21237182617" w:lineRule="auto"/>
              <w:ind w:left="123.157958984375" w:right="48.712158203125" w:hanging="7.768554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los campos del reporte sí tenían pipes. FC dice que es por sus aplicaciones  móviles. CC dice que en AYU reportaron de  apóstrofes en las cuentas y FC dice que es  por petición del cliente que lo piden antes  del 0 para que no se borre al abrirlo en Excel.</w:t>
            </w:r>
          </w:p>
        </w:tc>
      </w:tr>
      <w:tr>
        <w:trPr>
          <w:cantSplit w:val="0"/>
          <w:trHeight w:val="14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0814819336" w:lineRule="auto"/>
              <w:ind w:left="120.3790283203125" w:right="48.6236572265625" w:firstLine="11.95220947265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Hay varias cotizaciones que inician como  un tema y después se agregan otras  cosas, por lo que hay que revisar que sea  acorde al requerimiento completo no  sólo a un punto, ya que puede afectar al  momento de desarrollar.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5.159912109375" w:right="49.022216796875" w:firstLine="7.56958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mayo se realizará auditoría externa de  recertificación en ISO 9001 y 27001.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7593994140625" w:right="48.25927734375" w:hanging="7.3699951171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requiere que repasen los temas y se  realizarán pláticas de ISO.</w:t>
            </w:r>
          </w:p>
        </w:tc>
      </w:tr>
      <w:tr>
        <w:trPr>
          <w:cantSplit w:val="0"/>
          <w:trHeight w:val="123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1265411377" w:lineRule="auto"/>
              <w:ind w:left="125.35919189453125" w:right="45.834350585937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GOC tienen pantalla en convenios  para asignar fechas de primer pago. Los  calendarios que cargan no pueden  editarlos ni eliminarlos y además están  mal cargados.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1265411377" w:lineRule="auto"/>
              <w:ind w:left="121.1663818359375" w:right="48.021240234375" w:hanging="5.7769775390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solicitó modificación para que, al  momento de cargarlos, se borre todo lo que  tiene fechas futuras, pero al cargarlos mal,  también se agregaron condiciones para  mitigarlo.</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549.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Fecha</w:t>
            </w:r>
          </w:p>
        </w:tc>
      </w:tr>
      <w:tr>
        <w:trPr>
          <w:cantSplit w:val="0"/>
          <w:trHeight w:val="68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1784210205" w:lineRule="auto"/>
              <w:ind w:left="143.280029296875" w:right="47.9193115234375"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Documento de nueva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31/10/19</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sectPr>
      <w:pgSz w:h="12240" w:w="15840" w:orient="landscape"/>
      <w:pgMar w:bottom="89.69400405883789" w:top="708.00048828125" w:left="0" w:right="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