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Hello everybody, it’s great to be back here. Unfortunately, Larry couldn’t be here in person, but he recorded his part of the talk, and he’s joining us live on Zoom from Singapore, so he’ll be able to take questions during the Q&amp;A.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Today, we’re going to talk about a collaboration that began in 2017, when Larry and I started working together to curate his papers—now housed in Cornell University Library’s Division of Rare and Manuscript Collections—and to digitize a selection of his zines, now available through the East Bay Punk Digital Archive.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I’ll start with a quick overview of what we did, </w:t>
      </w:r>
      <w:r w:rsidDel="00000000" w:rsidR="00000000" w:rsidRPr="00000000">
        <w:rPr>
          <w:rtl w:val="0"/>
        </w:rPr>
        <w:t xml:space="preserve">and then move through a few methodological choices that shaped the project. </w:t>
      </w:r>
      <w:r w:rsidDel="00000000" w:rsidR="00000000" w:rsidRPr="00000000">
        <w:rPr>
          <w:color w:val="ff0000"/>
          <w:rtl w:val="0"/>
        </w:rPr>
        <w:t xml:space="preserve">Larry will then respond with his maker’s perspective on what this process felt like from the creator’s point of view. </w:t>
      </w:r>
      <w:r w:rsidDel="00000000" w:rsidR="00000000" w:rsidRPr="00000000">
        <w:rPr>
          <w:rtl w:val="0"/>
        </w:rPr>
        <w:t xml:space="preserve">Our hope is to share an adaptable framework others can use for similar preservation work and, eventually, turn some of it into a toolkit people can take up and modify.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 let’s start with the story.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color w:val="ff0000"/>
          <w:rtl w:val="0"/>
        </w:rPr>
        <w:t xml:space="preserve">[SLIDE 2]</w:t>
      </w:r>
    </w:p>
    <w:p w:rsidR="00000000" w:rsidDel="00000000" w:rsidP="00000000" w:rsidRDefault="00000000" w:rsidRPr="00000000" w14:paraId="0000000A">
      <w:pPr>
        <w:rPr>
          <w:color w:val="ff000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2017, I was just getting started on my PhD dissertation on the East Bay scene, and I kept running into a basic problem with access: so many of the zines referenced in interviews, documentaries, and memoirs were nearly impossible for me to find.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Earlier that year, I had reached out to Larry on social media to ask him a few questions about Lookout Records. By pure coincidence, we then found ourselves living less than two miles apart from each other, and during a 27-mile walk across the five boroughs for Larry’s 70th birthday, I mentioned the challenges I was facing... Very casually, Larry responded that much of what I was looking for was collecting dust in his closet.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His willingness to let me go through his boxes seemed like a great opportunity to explore those materials for my research, but also to ensure preservation and scale up access for researchers and community members.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be clear, despite having worked at several archival recovery projects, I am not a trained archivist, so I leaned on archivists and zine librarians in my network for guidance on the technical and ethical choices, while beginning to scan Larry’s materials, including the over 40 issues of his remarkable zine, </w:t>
      </w:r>
      <w:r w:rsidDel="00000000" w:rsidR="00000000" w:rsidRPr="00000000">
        <w:rPr>
          <w:i w:val="1"/>
          <w:iCs w:val="1"/>
          <w:rtl w:val="0"/>
        </w:rPr>
        <w:t xml:space="preserve">Lookout</w:t>
      </w:r>
      <w:r w:rsidDel="00000000" w:rsidR="00000000" w:rsidRPr="00000000">
        <w:rPr>
          <w:rtl w:val="0"/>
        </w:rPr>
        <w:t xml:space="preserve">, which he put out from 1984 to 1995.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ff0000"/>
        </w:rPr>
      </w:pPr>
      <w:r w:rsidDel="00000000" w:rsidR="00000000" w:rsidRPr="00000000">
        <w:rPr>
          <w:rtl w:val="0"/>
        </w:rPr>
        <w:t xml:space="preserve">That effort was the beginning of the East Bay Punk Digital Archive, an open-access, searchable archive that eventually expanded to include materials from zine-makers and artists in the Bay Area, as shown in this slide. </w:t>
      </w: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rtl w:val="0"/>
        </w:rPr>
      </w:r>
    </w:p>
    <w:p w:rsidR="00000000" w:rsidDel="00000000" w:rsidP="00000000" w:rsidRDefault="00000000" w:rsidRPr="00000000" w14:paraId="00000015">
      <w:pPr>
        <w:rPr>
          <w:color w:val="ff0000"/>
        </w:rPr>
      </w:pPr>
      <w:r w:rsidDel="00000000" w:rsidR="00000000" w:rsidRPr="00000000">
        <w:rPr>
          <w:color w:val="ff0000"/>
          <w:rtl w:val="0"/>
        </w:rPr>
        <w:t xml:space="preserve">[SLIDE 3]</w:t>
      </w:r>
    </w:p>
    <w:p w:rsidR="00000000" w:rsidDel="00000000" w:rsidP="00000000" w:rsidRDefault="00000000" w:rsidRPr="00000000" w14:paraId="00000016">
      <w:pPr>
        <w:rPr>
          <w:color w:val="ff0000"/>
        </w:rPr>
      </w:pPr>
      <w:r w:rsidDel="00000000" w:rsidR="00000000" w:rsidRPr="00000000">
        <w:rPr>
          <w:color w:val="ff0000"/>
          <w:rtl w:val="0"/>
        </w:rPr>
        <w:t xml:space="preserve">Now that you know the story, I’d like to share three methodological choices that treat archiving as (1) relational work, (2) layered stewardship, and (3) reciprocity, and how they might serve as a template.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ind w:left="720" w:hanging="360"/>
        <w:rPr>
          <w:b w:val="1"/>
          <w:bCs w:val="1"/>
        </w:rPr>
      </w:pPr>
      <w:r w:rsidDel="00000000" w:rsidR="00000000" w:rsidRPr="00000000">
        <w:rPr>
          <w:b w:val="1"/>
          <w:bCs w:val="1"/>
          <w:rtl w:val="0"/>
        </w:rPr>
        <w:t xml:space="preserve">Archiving as Relational Work </w:t>
      </w:r>
      <w:r w:rsidDel="00000000" w:rsidR="00000000" w:rsidRPr="00000000">
        <w:rPr>
          <w:color w:val="ff0000"/>
          <w:rtl w:val="0"/>
        </w:rPr>
        <w:t xml:space="preserve">[SLIDE 4]</w: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first choice was to treat recovery as a social method that produces access, interpretation, consent, and ongoing accountability.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Of course, despite my affective investment in the scene, I was coming to this work as someone who encountered it vicariously, from half a world away. So, as I worked with Larry and other makers, I did my best to ensure that the curatorial process didn’t feel extractive, but instead created space for creators to retain agency and for meaning to be negotiated.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Relationality was part of the process at multiple levels.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Aside from Lookout, Absolutely Zippo, and a handful of others, there were countless titles I didn’t even know existed. And even when I did locate copies in personal collections, authorship and contact information were often unclear, sometimes even to Larry and to the people I was initially talking with.</w:t>
        <w:br w:type="textWrapping"/>
        <w:br w:type="textWrapping"/>
        <w:t xml:space="preserve">To fill that gap, as I built trust through social media and repeated trips to the East Bay, I also circulated a collaborative spreadsheet of zine titles to dozens of people connected to the scene. That crowdsourcing effort helped identify authorship and provenance, fill gaps, correct errors, and let the collection grow sideways, as people responded not just by filling the blanks but also with additional context and new potential contributors.</w:t>
      </w:r>
    </w:p>
    <w:p w:rsidR="00000000" w:rsidDel="00000000" w:rsidP="00000000" w:rsidRDefault="00000000" w:rsidRPr="00000000" w14:paraId="00000021">
      <w:pPr>
        <w:ind w:firstLine="720"/>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color w:val="ff0000"/>
          <w:rtl w:val="0"/>
        </w:rPr>
        <w:t xml:space="preserve">[SLIDE 5]</w:t>
      </w: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commentRangeStart w:id="0"/>
      <w:r w:rsidDel="00000000" w:rsidR="00000000" w:rsidRPr="00000000">
        <w:rPr>
          <w:rtl w:val="0"/>
        </w:rPr>
        <w:t xml:space="preserve">That same relational principle shaped how I handled metadata and interpretation. My approach to curation as praxis was also shaped by Ammiel Alcalay’s suggestion that while scholarly work is subject to “peer review,” archival recovery with living communities is subject to “kin review”—in other words, less grounded in disciplinary authority than in whether the work demonstrates care, authenticity, and accountability to the people whose lives and labor it documents.</w:t>
        <w:br w:type="textWrapping"/>
      </w:r>
    </w:p>
    <w:p w:rsidR="00000000" w:rsidDel="00000000" w:rsidP="00000000" w:rsidRDefault="00000000" w:rsidRPr="00000000" w14:paraId="00000025">
      <w:pPr>
        <w:ind w:firstLine="720"/>
        <w:rPr/>
      </w:pPr>
      <w:r w:rsidDel="00000000" w:rsidR="00000000" w:rsidRPr="00000000">
        <w:rPr>
          <w:rtl w:val="0"/>
        </w:rPr>
        <w:t xml:space="preserve">Following Alcalay’s suggestions, when it came to interpreting and making the materials in the archive legible to readers, I followed what he calls the “follow the person” approach—in other words, instead of treating the artifacts as self-explanatory, I started from what I learned about the makers, what they were excited about, what they were not excited about, and the relational fabrics among them and other art produced in the scene. </w:t>
      </w:r>
    </w:p>
    <w:p w:rsidR="00000000" w:rsidDel="00000000" w:rsidP="00000000" w:rsidRDefault="00000000" w:rsidRPr="00000000" w14:paraId="00000026">
      <w:pPr>
        <w:spacing w:line="276" w:lineRule="auto"/>
        <w:ind w:left="0" w:firstLine="720"/>
        <w:jc w:val="both"/>
        <w:rPr/>
      </w:pPr>
      <w:r w:rsidDel="00000000" w:rsidR="00000000" w:rsidRPr="00000000">
        <w:rPr>
          <w:rtl w:val="0"/>
        </w:rPr>
        <w:t xml:space="preserve">In order to do this, for instance, Larry and I spent considerable time reflecting on his engagement with punk and his work as a zine-maker in the living room of his apartment in Queens, and through walks around New York City, San Francisco, Bergamo, and other locations. This person-centered approach allowed me to move beyond viewing Larry as merely a central figure in a discrete historical moment in subcultural history, as I had seen him through his work at Lookout Records, and, instead, to consider his broader political and artistic oeuvre across multiple countercultural movements. Likewise, I cultivated similar social relations with other zine-makers to bring into view the infrastructures and social relations that enabled their creative output. At the very least, when those forms of sustained engagement were not an option, I made a point of contacting the authors of any zine I received permission to digitize to solicit retrospective reflections on their work.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spacing w:line="276" w:lineRule="auto"/>
        <w:ind w:left="0" w:firstLine="720"/>
        <w:jc w:val="both"/>
        <w:rPr/>
      </w:pPr>
      <w:r w:rsidDel="00000000" w:rsidR="00000000" w:rsidRPr="00000000">
        <w:rPr>
          <w:rtl w:val="0"/>
        </w:rPr>
      </w:r>
    </w:p>
    <w:p w:rsidR="00000000" w:rsidDel="00000000" w:rsidP="00000000" w:rsidRDefault="00000000" w:rsidRPr="00000000" w14:paraId="00000028">
      <w:pPr>
        <w:jc w:val="both"/>
        <w:rPr>
          <w:color w:val="ff0000"/>
        </w:rPr>
      </w:pPr>
      <w:r w:rsidDel="00000000" w:rsidR="00000000" w:rsidRPr="00000000">
        <w:rPr>
          <w:color w:val="ff0000"/>
          <w:rtl w:val="0"/>
        </w:rPr>
        <w:t xml:space="preserve">[SLIDE 6]</w:t>
      </w:r>
    </w:p>
    <w:p w:rsidR="00000000" w:rsidDel="00000000" w:rsidP="00000000" w:rsidRDefault="00000000" w:rsidRPr="00000000" w14:paraId="00000029">
      <w:pPr>
        <w:jc w:val="both"/>
        <w:rPr>
          <w:color w:val="ff0000"/>
        </w:rPr>
      </w:pP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jc w:val="both"/>
        <w:rPr>
          <w:u w:val="none"/>
        </w:rPr>
      </w:pPr>
      <w:r w:rsidDel="00000000" w:rsidR="00000000" w:rsidRPr="00000000">
        <w:rPr>
          <w:rtl w:val="0"/>
        </w:rPr>
        <w:t xml:space="preserve">From a more technical standpoint, those conversations also shaped the metadata scheme—meaning, the structure we use to describe items so people can actually find and use them. I started with xZINECOREx, a schema built specifically for zines, but after talking with the creators, we decided to also include a Table of Contents field to make content more discoverable and compensate for the often inaccurate OCR caused by frequent handwritten text and uneven layouts. </w:t>
      </w:r>
    </w:p>
    <w:p w:rsidR="00000000" w:rsidDel="00000000" w:rsidP="00000000" w:rsidRDefault="00000000" w:rsidRPr="00000000" w14:paraId="0000002B">
      <w:pPr>
        <w:spacing w:line="276" w:lineRule="auto"/>
        <w:ind w:left="0" w:firstLine="0"/>
        <w:jc w:val="both"/>
        <w:rPr/>
      </w:pPr>
      <w:r w:rsidDel="00000000" w:rsidR="00000000" w:rsidRPr="00000000">
        <w:rPr>
          <w:rtl w:val="0"/>
        </w:rPr>
      </w:r>
    </w:p>
    <w:p w:rsidR="00000000" w:rsidDel="00000000" w:rsidP="00000000" w:rsidRDefault="00000000" w:rsidRPr="00000000" w14:paraId="0000002C">
      <w:pPr>
        <w:spacing w:line="276" w:lineRule="auto"/>
        <w:ind w:left="0" w:firstLine="0"/>
        <w:jc w:val="both"/>
        <w:rPr>
          <w:color w:val="ff0000"/>
        </w:rPr>
      </w:pPr>
      <w:r w:rsidDel="00000000" w:rsidR="00000000" w:rsidRPr="00000000">
        <w:rPr>
          <w:color w:val="ff0000"/>
          <w:rtl w:val="0"/>
        </w:rPr>
        <w:t xml:space="preserve">[SLIDE 7]</w:t>
      </w:r>
    </w:p>
    <w:p w:rsidR="00000000" w:rsidDel="00000000" w:rsidP="00000000" w:rsidRDefault="00000000" w:rsidRPr="00000000" w14:paraId="0000002D">
      <w:pPr>
        <w:spacing w:line="276" w:lineRule="auto"/>
        <w:ind w:left="0" w:firstLine="0"/>
        <w:jc w:val="both"/>
        <w:rPr/>
      </w:pPr>
      <w:r w:rsidDel="00000000" w:rsidR="00000000" w:rsidRPr="00000000">
        <w:rPr>
          <w:rtl w:val="0"/>
        </w:rPr>
      </w:r>
    </w:p>
    <w:p w:rsidR="00000000" w:rsidDel="00000000" w:rsidP="00000000" w:rsidRDefault="00000000" w:rsidRPr="00000000" w14:paraId="0000002E">
      <w:pPr>
        <w:spacing w:line="276" w:lineRule="auto"/>
        <w:ind w:left="0" w:firstLine="0"/>
        <w:jc w:val="both"/>
        <w:rPr/>
      </w:pPr>
      <w:commentRangeStart w:id="1"/>
      <w:r w:rsidDel="00000000" w:rsidR="00000000" w:rsidRPr="00000000">
        <w:rPr>
          <w:rtl w:val="0"/>
        </w:rPr>
        <w:t xml:space="preserve">I should also say: I'm not trying to present this as a hack, because none of this started as a trust-building strategy; it was relationship work, and as such, it grew intentionally but organically out of real conversations over time. Sometimes that connection happens, and sometimes it doesn’t. In other words, </w:t>
      </w:r>
      <w:r w:rsidDel="00000000" w:rsidR="00000000" w:rsidRPr="00000000">
        <w:rPr>
          <w:rtl w:val="0"/>
        </w:rPr>
        <w:t xml:space="preserve">building relationships with makers also means you’re going to hit friction, and I’m happy to talk about some of that in the Q&amp;A, and maybe some of it later at the bar. Doing outreach, knowing you’d get reluctance/hostility, is certainly part of the process; I got refusals for reasons ranging from worries about loss of control or misrepresentation to folks who simply didn’t want something they wrote at sixteen to be searchable forever. (I don’t blame them. If someone asked me for my LiveJournal, I’d say no immediately!)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spacing w:line="276" w:lineRule="auto"/>
        <w:ind w:left="0" w:firstLine="720"/>
        <w:jc w:val="both"/>
        <w:rPr/>
      </w:pPr>
      <w:r w:rsidDel="00000000" w:rsidR="00000000" w:rsidRPr="00000000">
        <w:rPr>
          <w:rtl w:val="0"/>
        </w:rPr>
        <w:t xml:space="preserve">The only advice I’ll offer here is this: don’t lead with academic language. Early on, I certainly did, and it </w:t>
      </w:r>
      <w:commentRangeStart w:id="2"/>
      <w:r w:rsidDel="00000000" w:rsidR="00000000" w:rsidRPr="00000000">
        <w:rPr>
          <w:rtl w:val="0"/>
        </w:rPr>
        <w:t xml:space="preserve">backfired</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30">
      <w:pPr>
        <w:spacing w:line="276" w:lineRule="auto"/>
        <w:ind w:left="0" w:firstLine="72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Style w:val="Heading2"/>
        <w:numPr>
          <w:ilvl w:val="0"/>
          <w:numId w:val="3"/>
        </w:numPr>
        <w:ind w:left="720" w:hanging="360"/>
        <w:rPr/>
      </w:pPr>
      <w:bookmarkStart w:colFirst="0" w:colLast="0" w:name="_lwnpzv57up86" w:id="0"/>
      <w:bookmarkEnd w:id="0"/>
      <w:r w:rsidDel="00000000" w:rsidR="00000000" w:rsidRPr="00000000">
        <w:rPr>
          <w:rtl w:val="0"/>
        </w:rPr>
        <w:t xml:space="preserve">DIY only gets you so far. </w:t>
      </w:r>
      <w:r w:rsidDel="00000000" w:rsidR="00000000" w:rsidRPr="00000000">
        <w:rPr>
          <w:color w:val="ff0000"/>
          <w:sz w:val="22"/>
          <w:szCs w:val="22"/>
          <w:rtl w:val="0"/>
        </w:rPr>
        <w:t xml:space="preserve">[SLIDE 8]</w:t>
      </w:r>
      <w:r w:rsidDel="00000000" w:rsidR="00000000" w:rsidRPr="00000000">
        <w:rPr>
          <w:rtl w:val="0"/>
        </w:rPr>
      </w:r>
    </w:p>
    <w:p w:rsidR="00000000" w:rsidDel="00000000" w:rsidP="00000000" w:rsidRDefault="00000000" w:rsidRPr="00000000" w14:paraId="00000033">
      <w:pPr>
        <w:rPr/>
      </w:pPr>
      <w:commentRangeStart w:id="3"/>
      <w:r w:rsidDel="00000000" w:rsidR="00000000" w:rsidRPr="00000000">
        <w:rPr>
          <w:rtl w:val="0"/>
        </w:rPr>
        <w:t xml:space="preserve">The second point I want to discuss is how we used an explicit “both/and” framework that included both public-facing access and institutional custody.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It’s important to be clear about what we can offer as DIY archivists—and where our limits are. In my case, CUNY could offer perpetual hosting and very limited funds to support trips to the East Bay, but it certainly couldn’t offer money to compensate people, and at the time, we didn’t even have an institutional archive, so I couldn’t possibly guarantee long-term preservation of the physical materials on my own.</w:t>
      </w:r>
    </w:p>
    <w:p w:rsidR="00000000" w:rsidDel="00000000" w:rsidP="00000000" w:rsidRDefault="00000000" w:rsidRPr="00000000" w14:paraId="00000036">
      <w:pPr>
        <w:ind w:left="0" w:firstLine="720"/>
        <w:rPr/>
      </w:pPr>
      <w:r w:rsidDel="00000000" w:rsidR="00000000" w:rsidRPr="00000000">
        <w:rPr>
          <w:rtl w:val="0"/>
        </w:rPr>
        <w:t xml:space="preserve">So, for those two needs, I had to look elsewhere and broker an institutional home, on terms that supported our open-access goal. This happened with Larry, as my original curatorial work on his zines expanded to include the preservation of the physical artifacts, which involved about 3 cubic feet of materials, including over a dozen notebooks, unpublished manuscripts, correspondence, and other ephemera, leading to their acquisition by Cornell, under the condition that the digital archive would remain online.</w:t>
      </w:r>
    </w:p>
    <w:p w:rsidR="00000000" w:rsidDel="00000000" w:rsidP="00000000" w:rsidRDefault="00000000" w:rsidRPr="00000000" w14:paraId="00000037">
      <w:pPr>
        <w:ind w:left="0" w:firstLine="720"/>
        <w:rPr>
          <w:color w:val="ff0000"/>
        </w:rPr>
      </w:pPr>
      <w:r w:rsidDel="00000000" w:rsidR="00000000" w:rsidRPr="00000000">
        <w:rPr>
          <w:rtl w:val="0"/>
        </w:rPr>
        <w:t xml:space="preserve">I then took a similar approach when approached by the RILM Archive of Popular Music Magazines, distributed by EBSCO. They wanted to include Larry’s work, along with that of others whose materials are on the EBP-DA, and the arrangement allowed Larry and other creators to receive funds while their work remained publicly accessible on our website.</w:t>
      </w:r>
      <w:r w:rsidDel="00000000" w:rsidR="00000000" w:rsidRPr="00000000">
        <w:rPr>
          <w:color w:val="ff0000"/>
          <w:rtl w:val="0"/>
        </w:rPr>
        <w:t xml:space="preserve"> </w:t>
      </w:r>
      <w:commentRangeStart w:id="4"/>
      <w:r w:rsidDel="00000000" w:rsidR="00000000" w:rsidRPr="00000000">
        <w:rPr>
          <w:color w:val="ff0000"/>
          <w:rtl w:val="0"/>
        </w:rPr>
        <w:t xml:space="preserve">The point wasn’t to “graduate” from DIY to institutional—it was to stack infrastructures so access, preservation, and compensation could all exist at once.</w:t>
      </w:r>
    </w:p>
    <w:p w:rsidR="00000000" w:rsidDel="00000000" w:rsidP="00000000" w:rsidRDefault="00000000" w:rsidRPr="00000000" w14:paraId="00000038">
      <w:pPr>
        <w:ind w:firstLine="720"/>
        <w:rPr/>
      </w:pPr>
      <w:r w:rsidDel="00000000" w:rsidR="00000000" w:rsidRPr="00000000">
        <w:rPr>
          <w:rtl w:val="0"/>
        </w:rPr>
        <w:t xml:space="preserve">Rather than viewing these institutional acquisitions as contradictions to the EBP-DA’s open-access mission, I see them as complementary developments. By making these materials freely available online, the EBP-DA prevents institutional acquisitions from restricting access to non-academic audiences. At the same time, partnering with academic repositories ensures the long-term preservation of physical artifacts and fair compensation for zine-makers. As punk continues to enter formalized institutions, the EBP-DA stands at the confluence of scholarly inquiry and cultural preservation, underscoring the value of collaborative archival practices with communities that, in Jean-Christophe Cloutier’s terms, have often relied on “shadow archives built with self-archiving tactics” to stave off cultural erasure.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rtl w:val="0"/>
        </w:rPr>
        <w:t xml:space="preserve">And I’ll add one more thing: stewardship doesn’t end when the boxes are processed or the files go online. </w:t>
      </w:r>
      <w:commentRangeStart w:id="5"/>
      <w:r w:rsidDel="00000000" w:rsidR="00000000" w:rsidRPr="00000000">
        <w:rPr>
          <w:rtl w:val="0"/>
        </w:rPr>
        <w:t xml:space="preserve">Even now, I was designated as a consultant to mediate requests, reproduction, and context.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B">
      <w:pPr>
        <w:ind w:left="0" w:firstLine="720"/>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2"/>
        <w:numPr>
          <w:ilvl w:val="0"/>
          <w:numId w:val="3"/>
        </w:numPr>
        <w:ind w:left="720" w:hanging="360"/>
        <w:rPr/>
      </w:pPr>
      <w:bookmarkStart w:colFirst="0" w:colLast="0" w:name="_3030q2ca2jeo" w:id="1"/>
      <w:bookmarkEnd w:id="1"/>
      <w:r w:rsidDel="00000000" w:rsidR="00000000" w:rsidRPr="00000000">
        <w:rPr>
          <w:rtl w:val="0"/>
        </w:rPr>
        <w:t xml:space="preserve">Giving back </w:t>
      </w:r>
      <w:r w:rsidDel="00000000" w:rsidR="00000000" w:rsidRPr="00000000">
        <w:rPr>
          <w:color w:val="ff0000"/>
          <w:sz w:val="22"/>
          <w:szCs w:val="22"/>
          <w:rtl w:val="0"/>
        </w:rPr>
        <w:t xml:space="preserve">[SLIDE 9]</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last methodological choice I want to mention is reciprocity as a method.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color w:val="ff0000"/>
          <w:rtl w:val="0"/>
        </w:rPr>
        <w:t xml:space="preserve">[We all know the participatory ethics of punk, but here’s what I was working with when it comes to the East </w:t>
      </w:r>
      <w:commentRangeStart w:id="6"/>
      <w:r w:rsidDel="00000000" w:rsidR="00000000" w:rsidRPr="00000000">
        <w:rPr>
          <w:color w:val="ff0000"/>
          <w:rtl w:val="0"/>
        </w:rPr>
        <w:t xml:space="preserve">Bay</w:t>
      </w:r>
      <w:commentRangeEnd w:id="6"/>
      <w:r w:rsidDel="00000000" w:rsidR="00000000" w:rsidRPr="00000000">
        <w:commentReference w:id="6"/>
      </w:r>
      <w:r w:rsidDel="00000000" w:rsidR="00000000" w:rsidRPr="00000000">
        <w:rPr>
          <w:color w:val="ff0000"/>
          <w:rtl w:val="0"/>
        </w:rPr>
        <w:t xml:space="preserv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1">
      <w:pPr>
        <w:rPr>
          <w:rFonts w:ascii="Times New Roman" w:cs="Times New Roman" w:eastAsia="Times New Roman" w:hAnsi="Times New Roman"/>
          <w:sz w:val="24"/>
          <w:szCs w:val="24"/>
        </w:rPr>
      </w:pPr>
      <w:commentRangeStart w:id="7"/>
      <w:r w:rsidDel="00000000" w:rsidR="00000000" w:rsidRPr="00000000">
        <w:rPr>
          <w:rFonts w:ascii="Times New Roman" w:cs="Times New Roman" w:eastAsia="Times New Roman" w:hAnsi="Times New Roman"/>
          <w:sz w:val="24"/>
          <w:szCs w:val="24"/>
          <w:rtl w:val="0"/>
        </w:rPr>
        <w:t xml:space="preserve">Not wanting to be a black hole sucking up valuable energy, nor for Tim Yo’s ghost to haunt me, [I designed this process to be helpful for the communities I was engaging. I’ve already discussed how it was meant to be mutually enriching for the makers and me as a subcultural theorist/archivist, but this reciprocity also included leaving behind a process that other people could actually reuse.]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 punk is a community of practice. So the process mirrored how I came up in punk and how I approached the dissertation: I learned by doing and through other people—archivists, librarians, and creators. I also tried to build an infrastructure that lowers the barrier for anyone else who wants to do this kind of preservation without having to start from scratch.</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4">
      <w:pPr>
        <w:pStyle w:val="Heading2"/>
        <w:ind w:left="0" w:firstLine="0"/>
        <w:rPr>
          <w:rFonts w:ascii="Times New Roman" w:cs="Times New Roman" w:eastAsia="Times New Roman" w:hAnsi="Times New Roman"/>
          <w:sz w:val="24"/>
          <w:szCs w:val="24"/>
        </w:rPr>
      </w:pPr>
      <w:bookmarkStart w:colFirst="0" w:colLast="0" w:name="_tmvdbrr2ajjr" w:id="2"/>
      <w:bookmarkEnd w:id="2"/>
      <w:r w:rsidDel="00000000" w:rsidR="00000000" w:rsidRPr="00000000">
        <w:rPr>
          <w:color w:val="ff0000"/>
          <w:sz w:val="22"/>
          <w:szCs w:val="22"/>
          <w:rtl w:val="0"/>
        </w:rPr>
        <w:t xml:space="preserve">[SLIDE 10]</w:t>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Reusable workflows: The EBP-DA was built on Omeka S, an open-source, purpose-built content management system for digital collections. As I learned to use it, I created a tutorial that has since been widely used and is shared on library guides at other institutions. </w:t>
        <w:br w:type="textWrapping"/>
        <w:br w:type="textWrapping"/>
      </w:r>
      <w:r w:rsidDel="00000000" w:rsidR="00000000" w:rsidRPr="00000000">
        <w:rPr>
          <w:color w:val="ff0000"/>
          <w:rtl w:val="0"/>
        </w:rPr>
        <w:t xml:space="preserve">[SLIDE 11]</w:t>
      </w: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Reusable documentation + templates: Throughout this process, I compiled metadata in spreadsheets, permission forms, and take-down notices that are available as templates. </w:t>
        <w:br w:type="textWrapping"/>
        <w:br w:type="textWrapping"/>
      </w:r>
      <w:r w:rsidDel="00000000" w:rsidR="00000000" w:rsidRPr="00000000">
        <w:rPr>
          <w:color w:val="ff0000"/>
          <w:rtl w:val="0"/>
        </w:rPr>
        <w:t xml:space="preserve">[SLIDE 12]</w:t>
      </w: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Reusable code: Last year, I added to the archive Visualizing East Bay Punk, a data visualization suite that allows users to explore analytical data about the scene, including band affiliations, shows played in the Bay Area, lyrics from Lookout bands, etc. The code for VEBP is hosted on GitHub to facilitate its adaptation by others interested in applying similar methodologies to study and archive other music scenes. </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color w:val="ff0000"/>
        </w:rPr>
      </w:pPr>
      <w:r w:rsidDel="00000000" w:rsidR="00000000" w:rsidRPr="00000000">
        <w:rPr>
          <w:color w:val="ff0000"/>
          <w:rtl w:val="0"/>
        </w:rPr>
        <w:t xml:space="preserve">[SLIDE 13]</w:t>
      </w:r>
    </w:p>
    <w:p w:rsidR="00000000" w:rsidDel="00000000" w:rsidP="00000000" w:rsidRDefault="00000000" w:rsidRPr="00000000" w14:paraId="0000004E">
      <w:pPr>
        <w:jc w:val="both"/>
        <w:rPr>
          <w:color w:val="ff000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conclude by saying that when I was working on the archive, I almost fulfilled my dream of being a Maximumrocknroll shit worker. In 2019, their digitization process faced a significant setback when the vendor they had commissioned to digitize their entire print run declared bankruptcy. I discussed with the coordinators the possibility of including the PDFs they had received from NA in the EBP-DA, but unfortunately, they just decided to dump everything on the Internet Archive.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ff0000"/>
        </w:rPr>
      </w:pPr>
      <w:commentRangeStart w:id="8"/>
      <w:r w:rsidDel="00000000" w:rsidR="00000000" w:rsidRPr="00000000">
        <w:rPr>
          <w:color w:val="ff0000"/>
          <w:rtl w:val="0"/>
        </w:rPr>
        <w:t xml:space="preserve">Now I want to turn it over to Larry to talk about what felt respectful, what didn’t, and what he’d want others to do differently.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7">
        <w:r w:rsidDel="00000000" w:rsidR="00000000" w:rsidRPr="00000000">
          <w:rPr>
            <w:color w:val="1155cc"/>
            <w:u w:val="single"/>
            <w:rtl w:val="0"/>
          </w:rPr>
          <w:t xml:space="preserve">Notes/discarded</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fano Morello" w:id="1" w:date="2026-03-01T00:38:02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shorter</w:t>
      </w:r>
    </w:p>
  </w:comment>
  <w:comment w:author="Stefano Morello" w:id="2" w:date="2026-02-28T23:10:29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email from Jennings in slides]</w:t>
      </w:r>
    </w:p>
  </w:comment>
  <w:comment w:author="Stefano Morello" w:id="3" w:date="2026-02-28T21:45:49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improved</w:t>
      </w:r>
    </w:p>
  </w:comment>
  <w:comment w:author="Stefano Morello" w:id="6" w:date="2026-02-28T22:39:03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slide with “You’re either part of the show, or you’re a black hole sucking up valuable energy.”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Larry Livermore; “Those who have gone on and […] have become professors […] could write some great fucking articles […] that would maybe affect a lot of younger people. I wish those people would think of that and get in touch and say, ‘Hey, we want to do this!’” (Yohannan and Angel 1998).]</w:t>
      </w:r>
    </w:p>
  </w:comment>
  <w:comment w:author="Stefano Morello" w:id="5" w:date="2026-02-28T23:26:14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reminds me we never verified if Katherine Reagan actually formazlied this</w:t>
      </w:r>
    </w:p>
  </w:comment>
  <w:comment w:author="Stefano Morello" w:id="0" w:date="2026-02-28T23:39:1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shorter</w:t>
      </w:r>
    </w:p>
  </w:comment>
  <w:comment w:author="Stefano Morello" w:id="7" w:date="2026-02-28T23:21:38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a single paragraph</w:t>
      </w:r>
    </w:p>
  </w:comment>
  <w:comment w:author="Stefano Morello" w:id="8" w:date="2026-02-28T23:36:24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change this based on what you want to say</w:t>
      </w:r>
    </w:p>
  </w:comment>
  <w:comment w:author="Stefano Morello" w:id="4" w:date="2026-02-28T23:39:03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shorter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RtxSnEPScl7GHHNd_vMLBiPdvbd8NLp9LbgtttLXda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