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Смородова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22nd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Изначально каждый файл имеет три параметра доступа:</w:t>
      </w:r>
    </w:p>
    <w:p>
      <w:pPr>
        <w:numPr>
          <w:ilvl w:val="0"/>
          <w:numId w:val="1001"/>
        </w:numPr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numPr>
          <w:ilvl w:val="0"/>
          <w:numId w:val="1001"/>
        </w:numPr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01"/>
        </w:numPr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2"/>
        </w:numPr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numPr>
          <w:ilvl w:val="0"/>
          <w:numId w:val="1002"/>
        </w:numPr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numPr>
          <w:ilvl w:val="0"/>
          <w:numId w:val="1002"/>
        </w:numPr>
      </w:pPr>
      <w:r>
        <w:t xml:space="preserve">Остальные -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Именно с помощью этих наборов полномочий устанавливаются права файлов в linux.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  <w:r>
        <w:t xml:space="preserve"> </w:t>
      </w:r>
      <w:r>
        <w:rPr>
          <w:rStyle w:val="FootnoteReference"/>
        </w:rPr>
        <w:footnoteReference w:id="21"/>
      </w:r>
    </w:p>
    <w:bookmarkEnd w:id="22"/>
    <w:bookmarkStart w:id="50" w:name="выполнение-лабораторной-работы-1"/>
    <w:p>
      <w:pPr>
        <w:pStyle w:val="Heading1"/>
      </w:pPr>
      <w:r>
        <w:t xml:space="preserve">Выполнение лабораторной работы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numPr>
          <w:ilvl w:val="0"/>
          <w:numId w:val="1003"/>
        </w:numPr>
      </w:pPr>
      <w:r>
        <w:t xml:space="preserve">В установленной операционной системе уже была создана учётная запись пользователя guest (используя учётную запись администратора) и был задан пароль для неё.</w:t>
      </w:r>
    </w:p>
    <w:p>
      <w:pPr>
        <w:numPr>
          <w:ilvl w:val="0"/>
          <w:numId w:val="1003"/>
        </w:numPr>
      </w:pPr>
      <w:r>
        <w:t xml:space="preserve">Аналогичным образом создаем второго пользователя guest2 (рис. 1):</w:t>
      </w:r>
    </w:p>
    <w:p>
      <w:pPr>
        <w:pStyle w:val="CaptionedFigure"/>
      </w:pPr>
      <w:bookmarkStart w:id="25" w:name="fig:001"/>
      <w:r>
        <w:drawing>
          <wp:inline>
            <wp:extent cx="5301983" cy="1905640"/>
            <wp:effectExtent b="0" l="0" r="0" t="0"/>
            <wp:docPr descr="Figure 1: Создание пользователя guest2 и задание ему пароля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190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Создание пользователя guest2 и задание ему пароля</w:t>
      </w:r>
    </w:p>
    <w:p>
      <w:pPr>
        <w:numPr>
          <w:ilvl w:val="0"/>
          <w:numId w:val="1004"/>
        </w:numPr>
        <w:pStyle w:val="Compact"/>
      </w:pPr>
      <w:r>
        <w:t xml:space="preserve">Добавим пользователя guest2 в группу guest при помощи команды gpasswd -a guest2 guest (рис. 2):</w:t>
      </w:r>
    </w:p>
    <w:p>
      <w:pPr>
        <w:pStyle w:val="CaptionedFigure"/>
      </w:pPr>
      <w:bookmarkStart w:id="27" w:name="fig:002"/>
      <w:r>
        <w:drawing>
          <wp:inline>
            <wp:extent cx="4318426" cy="637774"/>
            <wp:effectExtent b="0" l="0" r="0" t="0"/>
            <wp:docPr descr="Figure 2: Добавление пользователя guest2 в группу guest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Добавление пользователя guest2 в группу guest</w:t>
      </w:r>
    </w:p>
    <w:p>
      <w:pPr>
        <w:numPr>
          <w:ilvl w:val="0"/>
          <w:numId w:val="1005"/>
        </w:numPr>
        <w:pStyle w:val="Compac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 (рис. 3):</w:t>
      </w:r>
    </w:p>
    <w:p>
      <w:pPr>
        <w:pStyle w:val="CaptionedFigure"/>
      </w:pPr>
      <w:bookmarkStart w:id="29" w:name="fig:003"/>
      <w:r>
        <w:drawing>
          <wp:inline>
            <wp:extent cx="3826648" cy="1321653"/>
            <wp:effectExtent b="0" l="0" r="0" t="0"/>
            <wp:docPr descr="Figure 3: Вход в систему от двух пользователей на двух разных консолях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8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Вход в систему от двух пользователей на двух разных консолях</w:t>
      </w:r>
    </w:p>
    <w:p>
      <w:pPr>
        <w:numPr>
          <w:ilvl w:val="0"/>
          <w:numId w:val="1006"/>
        </w:numPr>
        <w:pStyle w:val="Compact"/>
      </w:pPr>
      <w:r>
        <w:t xml:space="preserve">Для обоих пользователей командой pwd определим директорию, в которой мы находимся (рис. 4):</w:t>
      </w:r>
    </w:p>
    <w:p>
      <w:pPr>
        <w:pStyle w:val="CaptionedFigure"/>
      </w:pPr>
      <w:bookmarkStart w:id="31" w:name="fig:004"/>
      <w:r>
        <w:drawing>
          <wp:inline>
            <wp:extent cx="3857384" cy="1698171"/>
            <wp:effectExtent b="0" l="0" r="0" t="0"/>
            <wp:docPr descr="Figure 4: Определение директории, в которой мы находимся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Определение директории, в которой мы находимся</w:t>
      </w:r>
    </w:p>
    <w:p>
      <w:pPr>
        <w:numPr>
          <w:ilvl w:val="0"/>
          <w:numId w:val="1007"/>
        </w:numPr>
        <w:pStyle w:val="Compact"/>
      </w:pPr>
      <w:r>
        <w:t xml:space="preserve">Уточнимимя вашего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-G. Данные при этих выводах совпадают (рис. 5):</w:t>
      </w:r>
    </w:p>
    <w:p>
      <w:pPr>
        <w:pStyle w:val="CaptionedFigure"/>
      </w:pPr>
      <w:bookmarkStart w:id="33" w:name="fig:005"/>
      <w:r>
        <w:drawing>
          <wp:inline>
            <wp:extent cx="3765176" cy="3135085"/>
            <wp:effectExtent b="0" l="0" r="0" t="0"/>
            <wp:docPr descr="Figure 5: Проверка id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Проверка id</w:t>
      </w:r>
    </w:p>
    <w:p>
      <w:pPr>
        <w:numPr>
          <w:ilvl w:val="0"/>
          <w:numId w:val="1008"/>
        </w:numPr>
        <w:pStyle w:val="Compact"/>
      </w:pPr>
      <w:r>
        <w:t xml:space="preserve">Посмторим файл /etc/passwd (рис. 6 - 7):</w:t>
      </w:r>
    </w:p>
    <w:p>
      <w:pPr>
        <w:pStyle w:val="CaptionedFigure"/>
      </w:pPr>
      <w:bookmarkStart w:id="35" w:name="fig:006"/>
      <w:r>
        <w:drawing>
          <wp:inline>
            <wp:extent cx="3388658" cy="4426003"/>
            <wp:effectExtent b="0" l="0" r="0" t="0"/>
            <wp:docPr descr="Figure 6: Файл /etc/passwd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442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Файл /etc/passwd</w:t>
      </w:r>
    </w:p>
    <w:p>
      <w:pPr>
        <w:pStyle w:val="CaptionedFigure"/>
      </w:pPr>
      <w:bookmarkStart w:id="37" w:name="fig:007"/>
      <w:r>
        <w:drawing>
          <wp:inline>
            <wp:extent cx="2551099" cy="706931"/>
            <wp:effectExtent b="0" l="0" r="0" t="0"/>
            <wp:docPr descr="Figure 7: Файл /etc/passwd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Файл /etc/passwd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guest2 выполним регистрацию пользователя guest2 в группе guest командой newgrp guest (рис. 8):</w:t>
      </w:r>
    </w:p>
    <w:p>
      <w:pPr>
        <w:pStyle w:val="CaptionedFigure"/>
      </w:pPr>
      <w:bookmarkStart w:id="39" w:name="fig:008"/>
      <w:r>
        <w:drawing>
          <wp:inline>
            <wp:extent cx="3496235" cy="399569"/>
            <wp:effectExtent b="0" l="0" r="0" t="0"/>
            <wp:docPr descr="Figure 8: Регистрация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Регистрация пользователя guest2 в группе guest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изменим права директории /home/guest, разрешив все действия для пользователей группы при помощи команды chmod g+rwx /home/guest (рис. 9):</w:t>
      </w:r>
    </w:p>
    <w:p>
      <w:pPr>
        <w:pStyle w:val="CaptionedFigure"/>
      </w:pPr>
      <w:bookmarkStart w:id="41" w:name="fig:009"/>
      <w:r>
        <w:drawing>
          <wp:inline>
            <wp:extent cx="4049485" cy="284309"/>
            <wp:effectExtent b="0" l="0" r="0" t="0"/>
            <wp:docPr descr="Figure 9: Изменение прав директории /home/guest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Изменение прав директории /home/guest</w:t>
      </w:r>
    </w:p>
    <w:p>
      <w:pPr>
        <w:numPr>
          <w:ilvl w:val="0"/>
          <w:numId w:val="1011"/>
        </w:numPr>
        <w:pStyle w:val="Compact"/>
      </w:pPr>
      <w:r>
        <w:t xml:space="preserve">Проверим правильность снятия атрибутов 10):</w:t>
      </w:r>
    </w:p>
    <w:p>
      <w:pPr>
        <w:pStyle w:val="CaptionedFigure"/>
      </w:pPr>
      <w:bookmarkStart w:id="43" w:name="fig:010"/>
      <w:r>
        <w:drawing>
          <wp:inline>
            <wp:extent cx="3980329" cy="1790379"/>
            <wp:effectExtent b="0" l="0" r="0" t="0"/>
            <wp:docPr descr="Figure 10: Проверка правильности снятия атрибутов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17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Проверка правильности снятия атрибутов</w:t>
      </w:r>
    </w:p>
    <w:p>
      <w:pPr>
        <w:numPr>
          <w:ilvl w:val="0"/>
          <w:numId w:val="1012"/>
        </w:numPr>
      </w:pPr>
      <w:r>
        <w:t xml:space="preserve">Заполним таблицу «Установленные права и разрешённые действия для групп», меняя атрибуты у директории dir1 и файла file1 от имени пользователя guest и делая проверку от пользователя guest2,</w:t>
      </w:r>
      <w:r>
        <w:t xml:space="preserve"> </w:t>
      </w:r>
      <w:r>
        <w:t xml:space="preserve">определив опытным путём, какие операции разрешены, а какие нет. Если</w:t>
      </w:r>
      <w:r>
        <w:t xml:space="preserve"> </w:t>
      </w:r>
      <w:r>
        <w:t xml:space="preserve">операция разрешена, занесем в таблицу знак «+», если не разрешена – знак «-».</w:t>
      </w:r>
    </w:p>
    <w:p>
      <w:pPr>
        <w:numPr>
          <w:ilvl w:val="0"/>
          <w:numId w:val="1012"/>
        </w:numPr>
      </w:pPr>
      <w:r>
        <w:t xml:space="preserve">Получившаяся таблица «Установленные права и разрешённые действия для групп»(рис. 11 - 12):</w:t>
      </w:r>
    </w:p>
    <w:p>
      <w:pPr>
        <w:pStyle w:val="CaptionedFigure"/>
      </w:pPr>
      <w:bookmarkStart w:id="45" w:name="fig:011"/>
      <w:r>
        <w:drawing>
          <wp:inline>
            <wp:extent cx="5334000" cy="3944321"/>
            <wp:effectExtent b="0" l="0" r="0" t="0"/>
            <wp:docPr descr="Figure 11: Установленные права и разрешённые действия для групп 1" title="" id="1" name="Picture"/>
            <a:graphic>
              <a:graphicData uri="http://schemas.openxmlformats.org/drawingml/2006/picture">
                <pic:pic>
                  <pic:nvPicPr>
                    <pic:cNvPr descr="pic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Установленные права и разрешённые действия для групп 1</w:t>
      </w:r>
    </w:p>
    <w:p>
      <w:pPr>
        <w:pStyle w:val="CaptionedFigure"/>
      </w:pPr>
      <w:bookmarkStart w:id="47" w:name="fig:012"/>
      <w:r>
        <w:drawing>
          <wp:inline>
            <wp:extent cx="5334000" cy="3613546"/>
            <wp:effectExtent b="0" l="0" r="0" t="0"/>
            <wp:docPr descr="Figure 12: Установленные права и разрешённые действия для групп 2" title="" id="1" name="Picture"/>
            <a:graphic>
              <a:graphicData uri="http://schemas.openxmlformats.org/drawingml/2006/picture">
                <pic:pic>
                  <pic:nvPicPr>
                    <pic:cNvPr descr="pic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12: Установленные права и разрешённые действия для групп 2</w:t>
      </w:r>
    </w:p>
    <w:p>
      <w:pPr>
        <w:numPr>
          <w:ilvl w:val="0"/>
          <w:numId w:val="1013"/>
        </w:numPr>
      </w:pPr>
      <w:r>
        <w:t xml:space="preserve">Главное отличие между таблицами в лабораторной работе №2 и этой таблицей в том, что в предыдущей таблице смена атрибутов файла возможна при любых правах директории и файла, а в таблице в лабораторной работе №3 смена атрибутов файла невозможна ни при каких правах.</w:t>
      </w:r>
    </w:p>
    <w:p>
      <w:pPr>
        <w:numPr>
          <w:ilvl w:val="0"/>
          <w:numId w:val="1013"/>
        </w:numPr>
      </w:pP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 внутри директории dir1, заполним таблицу «Минимальные права для совершения операций от имени пользователей входящих в группу» (рис. 13):</w:t>
      </w:r>
    </w:p>
    <w:p>
      <w:pPr>
        <w:pStyle w:val="CaptionedFigure"/>
      </w:pPr>
      <w:bookmarkStart w:id="49" w:name="fig:013"/>
      <w:r>
        <w:drawing>
          <wp:inline>
            <wp:extent cx="4706282" cy="3069314"/>
            <wp:effectExtent b="0" l="0" r="0" t="0"/>
            <wp:docPr descr="Figure 13: Минимальные права для совершения операций от имени пользователей входящих в группу" title="" id="1" name="Picture"/>
            <a:graphic>
              <a:graphicData uri="http://schemas.openxmlformats.org/drawingml/2006/picture">
                <pic:pic>
                  <pic:nvPicPr>
                    <pic:cNvPr descr="pic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13: Минимальные права для совершения операций от имени пользователей входящих в группу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мы получили практические навыки работы в консоли с атрибутами файлов для групп пользователей.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</w:pPr>
      <w:hyperlink r:id="rId52">
        <w:r>
          <w:rPr>
            <w:rStyle w:val="Hyperlink"/>
          </w:rPr>
          <w:t xml:space="preserve">Методические материалы к лабораторной работе, представленные на сайте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ТУИС РУДН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14"/>
        </w:numPr>
      </w:pPr>
      <w:hyperlink r:id="rId53">
        <w:r>
          <w:rPr>
            <w:rStyle w:val="Hyperlink"/>
          </w:rPr>
          <w:t xml:space="preserve">Права доступа к файлам в Linux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Права доступа к файлам в Linux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Методические материалы к лабораторной работе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5504a012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52" Target="https://esystem.rudn.ru/" TargetMode="External" /><Relationship Type="http://schemas.openxmlformats.org/officeDocument/2006/relationships/hyperlink" Id="rId53" Target="https://losst.ru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" TargetMode="External" /><Relationship Type="http://schemas.openxmlformats.org/officeDocument/2006/relationships/hyperlink" Id="rId53" Target="https://losst.ru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Смородова Дарья Владимировна</dc:creator>
  <dc:language>ru-RU</dc:language>
  <cp:keywords/>
  <dcterms:created xsi:type="dcterms:W3CDTF">2022-09-22T07:05:05Z</dcterms:created>
  <dcterms:modified xsi:type="dcterms:W3CDTF">2022-09-22T07:05:05Z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22nd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НФИбд-01-19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Два пользователя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