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Компиляторы, доступные в Linux-системах, являются частью коллекции GNU-компиляторов, известной как GCC (GNU Compiller Collection, подробнее см. http://gcc.gnu.org). В неё входят компиляторы языков С, С++, Java, Objective-C, Fortran и Chill. Будем использовать лишь первые два.</w:t>
      </w:r>
    </w:p>
    <w:p>
      <w:pPr>
        <w:pStyle w:val="BodyText"/>
      </w:pPr>
      <w:r>
        <w:t xml:space="preserve">Компилятор языка С называется gcc. Компилятор языка С++ называется g++ и запускается с параметрами почти так же, как gcc. Проверить это можно следующими командами: whereis gcc и whereis g++</w:t>
      </w:r>
    </w:p>
    <w:p>
      <w:pPr>
        <w:pStyle w:val="BodyText"/>
      </w:pPr>
      <w:r>
        <w:t xml:space="preserve">Первый шаг заключается в превращении исходных файлов в объектный код: gcc -c file.с</w:t>
      </w:r>
    </w:p>
    <w:p>
      <w:pPr>
        <w:pStyle w:val="BodyText"/>
      </w:pPr>
      <w:r>
        <w:t xml:space="preserve">В случае успешного выполнения команды (отсутствие ошибок в коде) полученный объектный файл будет называться file.о.</w:t>
      </w:r>
    </w:p>
    <w:p>
      <w:pPr>
        <w:pStyle w:val="BodyText"/>
      </w:pPr>
      <w:r>
        <w:t xml:space="preserve">Объектные файлы невозможно запускать и использовать, поэтому после компиляции для получения готовой программы объектные файлы необходимо скомпоновать. Компоновать можно один или несколько файлов. В случае использования хотя бы одного из файлов, написанных на С++, компоновка производится с помощью компилятора g++. Строго говоря, это тоже не вполне верно. Компоновка объектного кода, сгенерированного чем бы то ни было (хоть вручную), производится линкером ld, g++ его просто вызывает изнутри. Если же все файлы написаны на языке С, нужно использовать компилятор gcc.</w:t>
      </w:r>
    </w:p>
    <w:p>
      <w:pPr>
        <w:pStyle w:val="BodyText"/>
      </w:pPr>
      <w:r>
        <w:t xml:space="preserve">Например, так: gcc -o program file.o</w:t>
      </w:r>
    </w:p>
    <w:p>
      <w:pPr>
        <w:pStyle w:val="BodyText"/>
      </w:pPr>
      <w:r>
        <w:t xml:space="preserve">В случае успешного выполнения команды будет создана программа program (исполняемый файл формата ELF с установленным атрибутом +х).</w:t>
      </w:r>
    </w:p>
    <w:p>
      <w:pPr>
        <w:pStyle w:val="BodyText"/>
      </w:pPr>
      <w:r>
        <w:t xml:space="preserve">Компилирование — это процесс. Компилятор gcc (g++) имеет множество параметров, влияющих на процесс компиляции. Он поддерживает различные режимы оптимизации, выбор платформы назначения и пр.</w:t>
      </w:r>
    </w:p>
    <w:p>
      <w:pPr>
        <w:pStyle w:val="BodyText"/>
      </w:pPr>
      <w:r>
        <w:t xml:space="preserve">Также возможно использование make-файлов (Makefile) с помощью утилиты make для упрощения процесса компиляции.</w:t>
      </w:r>
    </w:p>
    <w:p>
      <w:pPr>
        <w:pStyle w:val="BodyText"/>
      </w:pPr>
      <w:r>
        <w:t xml:space="preserve">Такое решение подойдёт лишь для простых случаев. Если говорить про пример выше, то компилирование одного файла из двух шагов можно сократить вообще до одного, например: gcc file.c</w:t>
      </w:r>
    </w:p>
    <w:p>
      <w:pPr>
        <w:pStyle w:val="BodyText"/>
      </w:pPr>
      <w:r>
        <w:t xml:space="preserve">В этом случае готовая программа будет иметь называние a.out.</w:t>
      </w:r>
    </w:p>
    <w:p>
      <w:pPr>
        <w:pStyle w:val="BodyText"/>
      </w:pPr>
      <w:r>
        <w:t xml:space="preserve">Механизм компилирования программ в данной работе не мог быть не рассмотрен потому, что использование программ, написанных на bash, для изучения SetUID- и SetGID- битов, не представляется возможным. Связано это с тем, что любая bash-программа интерпретируется в процессе своего выполнения, т.е. существует сторонняя программа-интерпретатор, которая выполняет считывание файла сценария и выполняет его последовательно. Сам интерпретатор выполняется с правами пользователя, его запустившего, а значит, и выполняемая программа использует эти права.</w:t>
      </w:r>
    </w:p>
    <w:p>
      <w:pPr>
        <w:pStyle w:val="BodyText"/>
      </w:pPr>
      <w:r>
        <w:t xml:space="preserve">При этом интерпретатору абсолютно всё равно, установлены SetUID-, SetGID-биты у текстового файла сценария, атрибут разрешения запуска «x» или нет. Важно, чтобы был установлен лишь атрибут, разрешающий чтение «r».</w:t>
      </w:r>
    </w:p>
    <w:p>
      <w:pPr>
        <w:pStyle w:val="BodyText"/>
      </w:pPr>
      <w:r>
        <w:t xml:space="preserve">Также не важно, был ли вызван интерпретатор из командной строки (запуск файла, как bash file1.sh), либо внутри файла была указана строчка #!/bin/bash.</w:t>
      </w:r>
    </w:p>
    <w:p>
      <w:pPr>
        <w:pStyle w:val="BodyText"/>
      </w:pPr>
      <w:r>
        <w:t xml:space="preserve">Логично спросить: если установление SetUID- и SetGID- битов на сценарий не приводит к нужному результату как с исполняемыми файлами, то что мешает установить эти биты на сам интерпретатор? Ничего не мешает, только их установление приведёт к тому, что, так как владельцем /bin/bash является root: ls -l /bin/bash все сценарии, выполняемые с использованием /bin/bash, будут иметь возможности суперпользователя — совсем не тот результат, который хотелось бы видеть.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86" w:name="выполнение-лабораторной-работы-1"/>
    <w:p>
      <w:pPr>
        <w:pStyle w:val="Heading1"/>
      </w:pPr>
      <w:r>
        <w:t xml:space="preserve">Выполнение лабораторной работы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numPr>
          <w:ilvl w:val="0"/>
          <w:numId w:val="1001"/>
        </w:numPr>
        <w:pStyle w:val="Compact"/>
      </w:pPr>
      <w:r>
        <w:t xml:space="preserve">При помощи команды gcc -v проверим, установлен ли компилятор gcc (рис. 1):</w:t>
      </w:r>
    </w:p>
    <w:p>
      <w:pPr>
        <w:pStyle w:val="CaptionedFigure"/>
      </w:pPr>
      <w:bookmarkStart w:id="25" w:name="fig:001"/>
      <w:r>
        <w:drawing>
          <wp:inline>
            <wp:extent cx="5334000" cy="4277264"/>
            <wp:effectExtent b="0" l="0" r="0" t="0"/>
            <wp:docPr descr="Figure 1: Проверка установки компилятора gcc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Проверка установки компилятора gcc</w:t>
      </w:r>
    </w:p>
    <w:p>
      <w:pPr>
        <w:numPr>
          <w:ilvl w:val="0"/>
          <w:numId w:val="1002"/>
        </w:numPr>
        <w:pStyle w:val="Compact"/>
      </w:pPr>
      <w:r>
        <w:t xml:space="preserve">При помощи команд setenforce 0 и getenforce отключим систему запретов до очередной перезагрузки системы (рис. 2):</w:t>
      </w:r>
    </w:p>
    <w:p>
      <w:pPr>
        <w:pStyle w:val="CaptionedFigure"/>
      </w:pPr>
      <w:bookmarkStart w:id="27" w:name="fig:002"/>
      <w:r>
        <w:drawing>
          <wp:inline>
            <wp:extent cx="3304134" cy="399569"/>
            <wp:effectExtent b="0" l="0" r="0" t="0"/>
            <wp:docPr descr="Figure 2: Отключение системы запретов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Отключение системы запретов</w:t>
      </w:r>
    </w:p>
    <w:p>
      <w:pPr>
        <w:numPr>
          <w:ilvl w:val="0"/>
          <w:numId w:val="1003"/>
        </w:numPr>
        <w:pStyle w:val="Compact"/>
      </w:pPr>
      <w:r>
        <w:t xml:space="preserve">Проверим компиляторы языков С++ и С командами whereis gcc и whereis g++ (рис. 3):</w:t>
      </w:r>
    </w:p>
    <w:p>
      <w:pPr>
        <w:pStyle w:val="CaptionedFigure"/>
      </w:pPr>
      <w:bookmarkStart w:id="29" w:name="fig:003"/>
      <w:r>
        <w:drawing>
          <wp:inline>
            <wp:extent cx="5334000" cy="797201"/>
            <wp:effectExtent b="0" l="0" r="0" t="0"/>
            <wp:docPr descr="Figure 3: Проверка компиляторов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Проверка компиляторов</w:t>
      </w:r>
    </w:p>
    <w:p>
      <w:pPr>
        <w:numPr>
          <w:ilvl w:val="0"/>
          <w:numId w:val="1004"/>
        </w:numPr>
        <w:pStyle w:val="Compact"/>
      </w:pPr>
      <w:r>
        <w:t xml:space="preserve">Войдем в систему от имени пользователя guest и создадим программу simpleid.c (рис. 4 - 5):</w:t>
      </w:r>
    </w:p>
    <w:p>
      <w:pPr>
        <w:pStyle w:val="CaptionedFigure"/>
      </w:pPr>
      <w:bookmarkStart w:id="31" w:name="fig:004"/>
      <w:r>
        <w:drawing>
          <wp:inline>
            <wp:extent cx="5009989" cy="806823"/>
            <wp:effectExtent b="0" l="0" r="0" t="0"/>
            <wp:docPr descr="Figure 4: Создание файла simpleid.c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Создание файла simpleid.c</w:t>
      </w:r>
    </w:p>
    <w:p>
      <w:pPr>
        <w:pStyle w:val="CaptionedFigure"/>
      </w:pPr>
      <w:bookmarkStart w:id="33" w:name="fig:005"/>
      <w:r>
        <w:drawing>
          <wp:inline>
            <wp:extent cx="3726756" cy="1636699"/>
            <wp:effectExtent b="0" l="0" r="0" t="0"/>
            <wp:docPr descr="Figure 5: Содержимое файла simpleid.c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Содержимое файла simpleid.c</w:t>
      </w:r>
    </w:p>
    <w:p>
      <w:pPr>
        <w:numPr>
          <w:ilvl w:val="0"/>
          <w:numId w:val="1005"/>
        </w:numPr>
        <w:pStyle w:val="Compact"/>
      </w:pPr>
      <w:r>
        <w:t xml:space="preserve">Скомплилируем программу и убедимся, что файл программы создан, а затем выполним программу simpleid (рис. 6):</w:t>
      </w:r>
    </w:p>
    <w:p>
      <w:pPr>
        <w:pStyle w:val="CaptionedFigure"/>
      </w:pPr>
      <w:bookmarkStart w:id="35" w:name="fig:006"/>
      <w:r>
        <w:drawing>
          <wp:inline>
            <wp:extent cx="5334000" cy="401876"/>
            <wp:effectExtent b="0" l="0" r="0" t="0"/>
            <wp:docPr descr="Figure 6: Компиляция и запуск файла simpleid.c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Компиляция и запуск файла simpleid.c</w:t>
      </w:r>
    </w:p>
    <w:p>
      <w:pPr>
        <w:numPr>
          <w:ilvl w:val="0"/>
          <w:numId w:val="1006"/>
        </w:numPr>
        <w:pStyle w:val="Compact"/>
      </w:pPr>
      <w:r>
        <w:t xml:space="preserve">Выполните системную программу id. Результат вывода этой команды совпадает с выводом программы simpleid (рис. 7):</w:t>
      </w:r>
    </w:p>
    <w:p>
      <w:pPr>
        <w:pStyle w:val="CaptionedFigure"/>
      </w:pPr>
      <w:bookmarkStart w:id="37" w:name="fig:007"/>
      <w:r>
        <w:drawing>
          <wp:inline>
            <wp:extent cx="5334000" cy="558040"/>
            <wp:effectExtent b="0" l="0" r="0" t="0"/>
            <wp:docPr descr="Figure 7: Команда id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Команда id</w:t>
      </w:r>
    </w:p>
    <w:p>
      <w:pPr>
        <w:numPr>
          <w:ilvl w:val="0"/>
          <w:numId w:val="1007"/>
        </w:numPr>
        <w:pStyle w:val="Compact"/>
      </w:pPr>
      <w:r>
        <w:t xml:space="preserve">Усложним программу, добавив вывод действительных идентификаторов (рис. 8):</w:t>
      </w:r>
    </w:p>
    <w:p>
      <w:pPr>
        <w:pStyle w:val="CaptionedFigure"/>
      </w:pPr>
      <w:bookmarkStart w:id="39" w:name="fig:008"/>
      <w:r>
        <w:drawing>
          <wp:inline>
            <wp:extent cx="5334000" cy="2234616"/>
            <wp:effectExtent b="0" l="0" r="0" t="0"/>
            <wp:docPr descr="Figure 8: Содержимое файла simpleid2.c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Содержимое файла simpleid2.c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 запустим simpleid2.c (рис. 9):</w:t>
      </w:r>
    </w:p>
    <w:p>
      <w:pPr>
        <w:pStyle w:val="CaptionedFigure"/>
      </w:pPr>
      <w:bookmarkStart w:id="41" w:name="fig:009"/>
      <w:r>
        <w:drawing>
          <wp:inline>
            <wp:extent cx="4049485" cy="860611"/>
            <wp:effectExtent b="0" l="0" r="0" t="0"/>
            <wp:docPr descr="Figure 9: Компиляция и запуск файла simpleid2.c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Компиляция и запуск файла simpleid2.c</w:t>
      </w:r>
    </w:p>
    <w:p>
      <w:pPr>
        <w:numPr>
          <w:ilvl w:val="0"/>
          <w:numId w:val="1009"/>
        </w:numPr>
        <w:pStyle w:val="Compact"/>
      </w:pPr>
      <w:r>
        <w:t xml:space="preserve">От имени суперпользователя выполним команды chown root:guest /home/guest/simpleid2 и chmod u+s /home/guest/simpleid2 (рис. 10):</w:t>
      </w:r>
    </w:p>
    <w:p>
      <w:pPr>
        <w:pStyle w:val="CaptionedFigure"/>
      </w:pPr>
      <w:bookmarkStart w:id="43" w:name="fig:010"/>
      <w:r>
        <w:drawing>
          <wp:inline>
            <wp:extent cx="4741048" cy="714615"/>
            <wp:effectExtent b="0" l="0" r="0" t="0"/>
            <wp:docPr descr="Figure 10: Команды chown и chmod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Команды chown и chmod</w:t>
      </w:r>
    </w:p>
    <w:p>
      <w:pPr>
        <w:numPr>
          <w:ilvl w:val="0"/>
          <w:numId w:val="1010"/>
        </w:numPr>
        <w:pStyle w:val="Compact"/>
      </w:pPr>
      <w:r>
        <w:t xml:space="preserve">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simpleid2 командой ls -l simpleid2 (рис. 11):</w:t>
      </w:r>
    </w:p>
    <w:p>
      <w:pPr>
        <w:pStyle w:val="CaptionedFigure"/>
      </w:pPr>
      <w:bookmarkStart w:id="45" w:name="fig:011"/>
      <w:r>
        <w:drawing>
          <wp:inline>
            <wp:extent cx="4280006" cy="445673"/>
            <wp:effectExtent b="0" l="0" r="0" t="0"/>
            <wp:docPr descr="Figure 11: Проверка правильности установки новых атрибутов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Проверка правильности установки новых атрибутов</w:t>
      </w:r>
    </w:p>
    <w:p>
      <w:pPr>
        <w:numPr>
          <w:ilvl w:val="0"/>
          <w:numId w:val="1011"/>
        </w:numPr>
        <w:pStyle w:val="Compact"/>
      </w:pPr>
      <w:r>
        <w:t xml:space="preserve">Запустим simpleid2 и id. Вывод в обоих случаях совпал (рис. 12):</w:t>
      </w:r>
    </w:p>
    <w:p>
      <w:pPr>
        <w:pStyle w:val="CaptionedFigure"/>
      </w:pPr>
      <w:bookmarkStart w:id="47" w:name="fig:012"/>
      <w:r>
        <w:drawing>
          <wp:inline>
            <wp:extent cx="5334000" cy="975731"/>
            <wp:effectExtent b="0" l="0" r="0" t="0"/>
            <wp:docPr descr="Figure 12: Запуск simpleid2 и id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Запуск simpleid2 и id</w:t>
      </w:r>
    </w:p>
    <w:p>
      <w:pPr>
        <w:numPr>
          <w:ilvl w:val="0"/>
          <w:numId w:val="1012"/>
        </w:numPr>
        <w:pStyle w:val="Compact"/>
      </w:pPr>
      <w:r>
        <w:t xml:space="preserve">Проделаем тоже самое относительно SetGID-бита (рис. 13):</w:t>
      </w:r>
    </w:p>
    <w:p>
      <w:pPr>
        <w:pStyle w:val="CaptionedFigure"/>
      </w:pPr>
      <w:bookmarkStart w:id="49" w:name="fig:013"/>
      <w:r>
        <w:drawing>
          <wp:inline>
            <wp:extent cx="5334000" cy="1329846"/>
            <wp:effectExtent b="0" l="0" r="0" t="0"/>
            <wp:docPr descr="Figure 13: Сравнение SetGID-бита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13: Сравнение SetGID-бита</w:t>
      </w:r>
    </w:p>
    <w:p>
      <w:pPr>
        <w:numPr>
          <w:ilvl w:val="0"/>
          <w:numId w:val="1013"/>
        </w:numPr>
        <w:pStyle w:val="Compact"/>
      </w:pPr>
      <w:r>
        <w:t xml:space="preserve">Создайте программу readfile.c (рис. 14):</w:t>
      </w:r>
    </w:p>
    <w:p>
      <w:pPr>
        <w:pStyle w:val="CaptionedFigure"/>
      </w:pPr>
      <w:bookmarkStart w:id="51" w:name="fig:014"/>
      <w:r>
        <w:drawing>
          <wp:inline>
            <wp:extent cx="5334000" cy="2749620"/>
            <wp:effectExtent b="0" l="0" r="0" t="0"/>
            <wp:docPr descr="Figure 14: Содержание файла readfile.c" title="" id="1" name="Picture"/>
            <a:graphic>
              <a:graphicData uri="http://schemas.openxmlformats.org/drawingml/2006/picture">
                <pic:pic>
                  <pic:nvPicPr>
                    <pic:cNvPr descr="pic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14: Содержание файла readfile.c</w:t>
      </w:r>
    </w:p>
    <w:p>
      <w:pPr>
        <w:numPr>
          <w:ilvl w:val="0"/>
          <w:numId w:val="1014"/>
        </w:numPr>
        <w:pStyle w:val="Compact"/>
      </w:pPr>
      <w:r>
        <w:t xml:space="preserve">Компиляция файла readfile.c (рис. 15):</w:t>
      </w:r>
    </w:p>
    <w:p>
      <w:pPr>
        <w:pStyle w:val="CaptionedFigure"/>
      </w:pPr>
      <w:bookmarkStart w:id="53" w:name="fig:015"/>
      <w:r>
        <w:drawing>
          <wp:inline>
            <wp:extent cx="4110957" cy="583986"/>
            <wp:effectExtent b="0" l="0" r="0" t="0"/>
            <wp:docPr descr="Figure 15: Компиляция файла readfile.c" title="" id="1" name="Picture"/>
            <a:graphic>
              <a:graphicData uri="http://schemas.openxmlformats.org/drawingml/2006/picture">
                <pic:pic>
                  <pic:nvPicPr>
                    <pic:cNvPr descr="pic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15: Компиляция файла readfile.c</w:t>
      </w:r>
    </w:p>
    <w:p>
      <w:pPr>
        <w:numPr>
          <w:ilvl w:val="0"/>
          <w:numId w:val="1015"/>
        </w:numPr>
        <w:pStyle w:val="Compact"/>
      </w:pPr>
      <w:r>
        <w:t xml:space="preserve">Сменим владельца у файла readfile.c (или любого другого текстового файла в системе) и изменим права так, чтобы только суперпользователь (root) мог прочитать его, a guest не мог (рис. 16):</w:t>
      </w:r>
    </w:p>
    <w:p>
      <w:pPr>
        <w:pStyle w:val="CaptionedFigure"/>
      </w:pPr>
      <w:bookmarkStart w:id="55" w:name="fig:016"/>
      <w:r>
        <w:drawing>
          <wp:inline>
            <wp:extent cx="4118642" cy="560934"/>
            <wp:effectExtent b="0" l="0" r="0" t="0"/>
            <wp:docPr descr="Figure 16: Смена владельца и прав у файла readfile.c" title="" id="1" name="Picture"/>
            <a:graphic>
              <a:graphicData uri="http://schemas.openxmlformats.org/drawingml/2006/picture">
                <pic:pic>
                  <pic:nvPicPr>
                    <pic:cNvPr descr="pic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16: Смена владельца и прав у файла readfile.c</w:t>
      </w:r>
    </w:p>
    <w:p>
      <w:pPr>
        <w:numPr>
          <w:ilvl w:val="0"/>
          <w:numId w:val="1016"/>
        </w:numPr>
        <w:pStyle w:val="Compact"/>
      </w:pPr>
      <w:r>
        <w:t xml:space="preserve">Проверим, что пользователь guest не может прочитать файл readfile.c (рис. 17):</w:t>
      </w:r>
    </w:p>
    <w:p>
      <w:pPr>
        <w:pStyle w:val="CaptionedFigure"/>
      </w:pPr>
      <w:bookmarkStart w:id="57" w:name="fig:017"/>
      <w:r>
        <w:drawing>
          <wp:inline>
            <wp:extent cx="3964961" cy="576302"/>
            <wp:effectExtent b="0" l="0" r="0" t="0"/>
            <wp:docPr descr="Figure 17: Проверка возможности прочитать файл readfile.c" title="" id="1" name="Picture"/>
            <a:graphic>
              <a:graphicData uri="http://schemas.openxmlformats.org/drawingml/2006/picture">
                <pic:pic>
                  <pic:nvPicPr>
                    <pic:cNvPr descr="pic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17: Проверка возможности прочитать файл readfile.c</w:t>
      </w:r>
    </w:p>
    <w:p>
      <w:pPr>
        <w:numPr>
          <w:ilvl w:val="0"/>
          <w:numId w:val="1017"/>
        </w:numPr>
        <w:pStyle w:val="Compact"/>
      </w:pPr>
      <w:r>
        <w:t xml:space="preserve">Сменим у программы readfile владельца и установим SetU’D-бит (рис. 18):</w:t>
      </w:r>
    </w:p>
    <w:p>
      <w:pPr>
        <w:pStyle w:val="CaptionedFigure"/>
      </w:pPr>
      <w:bookmarkStart w:id="59" w:name="fig:018"/>
      <w:r>
        <w:drawing>
          <wp:inline>
            <wp:extent cx="4802521" cy="706931"/>
            <wp:effectExtent b="0" l="0" r="0" t="0"/>
            <wp:docPr descr="Figure 18: Смена у программы readfile владельца и установка SetU’D-бит" title="" id="1" name="Picture"/>
            <a:graphic>
              <a:graphicData uri="http://schemas.openxmlformats.org/drawingml/2006/picture">
                <pic:pic>
                  <pic:nvPicPr>
                    <pic:cNvPr descr="pic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18: Смена у программы readfile владельца и установка SetU’D-бит</w:t>
      </w:r>
    </w:p>
    <w:p>
      <w:pPr>
        <w:numPr>
          <w:ilvl w:val="0"/>
          <w:numId w:val="1018"/>
        </w:numPr>
        <w:pStyle w:val="Compact"/>
      </w:pPr>
      <w:r>
        <w:t xml:space="preserve">Проверим, может ли программа readfile прочитать файл readfile.c (рис. 19):</w:t>
      </w:r>
    </w:p>
    <w:p>
      <w:pPr>
        <w:pStyle w:val="CaptionedFigure"/>
      </w:pPr>
      <w:bookmarkStart w:id="61" w:name="fig:019"/>
      <w:r>
        <w:drawing>
          <wp:inline>
            <wp:extent cx="5334000" cy="3286385"/>
            <wp:effectExtent b="0" l="0" r="0" t="0"/>
            <wp:docPr descr="Figure 19: Проверка возможности прочитать файл readfile.c" title="" id="1" name="Picture"/>
            <a:graphic>
              <a:graphicData uri="http://schemas.openxmlformats.org/drawingml/2006/picture">
                <pic:pic>
                  <pic:nvPicPr>
                    <pic:cNvPr descr="pic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19: Проверка возможности прочитать файл readfile.c</w:t>
      </w:r>
    </w:p>
    <w:p>
      <w:pPr>
        <w:numPr>
          <w:ilvl w:val="0"/>
          <w:numId w:val="1019"/>
        </w:numPr>
        <w:pStyle w:val="Compact"/>
      </w:pPr>
      <w:r>
        <w:t xml:space="preserve">Проверим, может ли программа readfile прочитать файл /etc/shadow (рис. 20):</w:t>
      </w:r>
    </w:p>
    <w:p>
      <w:pPr>
        <w:pStyle w:val="CaptionedFigure"/>
      </w:pPr>
      <w:bookmarkStart w:id="63" w:name="fig:020"/>
      <w:r>
        <w:drawing>
          <wp:inline>
            <wp:extent cx="5334000" cy="4013339"/>
            <wp:effectExtent b="0" l="0" r="0" t="0"/>
            <wp:docPr descr="Figure 20: Проверка возможности прочитать файл /etc/shadow" title="" id="1" name="Picture"/>
            <a:graphic>
              <a:graphicData uri="http://schemas.openxmlformats.org/drawingml/2006/picture">
                <pic:pic>
                  <pic:nvPicPr>
                    <pic:cNvPr descr="pic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20: Проверка возможности прочитать файл /etc/shadow</w:t>
      </w:r>
    </w:p>
    <w:p>
      <w:pPr>
        <w:numPr>
          <w:ilvl w:val="0"/>
          <w:numId w:val="1020"/>
        </w:numPr>
        <w:pStyle w:val="Compact"/>
      </w:pPr>
      <w:r>
        <w:t xml:space="preserve">Выясним, установлен ли атрибут Sticky на директории /tmp командой ls -l / | grep tmp (рис. 21):</w:t>
      </w:r>
    </w:p>
    <w:p>
      <w:pPr>
        <w:pStyle w:val="CaptionedFigure"/>
      </w:pPr>
      <w:bookmarkStart w:id="65" w:name="fig:021"/>
      <w:r>
        <w:drawing>
          <wp:inline>
            <wp:extent cx="3657600" cy="468726"/>
            <wp:effectExtent b="0" l="0" r="0" t="0"/>
            <wp:docPr descr="Figure 21: Проверка установки атрибута Sticky на директории /tmp" title="" id="1" name="Picture"/>
            <a:graphic>
              <a:graphicData uri="http://schemas.openxmlformats.org/drawingml/2006/picture">
                <pic:pic>
                  <pic:nvPicPr>
                    <pic:cNvPr descr="pic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21: Проверка установки атрибута Sticky на директории /tmp</w:t>
      </w:r>
    </w:p>
    <w:p>
      <w:pPr>
        <w:numPr>
          <w:ilvl w:val="0"/>
          <w:numId w:val="1021"/>
        </w:numPr>
        <w:pStyle w:val="Compact"/>
      </w:pPr>
      <w:r>
        <w:t xml:space="preserve">От имени пользователя guest создадим файл file01.txt в директории /tmp со словом test (рис. 22):</w:t>
      </w:r>
    </w:p>
    <w:p>
      <w:pPr>
        <w:pStyle w:val="CaptionedFigure"/>
      </w:pPr>
      <w:bookmarkStart w:id="67" w:name="fig:022"/>
      <w:r>
        <w:drawing>
          <wp:inline>
            <wp:extent cx="3941909" cy="291993"/>
            <wp:effectExtent b="0" l="0" r="0" t="0"/>
            <wp:docPr descr="Figure 22: Создание файла file01.txt в директории /tmp со словом test" title="" id="1" name="Picture"/>
            <a:graphic>
              <a:graphicData uri="http://schemas.openxmlformats.org/drawingml/2006/picture">
                <pic:pic>
                  <pic:nvPicPr>
                    <pic:cNvPr descr="pic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22: Создание файла file01.txt в директории /tmp со словом test</w:t>
      </w:r>
    </w:p>
    <w:p>
      <w:pPr>
        <w:numPr>
          <w:ilvl w:val="0"/>
          <w:numId w:val="1022"/>
        </w:numPr>
        <w:pStyle w:val="Compact"/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 23):</w:t>
      </w:r>
    </w:p>
    <w:p>
      <w:pPr>
        <w:pStyle w:val="CaptionedFigure"/>
      </w:pPr>
      <w:bookmarkStart w:id="69" w:name="fig:023"/>
      <w:r>
        <w:drawing>
          <wp:inline>
            <wp:extent cx="4656524" cy="860611"/>
            <wp:effectExtent b="0" l="0" r="0" t="0"/>
            <wp:docPr descr="Figure 23: Просмотр атрибутов и разрешение чтения и записи для категории пользователей «все остальные»" title="" id="1" name="Picture"/>
            <a:graphic>
              <a:graphicData uri="http://schemas.openxmlformats.org/drawingml/2006/picture">
                <pic:pic>
                  <pic:nvPicPr>
                    <pic:cNvPr descr="pic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23: Просмотр атрибутов и разрешение чтения и записи для категории пользователей «все остальные»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 guest2 (не являющегося владельцем) попробуем прочитать файл /tmp/file01.txt (рис. 24):</w:t>
      </w:r>
    </w:p>
    <w:p>
      <w:pPr>
        <w:pStyle w:val="CaptionedFigure"/>
      </w:pPr>
      <w:bookmarkStart w:id="71" w:name="fig:024"/>
      <w:r>
        <w:drawing>
          <wp:inline>
            <wp:extent cx="4280006" cy="860611"/>
            <wp:effectExtent b="0" l="0" r="0" t="0"/>
            <wp:docPr descr="Figure 24: Попытка прочитать файл /tmp/file01.txt от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pics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24: Попытка прочитать файл /tmp/file01.txt от пользователя guest2</w:t>
      </w:r>
    </w:p>
    <w:p>
      <w:pPr>
        <w:numPr>
          <w:ilvl w:val="0"/>
          <w:numId w:val="1024"/>
        </w:numPr>
        <w:pStyle w:val="Compact"/>
      </w:pPr>
      <w:r>
        <w:t xml:space="preserve">От пользователя guest2 попробуем дозаписать в файл /tmp/file01.txt слово test2. Это получилось сделать. Проверим содержимое файла (рис. 25):</w:t>
      </w:r>
    </w:p>
    <w:p>
      <w:pPr>
        <w:pStyle w:val="CaptionedFigure"/>
      </w:pPr>
      <w:bookmarkStart w:id="73" w:name="fig:025"/>
      <w:r>
        <w:drawing>
          <wp:inline>
            <wp:extent cx="5163670" cy="729983"/>
            <wp:effectExtent b="0" l="0" r="0" t="0"/>
            <wp:docPr descr="Figure 25: Попытка дозаписать в файл /tmp/file01.txt слово test2 от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pics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25: Попытка дозаписать в файл /tmp/file01.txt слово test2 от пользователя guest2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попробуем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и проверим содержимое файла (рис. 26):</w:t>
      </w:r>
    </w:p>
    <w:p>
      <w:pPr>
        <w:pStyle w:val="CaptionedFigure"/>
      </w:pPr>
      <w:bookmarkStart w:id="75" w:name="fig:026"/>
      <w:r>
        <w:drawing>
          <wp:inline>
            <wp:extent cx="4741048" cy="560934"/>
            <wp:effectExtent b="0" l="0" r="0" t="0"/>
            <wp:docPr descr="Figure 26: Попытка перезаписать файл /tmp/file01.txt словом test3 от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pics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26: Попытка перезаписать файл /tmp/file01.txt словом test3 от пользователя guest2</w:t>
      </w:r>
    </w:p>
    <w:p>
      <w:pPr>
        <w:numPr>
          <w:ilvl w:val="0"/>
          <w:numId w:val="1026"/>
        </w:numPr>
        <w:pStyle w:val="Compact"/>
      </w:pPr>
      <w:r>
        <w:t xml:space="preserve">От пользователя guest2 попробуем удалить файл /tmp/file01.txt командой rm /tmp/fileOl.txt, это сделать не удалось (рис. 27):</w:t>
      </w:r>
    </w:p>
    <w:p>
      <w:pPr>
        <w:pStyle w:val="CaptionedFigure"/>
      </w:pPr>
      <w:bookmarkStart w:id="77" w:name="fig:027"/>
      <w:r>
        <w:drawing>
          <wp:inline>
            <wp:extent cx="4618104" cy="476410"/>
            <wp:effectExtent b="0" l="0" r="0" t="0"/>
            <wp:docPr descr="Figure 27: Попытка удалить файл /tmp/file01.txt от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pics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27: Попытка удалить файл /tmp/file01.txt от пользователя guest2</w:t>
      </w:r>
    </w:p>
    <w:p>
      <w:pPr>
        <w:numPr>
          <w:ilvl w:val="0"/>
          <w:numId w:val="1027"/>
        </w:numPr>
        <w:pStyle w:val="Compact"/>
      </w:pPr>
      <w:r>
        <w:t xml:space="preserve">Повысим свои права до суперпользователя командой su - и выполним после этого команду, снимающую атрибут t (Sticky-бит) с директории /tmp командой chmod -t /tmp. Покинем режим суперпользователя командой</w:t>
      </w:r>
      <w:r>
        <w:t xml:space="preserve"> </w:t>
      </w:r>
      <w:r>
        <w:t xml:space="preserve">exit (рис. 28):</w:t>
      </w:r>
    </w:p>
    <w:p>
      <w:pPr>
        <w:pStyle w:val="CaptionedFigure"/>
      </w:pPr>
      <w:bookmarkStart w:id="79" w:name="fig:028"/>
      <w:r>
        <w:drawing>
          <wp:inline>
            <wp:extent cx="4011065" cy="852927"/>
            <wp:effectExtent b="0" l="0" r="0" t="0"/>
            <wp:docPr descr="Figure 28: Снятие атрибута t с директории /tmp" title="" id="1" name="Picture"/>
            <a:graphic>
              <a:graphicData uri="http://schemas.openxmlformats.org/drawingml/2006/picture">
                <pic:pic>
                  <pic:nvPicPr>
                    <pic:cNvPr descr="pics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28: Снятие атрибута t с директории /tmp</w:t>
      </w:r>
    </w:p>
    <w:p>
      <w:pPr>
        <w:numPr>
          <w:ilvl w:val="0"/>
          <w:numId w:val="1028"/>
        </w:numPr>
        <w:pStyle w:val="Compact"/>
      </w:pPr>
      <w:r>
        <w:t xml:space="preserve">От пользователя guest2 проверим, что атрибута t у директории /tmp</w:t>
      </w:r>
      <w:r>
        <w:t xml:space="preserve"> </w:t>
      </w:r>
      <w:r>
        <w:t xml:space="preserve">нет (рис. 29):</w:t>
      </w:r>
    </w:p>
    <w:p>
      <w:pPr>
        <w:pStyle w:val="CaptionedFigure"/>
      </w:pPr>
      <w:bookmarkStart w:id="81" w:name="fig:029"/>
      <w:r>
        <w:drawing>
          <wp:inline>
            <wp:extent cx="3749808" cy="445673"/>
            <wp:effectExtent b="0" l="0" r="0" t="0"/>
            <wp:docPr descr="Figure 29: Проверка снятия атрибута t с директории /tmp" title="" id="1" name="Picture"/>
            <a:graphic>
              <a:graphicData uri="http://schemas.openxmlformats.org/drawingml/2006/picture">
                <pic:pic>
                  <pic:nvPicPr>
                    <pic:cNvPr descr="pics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29: Проверка снятия атрибута t с директории /tmp</w:t>
      </w:r>
    </w:p>
    <w:p>
      <w:pPr>
        <w:numPr>
          <w:ilvl w:val="0"/>
          <w:numId w:val="1029"/>
        </w:numPr>
        <w:pStyle w:val="Compact"/>
      </w:pPr>
      <w:r>
        <w:t xml:space="preserve">Повторим предудущие шаги, и увидим, что теперь мы можем не только добавлять текст файл, перезаписывать его и показывать содержимое, но и удалять файл (рис. 30):</w:t>
      </w:r>
    </w:p>
    <w:p>
      <w:pPr>
        <w:pStyle w:val="CaptionedFigure"/>
      </w:pPr>
      <w:bookmarkStart w:id="83" w:name="fig:030"/>
      <w:r>
        <w:drawing>
          <wp:inline>
            <wp:extent cx="4548947" cy="1398494"/>
            <wp:effectExtent b="0" l="0" r="0" t="0"/>
            <wp:docPr descr="Figure 30: Повтор предыдущих шагов" title="" id="1" name="Picture"/>
            <a:graphic>
              <a:graphicData uri="http://schemas.openxmlformats.org/drawingml/2006/picture">
                <pic:pic>
                  <pic:nvPicPr>
                    <pic:cNvPr descr="pics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 30: Повтор предыдущих шагов</w:t>
      </w:r>
    </w:p>
    <w:p>
      <w:pPr>
        <w:numPr>
          <w:ilvl w:val="0"/>
          <w:numId w:val="1030"/>
        </w:numPr>
        <w:pStyle w:val="Compact"/>
      </w:pPr>
      <w:r>
        <w:t xml:space="preserve">Повысим свои права до суперпользователя и вернем атрибут t на директорию /tmp (рис. 31):</w:t>
      </w:r>
    </w:p>
    <w:p>
      <w:pPr>
        <w:pStyle w:val="CaptionedFigure"/>
      </w:pPr>
      <w:bookmarkStart w:id="85" w:name="fig:031"/>
      <w:r>
        <w:drawing>
          <wp:inline>
            <wp:extent cx="3865068" cy="845243"/>
            <wp:effectExtent b="0" l="0" r="0" t="0"/>
            <wp:docPr descr="Figure 31: Возвращение атрибута t директории /tmp" title="" id="1" name="Picture"/>
            <a:graphic>
              <a:graphicData uri="http://schemas.openxmlformats.org/drawingml/2006/picture">
                <pic:pic>
                  <pic:nvPicPr>
                    <pic:cNvPr descr="pics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31: Возвращение атрибута t директории /tmp</w:t>
      </w:r>
    </w:p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изучили механизмы изменения идентификаторов, применения SetUID- и Sticky-битов, получили практические навыки работы в консоли с дополнительными атрибутами, а также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1"/>
        </w:numPr>
        <w:pStyle w:val="Compact"/>
      </w:pPr>
      <w:hyperlink r:id="rId88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fd23932f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bcc5f24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ea63e02b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c9be6b2a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f5f50f4f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69a63b9e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fb5c821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8820b3b9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2c232144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2b45298e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59b0f1bf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88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Смородова Дарья Владимировна</dc:creator>
  <dc:language>ru-RU</dc:language>
  <cp:keywords/>
  <dcterms:created xsi:type="dcterms:W3CDTF">2022-10-08T19:31:02Z</dcterms:created>
  <dcterms:modified xsi:type="dcterms:W3CDTF">2022-10-08T19:31:02Z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Oct 8th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НФИбд-01-19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