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8.png" ContentType="image/png"/>
  <Override PartName="/word/media/rId6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Смородова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Oct</w:t>
      </w:r>
      <w:r>
        <w:t xml:space="preserve"> </w:t>
      </w:r>
      <w:r>
        <w:t xml:space="preserve">15th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bookmarkEnd w:id="20"/>
    <w:bookmarkStart w:id="22" w:name="теоретическое-введение2"/>
    <w:p>
      <w:pPr>
        <w:pStyle w:val="Heading1"/>
      </w:pPr>
      <w:r>
        <w:t xml:space="preserve">Теоретическое введение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Apache HTTP-сервер (является искажённым сокращением от англ. a patchy server; среди русских пользователей общепринято переводное апа́ч) — свободный веб-сервер.</w:t>
      </w:r>
    </w:p>
    <w:p>
      <w:pPr>
        <w:pStyle w:val="BodyText"/>
      </w:pPr>
      <w:r>
        <w:t xml:space="preserve">Apache является кроссплатформенным ПО, поддерживает операционные системы Linux, BSD, macOS, Microsoft Windows, Novell NetWare, BeOS.</w:t>
      </w:r>
    </w:p>
    <w:p>
      <w:pPr>
        <w:pStyle w:val="BodyText"/>
      </w:pPr>
      <w:r>
        <w:t xml:space="preserve">Основными достоинствами Apache считаются надёжность и гибкость конфигурации. Он позволяет подключать внешние модули для предоставления данных, использовать СУБД для аутентификации пользователей, модифицировать сообщения об ошибках и т. д. Поддерживает IPv4.</w:t>
      </w:r>
    </w:p>
    <w:p>
      <w:pPr>
        <w:pStyle w:val="BodyText"/>
      </w:pPr>
      <w:r>
        <w:t xml:space="preserve">Сервер был написан в начале 1995 года и считается, что его имя восходит к шуточному названию «a patchy» (с англ. — «в заплатках»), так как он устранял ошибки популярного тогда сервера Всемирной паутины NCSA HTTPd 1.3. В дальнейшем, с версии 2.х, сервер был переписан заново и теперь не содержит кода NCSA. На данный момент разработка ведётся в ветке 2.4, а в версиях 1.3, 2.0 и 2.2 производятся лишь исправления ошибок безопасности. На текущий момент последняя версия ветки 2.4 — 2.4.46 (5 августа 2020), для первой версии это 1.3.42.</w:t>
      </w:r>
    </w:p>
    <w:p>
      <w:pPr>
        <w:pStyle w:val="BodyText"/>
      </w:pPr>
      <w:r>
        <w:t xml:space="preserve">Веб-сервер Apache разрабатывается и поддерживается открытым сообществом разработчиков под эгидой Apache Software Foundation и включён во многие программные продукты, среди которых СУБД Oracle и IBM WebSphere.</w:t>
      </w:r>
    </w:p>
    <w:bookmarkEnd w:id="22"/>
    <w:bookmarkStart w:id="70" w:name="выполнение-лабораторной-работы1"/>
    <w:p>
      <w:pPr>
        <w:pStyle w:val="Heading1"/>
      </w:pPr>
      <w:r>
        <w:t xml:space="preserve">Выполнение лабораторной работы</w:t>
      </w:r>
      <w:r>
        <w:rPr>
          <w:rStyle w:val="FootnoteReference"/>
        </w:rPr>
        <w:footnoteReference w:id="23"/>
      </w:r>
    </w:p>
    <w:p>
      <w:pPr>
        <w:numPr>
          <w:ilvl w:val="0"/>
          <w:numId w:val="1001"/>
        </w:numPr>
        <w:pStyle w:val="Compact"/>
      </w:pPr>
      <w:r>
        <w:t xml:space="preserve">В конфигурационном файле /etc/httpd/httpd.conf зададим параметр ServerName (рис. 1):</w:t>
      </w:r>
    </w:p>
    <w:p>
      <w:pPr>
        <w:pStyle w:val="CaptionedFigure"/>
      </w:pPr>
      <w:bookmarkStart w:id="25" w:name="fig:001"/>
      <w:r>
        <w:drawing>
          <wp:inline>
            <wp:extent cx="5271247" cy="583986"/>
            <wp:effectExtent b="0" l="0" r="0" t="0"/>
            <wp:docPr descr="Figure 1: Задание параметра ServerName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Задание параметра ServerName</w:t>
      </w:r>
    </w:p>
    <w:p>
      <w:pPr>
        <w:numPr>
          <w:ilvl w:val="0"/>
          <w:numId w:val="1002"/>
        </w:numPr>
        <w:pStyle w:val="Compact"/>
      </w:pPr>
      <w:r>
        <w:t xml:space="preserve">Также проследим, чтобы пакетный фильтр был отключён или в своей рабочей конфигурации позволял подключаться к 80-у и 81-у портам протокола tcp. Отключим фильтр и добавим разрешающие правила (рис. 2):</w:t>
      </w:r>
    </w:p>
    <w:p>
      <w:pPr>
        <w:pStyle w:val="CaptionedFigure"/>
      </w:pPr>
      <w:bookmarkStart w:id="27" w:name="fig:002"/>
      <w:r>
        <w:drawing>
          <wp:inline>
            <wp:extent cx="5334000" cy="1529435"/>
            <wp:effectExtent b="0" l="0" r="0" t="0"/>
            <wp:docPr descr="Figure 2: Отключение фильтра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Отключение фильтра</w:t>
      </w:r>
    </w:p>
    <w:p>
      <w:pPr>
        <w:numPr>
          <w:ilvl w:val="0"/>
          <w:numId w:val="1003"/>
        </w:numPr>
        <w:pStyle w:val="Compact"/>
      </w:pPr>
      <w:r>
        <w:t xml:space="preserve">Войдем в систему с полученными учётными данными и убедимся, что SELinux работает в режиме enforcing политики targeted (рис. 3):</w:t>
      </w:r>
    </w:p>
    <w:p>
      <w:pPr>
        <w:pStyle w:val="CaptionedFigure"/>
      </w:pPr>
      <w:bookmarkStart w:id="29" w:name="fig:003"/>
      <w:r>
        <w:drawing>
          <wp:inline>
            <wp:extent cx="4779468" cy="2243737"/>
            <wp:effectExtent b="0" l="0" r="0" t="0"/>
            <wp:docPr descr="Figure 3: Проверка режима и политики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Проверка режима и политики</w:t>
      </w:r>
    </w:p>
    <w:p>
      <w:pPr>
        <w:numPr>
          <w:ilvl w:val="0"/>
          <w:numId w:val="1004"/>
        </w:numPr>
        <w:pStyle w:val="Compact"/>
      </w:pPr>
      <w:r>
        <w:t xml:space="preserve">Обратимся с помощью браузера к веб-серверу, запущенному на компьютере, и убедимся, что последний работает (рис. 4):</w:t>
      </w:r>
    </w:p>
    <w:p>
      <w:pPr>
        <w:pStyle w:val="CaptionedFigure"/>
      </w:pPr>
      <w:bookmarkStart w:id="31" w:name="fig:004"/>
      <w:r>
        <w:drawing>
          <wp:inline>
            <wp:extent cx="5334000" cy="2868827"/>
            <wp:effectExtent b="0" l="0" r="0" t="0"/>
            <wp:docPr descr="Figure 4: Проверка статуса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Проверка статуса</w:t>
      </w:r>
    </w:p>
    <w:p>
      <w:pPr>
        <w:numPr>
          <w:ilvl w:val="0"/>
          <w:numId w:val="1005"/>
        </w:numPr>
        <w:pStyle w:val="Compact"/>
      </w:pPr>
      <w:r>
        <w:t xml:space="preserve">Найдем веб-сервер Apache в списке процессов, определим его контекст безопасности (рис. 5):</w:t>
      </w:r>
    </w:p>
    <w:p>
      <w:pPr>
        <w:pStyle w:val="CaptionedFigure"/>
      </w:pPr>
      <w:bookmarkStart w:id="33" w:name="fig:005"/>
      <w:r>
        <w:drawing>
          <wp:inline>
            <wp:extent cx="5334000" cy="2641530"/>
            <wp:effectExtent b="0" l="0" r="0" t="0"/>
            <wp:docPr descr="Figure 5: Веб-сервер Apache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Веб-сервер Apache</w:t>
      </w:r>
    </w:p>
    <w:p>
      <w:pPr>
        <w:numPr>
          <w:ilvl w:val="0"/>
          <w:numId w:val="1006"/>
        </w:numPr>
        <w:pStyle w:val="Compact"/>
      </w:pPr>
      <w:r>
        <w:t xml:space="preserve">Посмотрим текущее состояние переключателей SELinux для Apache (рис. 6):</w:t>
      </w:r>
    </w:p>
    <w:p>
      <w:pPr>
        <w:pStyle w:val="CaptionedFigure"/>
      </w:pPr>
      <w:bookmarkStart w:id="35" w:name="fig:006"/>
      <w:r>
        <w:drawing>
          <wp:inline>
            <wp:extent cx="5334000" cy="6308626"/>
            <wp:effectExtent b="0" l="0" r="0" t="0"/>
            <wp:docPr descr="Figure 6: Просмотр переключателей SELinux для Apache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8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Просмотр переключателей SELinux для Apache</w:t>
      </w:r>
    </w:p>
    <w:p>
      <w:pPr>
        <w:numPr>
          <w:ilvl w:val="0"/>
          <w:numId w:val="1007"/>
        </w:numPr>
        <w:pStyle w:val="Compact"/>
      </w:pPr>
      <w:r>
        <w:t xml:space="preserve">Посмотрим статистику по политике, а также определим множество пользователей(8), ролей(14), типов(5002). (рис. 7):</w:t>
      </w:r>
    </w:p>
    <w:p>
      <w:pPr>
        <w:pStyle w:val="CaptionedFigure"/>
      </w:pPr>
      <w:bookmarkStart w:id="37" w:name="fig:007"/>
      <w:r>
        <w:drawing>
          <wp:inline>
            <wp:extent cx="5240510" cy="3688336"/>
            <wp:effectExtent b="0" l="0" r="0" t="0"/>
            <wp:docPr descr="Figure 7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7: Статистика по политике</w:t>
      </w:r>
    </w:p>
    <w:p>
      <w:pPr>
        <w:numPr>
          <w:ilvl w:val="0"/>
          <w:numId w:val="1008"/>
        </w:numPr>
        <w:pStyle w:val="Compact"/>
      </w:pPr>
      <w:r>
        <w:t xml:space="preserve">Определим тип файлов и поддиректорий, находящихся в директории /var/www (рис. 8):</w:t>
      </w:r>
    </w:p>
    <w:p>
      <w:pPr>
        <w:pStyle w:val="CaptionedFigure"/>
      </w:pPr>
      <w:bookmarkStart w:id="39" w:name="fig:008"/>
      <w:r>
        <w:drawing>
          <wp:inline>
            <wp:extent cx="5334000" cy="992037"/>
            <wp:effectExtent b="0" l="0" r="0" t="0"/>
            <wp:docPr descr="Figure 8: Определение типов файлов и поддиректорий в директории /var/www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8: Определение типов файлов и поддиректорий в директории /var/www</w:t>
      </w:r>
    </w:p>
    <w:p>
      <w:pPr>
        <w:numPr>
          <w:ilvl w:val="0"/>
          <w:numId w:val="1009"/>
        </w:numPr>
        <w:pStyle w:val="Compact"/>
      </w:pPr>
      <w:r>
        <w:t xml:space="preserve">Определим тип файлов, находящихся в директории /var/www/html и круг пользователей, которым разрешено создание файлов в директории /var/www/html (рис. 9):</w:t>
      </w:r>
    </w:p>
    <w:p>
      <w:pPr>
        <w:pStyle w:val="CaptionedFigure"/>
      </w:pPr>
      <w:bookmarkStart w:id="41" w:name="fig:009"/>
      <w:r>
        <w:drawing>
          <wp:inline>
            <wp:extent cx="4356847" cy="422621"/>
            <wp:effectExtent b="0" l="0" r="0" t="0"/>
            <wp:docPr descr="Figure 9: Определение типов файлов в директории /var/www/html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9: Определение типов файлов в директории /var/www/html</w:t>
      </w:r>
    </w:p>
    <w:p>
      <w:pPr>
        <w:numPr>
          <w:ilvl w:val="0"/>
          <w:numId w:val="1010"/>
        </w:numPr>
        <w:pStyle w:val="Compact"/>
      </w:pPr>
      <w:r>
        <w:t xml:space="preserve">Создадим от имени суперпользователя html-файл /var/www/html/test.html (рис. 10):</w:t>
      </w:r>
    </w:p>
    <w:p>
      <w:pPr>
        <w:pStyle w:val="CaptionedFigure"/>
      </w:pPr>
      <w:bookmarkStart w:id="43" w:name="fig:010"/>
      <w:r>
        <w:drawing>
          <wp:inline>
            <wp:extent cx="5334000" cy="1715275"/>
            <wp:effectExtent b="0" l="0" r="0" t="0"/>
            <wp:docPr descr="Figure 10: Создание файла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Создание файла</w:t>
      </w:r>
    </w:p>
    <w:p>
      <w:pPr>
        <w:numPr>
          <w:ilvl w:val="0"/>
          <w:numId w:val="1011"/>
        </w:numPr>
        <w:pStyle w:val="Compact"/>
      </w:pPr>
      <w:r>
        <w:t xml:space="preserve">Проверим контекст созданного файла: httpd_sys_content_t (рис. 11):</w:t>
      </w:r>
    </w:p>
    <w:p>
      <w:pPr>
        <w:pStyle w:val="CaptionedFigure"/>
      </w:pPr>
      <w:bookmarkStart w:id="45" w:name="fig:011"/>
      <w:r>
        <w:drawing>
          <wp:inline>
            <wp:extent cx="5334000" cy="682924"/>
            <wp:effectExtent b="0" l="0" r="0" t="0"/>
            <wp:docPr descr="Figure 11: Проверка контекста" title="" id="1" name="Picture"/>
            <a:graphic>
              <a:graphicData uri="http://schemas.openxmlformats.org/drawingml/2006/picture">
                <pic:pic>
                  <pic:nvPicPr>
                    <pic:cNvPr descr="pic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11: Проверка контекста</w:t>
      </w:r>
    </w:p>
    <w:p>
      <w:pPr>
        <w:numPr>
          <w:ilvl w:val="0"/>
          <w:numId w:val="1012"/>
        </w:numPr>
        <w:pStyle w:val="Compact"/>
      </w:pPr>
      <w:r>
        <w:t xml:space="preserve">Обратимся к файлу через веб-сервер, введя в браузере адрес http://127.0.0.1/test.html. Убедимся, что файл был успешно отображён (рис. 12):</w:t>
      </w:r>
    </w:p>
    <w:p>
      <w:pPr>
        <w:pStyle w:val="CaptionedFigure"/>
      </w:pPr>
      <w:bookmarkStart w:id="47" w:name="fig:012"/>
      <w:r>
        <w:drawing>
          <wp:inline>
            <wp:extent cx="5263563" cy="1659751"/>
            <wp:effectExtent b="0" l="0" r="0" t="0"/>
            <wp:docPr descr="Figure 12: Получение доступа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pic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12: Получение доступа к файлу через браузер</w:t>
      </w:r>
    </w:p>
    <w:p>
      <w:pPr>
        <w:numPr>
          <w:ilvl w:val="0"/>
          <w:numId w:val="1013"/>
        </w:numPr>
        <w:pStyle w:val="Compact"/>
      </w:pPr>
      <w:r>
        <w:t xml:space="preserve">Проверим контекст файла (рис. 13):</w:t>
      </w:r>
    </w:p>
    <w:p>
      <w:pPr>
        <w:pStyle w:val="CaptionedFigure"/>
      </w:pPr>
      <w:bookmarkStart w:id="49" w:name="fig:013"/>
      <w:r>
        <w:drawing>
          <wp:inline>
            <wp:extent cx="4994621" cy="737667"/>
            <wp:effectExtent b="0" l="0" r="0" t="0"/>
            <wp:docPr descr="Figure 13: Проверка контекста файла" title="" id="1" name="Picture"/>
            <a:graphic>
              <a:graphicData uri="http://schemas.openxmlformats.org/drawingml/2006/picture">
                <pic:pic>
                  <pic:nvPicPr>
                    <pic:cNvPr descr="pic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13: Проверка контекста файла</w:t>
      </w:r>
    </w:p>
    <w:p>
      <w:pPr>
        <w:numPr>
          <w:ilvl w:val="0"/>
          <w:numId w:val="1014"/>
        </w:numPr>
        <w:pStyle w:val="Compact"/>
      </w:pPr>
      <w:r>
        <w:t xml:space="preserve">Изменим контекст файла /var/www/html/test.html с httpd_sys_content_t на samba_share_t. После этого проверим, что контекст поменялся (рис. 14):</w:t>
      </w:r>
    </w:p>
    <w:p>
      <w:pPr>
        <w:pStyle w:val="CaptionedFigure"/>
      </w:pPr>
      <w:bookmarkStart w:id="51" w:name="fig:014"/>
      <w:r>
        <w:drawing>
          <wp:inline>
            <wp:extent cx="5334000" cy="550793"/>
            <wp:effectExtent b="0" l="0" r="0" t="0"/>
            <wp:docPr descr="Figure 14: Изменение контекста файла /var/www/html/test.html" title="" id="1" name="Picture"/>
            <a:graphic>
              <a:graphicData uri="http://schemas.openxmlformats.org/drawingml/2006/picture">
                <pic:pic>
                  <pic:nvPicPr>
                    <pic:cNvPr descr="pic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14: Изменение контекста файла /var/www/html/test.html</w:t>
      </w:r>
    </w:p>
    <w:p>
      <w:pPr>
        <w:numPr>
          <w:ilvl w:val="0"/>
          <w:numId w:val="1015"/>
        </w:numPr>
        <w:pStyle w:val="Compact"/>
      </w:pPr>
      <w:r>
        <w:t xml:space="preserve">Попробуем ещё раз получить доступ к файлу через веб-сервер, введя в браузере адрес http://127.0.0.1/test.html. Получим сообщение об ошибке, так как мы ранее изменили контекст файла(рис. 15):</w:t>
      </w:r>
    </w:p>
    <w:p>
      <w:pPr>
        <w:pStyle w:val="CaptionedFigure"/>
      </w:pPr>
      <w:bookmarkStart w:id="53" w:name="fig:015"/>
      <w:r>
        <w:drawing>
          <wp:inline>
            <wp:extent cx="5334000" cy="1870266"/>
            <wp:effectExtent b="0" l="0" r="0" t="0"/>
            <wp:docPr descr="Figure 15: Получение доступа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pic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15: Получение доступа к файлу через браузер</w:t>
      </w:r>
    </w:p>
    <w:p>
      <w:pPr>
        <w:numPr>
          <w:ilvl w:val="0"/>
          <w:numId w:val="1016"/>
        </w:numPr>
        <w:pStyle w:val="Compact"/>
      </w:pPr>
      <w:r>
        <w:t xml:space="preserve">Просмотрим log-файлы веб-сервера Apache. Также просмотрем системный лог-файл (рис. 16):</w:t>
      </w:r>
    </w:p>
    <w:p>
      <w:pPr>
        <w:pStyle w:val="CaptionedFigure"/>
      </w:pPr>
      <w:bookmarkStart w:id="55" w:name="fig:016"/>
      <w:r>
        <w:drawing>
          <wp:inline>
            <wp:extent cx="5334000" cy="2241721"/>
            <wp:effectExtent b="0" l="0" r="0" t="0"/>
            <wp:docPr descr="Figure 16: Просмотр log-файла веб-сервера Apache" title="" id="1" name="Picture"/>
            <a:graphic>
              <a:graphicData uri="http://schemas.openxmlformats.org/drawingml/2006/picture">
                <pic:pic>
                  <pic:nvPicPr>
                    <pic:cNvPr descr="pic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16: Просмотр log-файла веб-сервера Apache</w:t>
      </w:r>
    </w:p>
    <w:p>
      <w:pPr>
        <w:numPr>
          <w:ilvl w:val="0"/>
          <w:numId w:val="1017"/>
        </w:numPr>
        <w:pStyle w:val="Compact"/>
      </w:pPr>
      <w:r>
        <w:t xml:space="preserve">Попробуем запустить веб-сервер Apache на прослушивание ТСР-порта 81 (а не 80, как рекомендует IANA и прописано в /etc/services). Для этого в файле /etc/httpd/httpd.conf найдем строчку Listen 80 и заменим её на Listen 81 (рис. 17):</w:t>
      </w:r>
    </w:p>
    <w:p>
      <w:pPr>
        <w:pStyle w:val="CaptionedFigure"/>
      </w:pPr>
      <w:bookmarkStart w:id="57" w:name="fig:017"/>
      <w:r>
        <w:drawing>
          <wp:inline>
            <wp:extent cx="5334000" cy="4457826"/>
            <wp:effectExtent b="0" l="0" r="0" t="0"/>
            <wp:docPr descr="Figure 17: Изменеие ТСР-порта с 80 на 81" title="" id="1" name="Picture"/>
            <a:graphic>
              <a:graphicData uri="http://schemas.openxmlformats.org/drawingml/2006/picture">
                <pic:pic>
                  <pic:nvPicPr>
                    <pic:cNvPr descr="pic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17: Изменеие ТСР-порта с 80 на 81</w:t>
      </w:r>
    </w:p>
    <w:p>
      <w:pPr>
        <w:numPr>
          <w:ilvl w:val="0"/>
          <w:numId w:val="1018"/>
        </w:numPr>
        <w:pStyle w:val="Compact"/>
      </w:pPr>
      <w:r>
        <w:t xml:space="preserve">Просмотрим файлы /var/log/http/error_log /var/log/http/access_log и /var/log/audit/audit.log (рис. 18):</w:t>
      </w:r>
    </w:p>
    <w:p>
      <w:pPr>
        <w:pStyle w:val="CaptionedFigure"/>
      </w:pPr>
      <w:bookmarkStart w:id="59" w:name="fig:018"/>
      <w:r>
        <w:drawing>
          <wp:inline>
            <wp:extent cx="5334000" cy="3264089"/>
            <wp:effectExtent b="0" l="0" r="0" t="0"/>
            <wp:docPr descr="Figure 18: Анализ и просмотр лог-файлов" title="" id="1" name="Picture"/>
            <a:graphic>
              <a:graphicData uri="http://schemas.openxmlformats.org/drawingml/2006/picture">
                <pic:pic>
                  <pic:nvPicPr>
                    <pic:cNvPr descr="pic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4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18: Анализ и просмотр лог-файлов</w:t>
      </w:r>
    </w:p>
    <w:p>
      <w:pPr>
        <w:numPr>
          <w:ilvl w:val="0"/>
          <w:numId w:val="1019"/>
        </w:numPr>
        <w:pStyle w:val="Compact"/>
      </w:pPr>
      <w:r>
        <w:t xml:space="preserve">Выполним команду semanage port -a -t http_port_t -р tcp 81. После этого проверим список портов. Убедимся, что порт 81 появился в списке (рис. 19):</w:t>
      </w:r>
    </w:p>
    <w:p>
      <w:pPr>
        <w:pStyle w:val="CaptionedFigure"/>
      </w:pPr>
      <w:bookmarkStart w:id="61" w:name="fig:019"/>
      <w:r>
        <w:drawing>
          <wp:inline>
            <wp:extent cx="5334000" cy="1210605"/>
            <wp:effectExtent b="0" l="0" r="0" t="0"/>
            <wp:docPr descr="Figure 19: Выполнение и проверка списка портов" title="" id="1" name="Picture"/>
            <a:graphic>
              <a:graphicData uri="http://schemas.openxmlformats.org/drawingml/2006/picture">
                <pic:pic>
                  <pic:nvPicPr>
                    <pic:cNvPr descr="pic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19: Выполнение и проверка списка портов</w:t>
      </w:r>
    </w:p>
    <w:p>
      <w:pPr>
        <w:numPr>
          <w:ilvl w:val="0"/>
          <w:numId w:val="1020"/>
        </w:numPr>
        <w:pStyle w:val="Compact"/>
      </w:pPr>
      <w:r>
        <w:t xml:space="preserve">Вернем контекст httpd_sys_cоntent__t к файлу /var/www/html/test.html (рис. 20):</w:t>
      </w:r>
    </w:p>
    <w:p>
      <w:pPr>
        <w:pStyle w:val="CaptionedFigure"/>
      </w:pPr>
      <w:bookmarkStart w:id="63" w:name="fig:020"/>
      <w:r>
        <w:drawing>
          <wp:inline>
            <wp:extent cx="5334000" cy="673997"/>
            <wp:effectExtent b="0" l="0" r="0" t="0"/>
            <wp:docPr descr="Figure 20: Возвращение контекста" title="" id="1" name="Picture"/>
            <a:graphic>
              <a:graphicData uri="http://schemas.openxmlformats.org/drawingml/2006/picture">
                <pic:pic>
                  <pic:nvPicPr>
                    <pic:cNvPr descr="pics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20: Возвращение контекста</w:t>
      </w:r>
    </w:p>
    <w:p>
      <w:pPr>
        <w:numPr>
          <w:ilvl w:val="0"/>
          <w:numId w:val="1021"/>
        </w:numPr>
        <w:pStyle w:val="Compact"/>
      </w:pPr>
      <w:r>
        <w:t xml:space="preserve">Попробуем получить доступ к файлу через веб-сервер, введя в браузере адрес http://127.0.0.1:81/test.html. Снова увидим содержимое файла — слово «test» (рис. 21):</w:t>
      </w:r>
    </w:p>
    <w:p>
      <w:pPr>
        <w:pStyle w:val="CaptionedFigure"/>
      </w:pPr>
      <w:bookmarkStart w:id="65" w:name="fig:021"/>
      <w:r>
        <w:drawing>
          <wp:inline>
            <wp:extent cx="5048410" cy="1713539"/>
            <wp:effectExtent b="0" l="0" r="0" t="0"/>
            <wp:docPr descr="Figure 21: Получение доступа к файлу через браузер" title="" id="1" name="Picture"/>
            <a:graphic>
              <a:graphicData uri="http://schemas.openxmlformats.org/drawingml/2006/picture">
                <pic:pic>
                  <pic:nvPicPr>
                    <pic:cNvPr descr="pics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171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21: Получение доступа к файлу через браузер</w:t>
      </w:r>
    </w:p>
    <w:p>
      <w:pPr>
        <w:numPr>
          <w:ilvl w:val="0"/>
          <w:numId w:val="1022"/>
        </w:numPr>
        <w:pStyle w:val="Compact"/>
      </w:pPr>
      <w:r>
        <w:t xml:space="preserve">Исправим обратно конфигурационный файл apache, вернув Listen80 (рис. 22):</w:t>
      </w:r>
    </w:p>
    <w:p>
      <w:pPr>
        <w:pStyle w:val="CaptionedFigure"/>
      </w:pPr>
      <w:bookmarkStart w:id="67" w:name="fig:022"/>
      <w:r>
        <w:drawing>
          <wp:inline>
            <wp:extent cx="5334000" cy="1055156"/>
            <wp:effectExtent b="0" l="0" r="0" t="0"/>
            <wp:docPr descr="Figure 22: Исправленный файл apache" title="" id="1" name="Picture"/>
            <a:graphic>
              <a:graphicData uri="http://schemas.openxmlformats.org/drawingml/2006/picture">
                <pic:pic>
                  <pic:nvPicPr>
                    <pic:cNvPr descr="pics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22: Исправленный файл apache</w:t>
      </w:r>
    </w:p>
    <w:p>
      <w:pPr>
        <w:numPr>
          <w:ilvl w:val="0"/>
          <w:numId w:val="1023"/>
        </w:numPr>
        <w:pStyle w:val="Compact"/>
      </w:pPr>
      <w:r>
        <w:t xml:space="preserve">Удалим привязку http_port_t к 81 порту и удалим файл /var/www/html/test.html (рис. 23):</w:t>
      </w:r>
    </w:p>
    <w:p>
      <w:pPr>
        <w:pStyle w:val="CaptionedFigure"/>
      </w:pPr>
      <w:bookmarkStart w:id="69" w:name="fig:023"/>
      <w:r>
        <w:drawing>
          <wp:inline>
            <wp:extent cx="5334000" cy="4421293"/>
            <wp:effectExtent b="0" l="0" r="0" t="0"/>
            <wp:docPr descr="Figure 23: Удаление привязки к 81 порту и удаление файла" title="" id="1" name="Picture"/>
            <a:graphic>
              <a:graphicData uri="http://schemas.openxmlformats.org/drawingml/2006/picture">
                <pic:pic>
                  <pic:nvPicPr>
                    <pic:cNvPr descr="pics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23: Удаление привязки к 81 порту и удаление файла</w:t>
      </w:r>
    </w:p>
    <w:bookmarkEnd w:id="70"/>
    <w:bookmarkStart w:id="7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работы, мы развили навыки администрирования ОС Linux, получили первое практическое знакомство с технологией SELinux и проверили работу SELinx на практике совместно с веб-сервером Apache.</w:t>
      </w:r>
    </w:p>
    <w:bookmarkEnd w:id="71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</w:pPr>
      <w:hyperlink r:id="rId72">
        <w:r>
          <w:rPr>
            <w:rStyle w:val="Hyperlink"/>
          </w:rPr>
          <w:t xml:space="preserve">Методические материалы к лабораторной работе, представленные на сайте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ТУИС РУДН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24"/>
        </w:numPr>
      </w:pPr>
      <w:hyperlink r:id="rId73">
        <w:r>
          <w:rPr>
            <w:rStyle w:val="Hyperlink"/>
          </w:rPr>
          <w:t xml:space="preserve">Wikipedia. Apache HTTP Server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Wikipedia. Apache HTTP Server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Методические материалы к лабораторной работе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cebfcc7d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7cc89fe4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fd23932f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bcc5f24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ea63e02b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c9be6b2a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66" Target="media/rId6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72" Target="https://esystem.rudn.ru/" TargetMode="External" /><Relationship Type="http://schemas.openxmlformats.org/officeDocument/2006/relationships/hyperlink" Id="rId73" Target="https://ru.wikipedia.org/wiki/Apache_HTTP_Serv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esystem.rudn.ru/" TargetMode="External" /><Relationship Type="http://schemas.openxmlformats.org/officeDocument/2006/relationships/hyperlink" Id="rId73" Target="https://ru.wikipedia.org/wiki/Apache_HTTP_Ser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Смородова Дарья Владимировна</dc:creator>
  <dc:language>ru-RU</dc:language>
  <cp:keywords/>
  <dcterms:created xsi:type="dcterms:W3CDTF">2022-10-15T20:02:59Z</dcterms:created>
  <dcterms:modified xsi:type="dcterms:W3CDTF">2022-10-15T20:02:59Z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2022 Oct 15th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group">
    <vt:lpwstr>NFIbd-01-19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institute">
    <vt:lpwstr>RUDN University, Moscow, Russian Federation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Мандатное разграничение прав в Linux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