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Смородова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Владимировна</w:t>
      </w:r>
    </w:p>
    <w:p>
      <w:pPr>
        <w:pStyle w:val="Date"/>
      </w:pPr>
      <w:r>
        <w:t xml:space="preserve">2022</w:t>
      </w:r>
      <w:r>
        <w:t xml:space="preserve"> </w:t>
      </w:r>
      <w:r>
        <w:t xml:space="preserve">Oct</w:t>
      </w:r>
      <w:r>
        <w:t xml:space="preserve"> </w:t>
      </w:r>
      <w:r>
        <w:t xml:space="preserve">21st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1" w:name="задание-лаборатоной-работы"/>
    <w:p>
      <w:pPr>
        <w:pStyle w:val="Heading1"/>
      </w:pPr>
      <w:r>
        <w:t xml:space="preserve">Задание лаборатоной работы</w:t>
      </w:r>
    </w:p>
    <w:p>
      <w:pPr>
        <w:pStyle w:val="FirstParagraph"/>
      </w:pPr>
      <w:r>
        <w:t xml:space="preserve">Нужно подобрать ключ, чтобы получить сообщение «С Новым Годом,</w:t>
      </w:r>
      <w:r>
        <w:t xml:space="preserve"> </w:t>
      </w:r>
      <w:r>
        <w:t xml:space="preserve">друзья!». Требуется разработать приложение, позволяющее шифровать и</w:t>
      </w:r>
      <w:r>
        <w:t xml:space="preserve"> </w:t>
      </w:r>
      <w:r>
        <w:t xml:space="preserve">дешифровать данные в режиме однократного гаммирования. Приложение</w:t>
      </w:r>
      <w:r>
        <w:t xml:space="preserve"> </w:t>
      </w:r>
      <w:r>
        <w:t xml:space="preserve">должно:</w:t>
      </w:r>
    </w:p>
    <w:p>
      <w:pPr>
        <w:numPr>
          <w:ilvl w:val="0"/>
          <w:numId w:val="1001"/>
        </w:numPr>
      </w:pPr>
      <w:r>
        <w:t xml:space="preserve">Определить вид шифротекста при известном ключе и известном открытом тексте.</w:t>
      </w:r>
    </w:p>
    <w:p>
      <w:pPr>
        <w:numPr>
          <w:ilvl w:val="0"/>
          <w:numId w:val="1001"/>
        </w:numPr>
      </w:pPr>
      <w:r>
        <w:t xml:space="preserve">Определить ключ, с помощью которого шифротекст может быть преобразован в некоторый фрагмент текста, представляющий собой один из</w:t>
      </w:r>
      <w:r>
        <w:t xml:space="preserve"> </w:t>
      </w:r>
      <w:r>
        <w:t xml:space="preserve">возможных вариантов прочтения открытого текста.</w:t>
      </w:r>
    </w:p>
    <w:bookmarkEnd w:id="21"/>
    <w:bookmarkStart w:id="23" w:name="теоретическое-введение1"/>
    <w:p>
      <w:pPr>
        <w:pStyle w:val="Heading1"/>
      </w:pPr>
      <w:r>
        <w:t xml:space="preserve">Теоретическое введение</w:t>
      </w:r>
      <w:r>
        <w:rPr>
          <w:rStyle w:val="FootnoteReference"/>
        </w:rPr>
        <w:footnoteReference w:id="22"/>
      </w:r>
    </w:p>
    <w:p>
      <w:pPr>
        <w:pStyle w:val="BodyText"/>
      </w:pPr>
      <w:r>
        <w:t xml:space="preserve">Гаммирование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 гаммы — это сложение её элементов с элементами открытого (закрытого)текста по некоторому фиксированному модулю, значение которого представляет собой известную часть алгоритма шифрования.</w:t>
      </w:r>
    </w:p>
    <w:p>
      <w:pPr>
        <w:pStyle w:val="BodyText"/>
      </w:pPr>
      <w: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тексте.</w:t>
      </w:r>
    </w:p>
    <w:p>
      <w:pPr>
        <w:pStyle w:val="BodyText"/>
      </w:pPr>
      <w:r>
        <w:t xml:space="preserve">Наложение гаммы по сути представляет собой выполнение операции сложения по модулю 2 (XOR) (обозначаемая знаком</w:t>
      </w:r>
      <w:r>
        <w:t xml:space="preserve"> </w:t>
      </w:r>
      <m:oMath>
        <m:r>
          <m:rPr>
            <m:sty m:val="p"/>
          </m:rPr>
          <m:t>⊕</m:t>
        </m:r>
      </m:oMath>
      <w:r>
        <w:t xml:space="preserve">) между элементами гаммы и элементами подлежащего сокрытию текста. Напомним, как работает операция XOR над битами:</w:t>
      </w:r>
      <w:r>
        <w:t xml:space="preserve"> </w:t>
      </w:r>
      <m:oMath>
        <m:r>
          <m:t>0</m:t>
        </m:r>
        <m:r>
          <m:rPr>
            <m:sty m:val="p"/>
          </m:rPr>
          <m:t>⊕</m:t>
        </m:r>
        <m:r>
          <m:t>0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⊕</m:t>
        </m:r>
        <m:r>
          <m:t>1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⊕</m:t>
        </m:r>
        <m:r>
          <m:t>0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⊕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Такой метод шифрования является симметричным, так как двойное прибавление одной и той же величины по модулю 2 восстанавливает исходное значение, а шифрование и расшифрование выполняется одной и той же программой.</w:t>
      </w:r>
      <w:r>
        <w:t xml:space="preserve"> </w:t>
      </w:r>
      <w:r>
        <w:t xml:space="preserve">Если известны ключ и открытый текст, то задача нахождения шифротекста заключается в применении к каждому символу открытого текста следующего правила: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—</w:t>
      </w:r>
      <w:r>
        <w:t xml:space="preserve"> </w:t>
      </w:r>
      <m:oMath>
        <m:r>
          <m:t>i</m:t>
        </m:r>
      </m:oMath>
      <w:r>
        <w:t xml:space="preserve">-й символ получившегося зашифрованного послания,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—</w:t>
      </w:r>
      <w:r>
        <w:t xml:space="preserve"> </w:t>
      </w:r>
      <m:oMath>
        <m:r>
          <m:t>i</m:t>
        </m:r>
      </m:oMath>
      <w:r>
        <w:t xml:space="preserve">-й символ открытого текста,</w:t>
      </w:r>
      <w:r>
        <w:t xml:space="preserve"> </w:t>
      </w:r>
      <m:oMath>
        <m:sSub>
          <m:e>
            <m:r>
              <m:t>K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—</w:t>
      </w:r>
      <w:r>
        <w:t xml:space="preserve"> </w:t>
      </w:r>
      <m:oMath>
        <m:r>
          <m:t>i</m:t>
        </m:r>
      </m:oMath>
      <w:r>
        <w:t xml:space="preserve">-й символ ключа. Размерности открытого текста и ключа должны совпадать, и полученный шифротекст будет такой же длины.</w:t>
      </w:r>
    </w:p>
    <w:p>
      <w:pPr>
        <w:pStyle w:val="BodyText"/>
      </w:pPr>
      <w:r>
        <w:t xml:space="preserve">Если известны шифротекст и открытый текст, то задача нахождения</w:t>
      </w:r>
      <w:r>
        <w:t xml:space="preserve"> </w:t>
      </w:r>
      <w:r>
        <w:t xml:space="preserve">ключа решается также, а именно, обе части равенства необходимо сложить по модулю 2 с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Открытый текст имеет символьный вид, а ключ — шестнадцатеричное представление. Ключ также можно представить в символьном виде, воспользовавшись таблицей ASCII-кодов.</w:t>
      </w:r>
    </w:p>
    <w:p>
      <w:pPr>
        <w:pStyle w:val="BodyText"/>
      </w:pPr>
      <w:r>
        <w:t xml:space="preserve">К. Шеннон доказал абсолютную стойкость шифра в случае, когда однократно используемый ключ, длиной, равной длине исходного сообщения, является фрагментом истинно случайной двоичной последовательности с равномерным законом распределения. Криптоалгоритм не даёт никакой информации об открытом тексте: при известном зашифрованном сообщении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все различные ключевые последовательности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возможны и равновероятны, а значит, возможны и любые сообщения</w:t>
      </w:r>
      <w:r>
        <w:t xml:space="preserve"> </w:t>
      </w:r>
      <m:oMath>
        <m:r>
          <m:t>P</m:t>
        </m:r>
      </m:oMath>
      <w:r>
        <w:t xml:space="preserve">.</w:t>
      </w:r>
    </w:p>
    <w:p>
      <w:pPr>
        <w:pStyle w:val="BodyText"/>
      </w:pPr>
      <w:r>
        <w:t xml:space="preserve">Необходимые и достаточные условия абсолютной стойкости шифра:</w:t>
      </w:r>
    </w:p>
    <w:p>
      <w:pPr>
        <w:pStyle w:val="SourceCode"/>
      </w:pPr>
      <w:r>
        <w:rPr>
          <w:rStyle w:val="VerbatimChar"/>
        </w:rPr>
        <w:t xml:space="preserve">- полная случайность ключа;</w:t>
      </w:r>
      <w:r>
        <w:br/>
      </w:r>
      <w:r>
        <w:br/>
      </w:r>
      <w:r>
        <w:rPr>
          <w:rStyle w:val="VerbatimChar"/>
        </w:rPr>
        <w:t xml:space="preserve">- равенство длин ключа и открытого текста;</w:t>
      </w:r>
      <w:r>
        <w:br/>
      </w:r>
      <w:r>
        <w:br/>
      </w:r>
      <w:r>
        <w:rPr>
          <w:rStyle w:val="VerbatimChar"/>
        </w:rPr>
        <w:t xml:space="preserve">- однократное использование ключа.</w:t>
      </w:r>
    </w:p>
    <w:bookmarkEnd w:id="23"/>
    <w:bookmarkStart w:id="3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Напишем на Python функцию шифрования, которая определяет вид шифротекста при известном ключе и известном открытом тексте</w:t>
      </w:r>
      <w:r>
        <w:t xml:space="preserve"> </w:t>
      </w:r>
      <w:r>
        <w:t xml:space="preserve">“</w:t>
      </w:r>
      <w:r>
        <w:t xml:space="preserve">С Новым Годом, друзья!</w:t>
      </w:r>
      <w:r>
        <w:t xml:space="preserve">”</w:t>
      </w:r>
      <w:r>
        <w:t xml:space="preserve"> </w:t>
      </w:r>
      <w:r>
        <w:t xml:space="preserve">(рис. 1):</w:t>
      </w:r>
    </w:p>
    <w:p>
      <w:pPr>
        <w:pStyle w:val="CaptionedFigure"/>
      </w:pPr>
      <w:bookmarkStart w:id="25" w:name="fig:001"/>
      <w:r>
        <w:drawing>
          <wp:inline>
            <wp:extent cx="5334000" cy="1706450"/>
            <wp:effectExtent b="0" l="0" r="0" t="0"/>
            <wp:docPr descr="Figure 1: Функция шифрования данных" title="" id="1" name="Picture"/>
            <a:graphic>
              <a:graphicData uri="http://schemas.openxmlformats.org/drawingml/2006/picture">
                <pic:pic>
                  <pic:nvPicPr>
                    <pic:cNvPr descr="pic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6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Функция шифрования данных</w:t>
      </w:r>
    </w:p>
    <w:p>
      <w:pPr>
        <w:numPr>
          <w:ilvl w:val="0"/>
          <w:numId w:val="1003"/>
        </w:numPr>
        <w:pStyle w:val="Compact"/>
      </w:pPr>
      <w:r>
        <w:t xml:space="preserve">Посмотрим работу данной функции (рис. 2):</w:t>
      </w:r>
    </w:p>
    <w:p>
      <w:pPr>
        <w:pStyle w:val="CaptionedFigure"/>
      </w:pPr>
      <w:bookmarkStart w:id="27" w:name="fig:002"/>
      <w:r>
        <w:drawing>
          <wp:inline>
            <wp:extent cx="5334000" cy="719070"/>
            <wp:effectExtent b="0" l="0" r="0" t="0"/>
            <wp:docPr descr="Figure 2: Результат работы функции, шифрующей данные" title="" id="1" name="Picture"/>
            <a:graphic>
              <a:graphicData uri="http://schemas.openxmlformats.org/drawingml/2006/picture">
                <pic:pic>
                  <pic:nvPicPr>
                    <pic:cNvPr descr="pic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9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2: Результат работы функции, шифрующей данные</w:t>
      </w:r>
    </w:p>
    <w:p>
      <w:pPr>
        <w:numPr>
          <w:ilvl w:val="0"/>
          <w:numId w:val="1004"/>
        </w:numPr>
        <w:pStyle w:val="Compact"/>
      </w:pPr>
      <w:r>
        <w:t xml:space="preserve">Напишем функцию дешифровки, которая определяет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 (рис. 3):</w:t>
      </w:r>
    </w:p>
    <w:p>
      <w:pPr>
        <w:pStyle w:val="CaptionedFigure"/>
      </w:pPr>
      <w:bookmarkStart w:id="29" w:name="fig:003"/>
      <w:r>
        <w:drawing>
          <wp:inline>
            <wp:extent cx="5334000" cy="1384478"/>
            <wp:effectExtent b="0" l="0" r="0" t="0"/>
            <wp:docPr descr="Figure 3: Функция, дешифрующая данные" title="" id="1" name="Picture"/>
            <a:graphic>
              <a:graphicData uri="http://schemas.openxmlformats.org/drawingml/2006/picture">
                <pic:pic>
                  <pic:nvPicPr>
                    <pic:cNvPr descr="pic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4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3: Функция, дешифрующая данные</w:t>
      </w:r>
    </w:p>
    <w:p>
      <w:pPr>
        <w:numPr>
          <w:ilvl w:val="0"/>
          <w:numId w:val="1005"/>
        </w:numPr>
        <w:pStyle w:val="Compact"/>
      </w:pPr>
      <w:r>
        <w:t xml:space="preserve">Посмторим на результаты функции дешифрования(рис. 4):</w:t>
      </w:r>
    </w:p>
    <w:p>
      <w:pPr>
        <w:pStyle w:val="CaptionedFigure"/>
      </w:pPr>
      <w:bookmarkStart w:id="31" w:name="fig:004"/>
      <w:r>
        <w:drawing>
          <wp:inline>
            <wp:extent cx="5334000" cy="1505693"/>
            <wp:effectExtent b="0" l="0" r="0" t="0"/>
            <wp:docPr descr="Figure 4: Результат работы функции, дешифрующей данные" title="" id="1" name="Picture"/>
            <a:graphic>
              <a:graphicData uri="http://schemas.openxmlformats.org/drawingml/2006/picture">
                <pic:pic>
                  <pic:nvPicPr>
                    <pic:cNvPr descr="pic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5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4: Результат работы функции, дешифрующей данные</w:t>
      </w:r>
    </w:p>
    <w:p>
      <w:pPr>
        <w:pStyle w:val="BodyText"/>
      </w:pPr>
      <w:r>
        <w:t xml:space="preserve">5.Сравним ключей, полученные с помощью первой и второй функций (рис. 5):</w:t>
      </w:r>
    </w:p>
    <w:p>
      <w:pPr>
        <w:pStyle w:val="CaptionedFigure"/>
      </w:pPr>
      <w:bookmarkStart w:id="33" w:name="fig:005"/>
      <w:r>
        <w:drawing>
          <wp:inline>
            <wp:extent cx="5334000" cy="676140"/>
            <wp:effectExtent b="0" l="0" r="0" t="0"/>
            <wp:docPr descr="Figure 5: Сравнение ключей" title="" id="1" name="Picture"/>
            <a:graphic>
              <a:graphicData uri="http://schemas.openxmlformats.org/drawingml/2006/picture">
                <pic:pic>
                  <pic:nvPicPr>
                    <pic:cNvPr descr="pic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6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5: Сравнение ключей</w:t>
      </w:r>
    </w:p>
    <w:p>
      <w:pPr>
        <w:pStyle w:val="BodyText"/>
      </w:pPr>
      <w:r>
        <w:t xml:space="preserve">Ключи совпали, программа работает верно.</w:t>
      </w:r>
    </w:p>
    <w:bookmarkEnd w:id="34"/>
    <w:bookmarkStart w:id="35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Поясните смысл однократного гаммирования.</w:t>
      </w:r>
      <w:r>
        <w:br/>
      </w:r>
      <w:r>
        <w:t xml:space="preserve">Одократное гаммирование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 гаммы — это сложение её элементов с элементами открытого (закрытого)текста по некоторому фиксированному модулю, значение которого представляет собой известную часть алгоритма шифрования.</w:t>
      </w:r>
    </w:p>
    <w:p>
      <w:pPr>
        <w:numPr>
          <w:ilvl w:val="0"/>
          <w:numId w:val="1006"/>
        </w:numPr>
      </w:pPr>
      <w:r>
        <w:t xml:space="preserve">Перечислите недостатки однократного гаммирования.</w:t>
      </w:r>
      <w:r>
        <w:br/>
      </w:r>
      <w:r>
        <w:t xml:space="preserve">Недостатки однократного гаммирования: Абсолютная стойкость шифра доказана только для случая, когда однократно используемый ключ, длиной, равной длине исходного сообщения, является фрагментом истинно случайной двоичной последовательности с равномерным законом распределения.</w:t>
      </w:r>
    </w:p>
    <w:p>
      <w:pPr>
        <w:numPr>
          <w:ilvl w:val="0"/>
          <w:numId w:val="1006"/>
        </w:numPr>
      </w:pPr>
      <w:r>
        <w:t xml:space="preserve">Перечислите преимущества однократного гаммирования.</w:t>
      </w:r>
      <w:r>
        <w:br/>
      </w:r>
      <w:r>
        <w:t xml:space="preserve">Преимущества однократного гаммирования: во-первых, такой способ симметричен, т.е. двойное прибавление одной и той же величины по модулю 2 восстанавливает исходное значение; во-вторых, шифрование и расшифрование может быть выполнено одной и той же программой. Наконец, Криптоалгоритм не даёт никакой информации об открытом тексте: при известном зашифрованном сообщении C все различные ключевые последовательности K возможны и равновероятны, а значит, возможны и любые сообщения P.</w:t>
      </w:r>
    </w:p>
    <w:p>
      <w:pPr>
        <w:numPr>
          <w:ilvl w:val="0"/>
          <w:numId w:val="1006"/>
        </w:numPr>
      </w:pPr>
      <w:r>
        <w:t xml:space="preserve">Почему длина открытого текста должна совпадать с длиной ключа?</w:t>
      </w:r>
      <w:r>
        <w:br/>
      </w:r>
      <w:r>
        <w:t xml:space="preserve">Длина открытого текста должна совпадать с длиной ключа, т.к. если ключ короче текста, то операция XOR будет применена не ко всем элементам и конец сообщения будет не закодирован, а если ключ будет длиннее, то появится неоднозначность декодирования.</w:t>
      </w:r>
    </w:p>
    <w:p>
      <w:pPr>
        <w:numPr>
          <w:ilvl w:val="0"/>
          <w:numId w:val="1006"/>
        </w:numPr>
      </w:pPr>
      <w:r>
        <w:t xml:space="preserve">Какая операция используется в режиме однократного гаммирования, назовите её особенности?</w:t>
      </w:r>
      <w:r>
        <w:br/>
      </w:r>
      <w:r>
        <w:t xml:space="preserve">Операция XOR используется в режиме однократного гаммирования. Наложение гаммы по сути представляет собой выполнение побитовой операции сложения по модулю 2, т.е. мы должны сложить каждый элемент гаммы с соответствующим элементом ключа. Данная операция является симметричной, так как прибавление одной и той же величины по модулю 2 восстанавливает исходное значение.</w:t>
      </w:r>
    </w:p>
    <w:p>
      <w:pPr>
        <w:numPr>
          <w:ilvl w:val="0"/>
          <w:numId w:val="1006"/>
        </w:numPr>
      </w:pPr>
      <w:r>
        <w:t xml:space="preserve">Как по открытому тексту и ключу получить шифротекст?</w:t>
      </w:r>
      <w:r>
        <w:br/>
      </w:r>
      <w:r>
        <w:t xml:space="preserve">Получение шифротекста по открытому тексту и ключу:</w:t>
      </w:r>
    </w:p>
    <w:p>
      <w:pPr>
        <w:numPr>
          <w:ilvl w:val="0"/>
          <w:numId w:val="1000"/>
        </w:numPr>
      </w:pPr>
      <m:oMath>
        <m:sSub>
          <m:e>
            <m:r>
              <m:t>C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⊕</m:t>
        </m:r>
        <m:sSub>
          <m:e>
            <m:r>
              <m:t>K</m:t>
            </m:r>
          </m:e>
          <m:sub>
            <m:r>
              <m:t>i</m:t>
            </m:r>
          </m:sub>
        </m:sSub>
      </m:oMath>
    </w:p>
    <w:p>
      <w:pPr>
        <w:numPr>
          <w:ilvl w:val="0"/>
          <w:numId w:val="1006"/>
        </w:numPr>
      </w:pPr>
      <w:r>
        <w:t xml:space="preserve">Как по открытому тексту и шифротексту получить ключ?</w:t>
      </w:r>
      <w:r>
        <w:br/>
      </w:r>
      <w:r>
        <w:t xml:space="preserve">Получение ключа по окрытому тексту и шифротексту: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</m:oMath>
      </m:oMathPara>
    </w:p>
    <w:p>
      <w:pPr>
        <w:numPr>
          <w:ilvl w:val="0"/>
          <w:numId w:val="1007"/>
        </w:numPr>
        <w:pStyle w:val="Compact"/>
      </w:pPr>
      <w:r>
        <w:t xml:space="preserve">В чем заключаются необходимые и достаточные условия абсолютной стойкости шифра?</w:t>
      </w:r>
      <w:r>
        <w:br/>
      </w:r>
      <w:r>
        <w:t xml:space="preserve">Необходимы и достаточные условия абсолютной стойкости шифра: полная случайность ключа; равенство длин ключа и открытого текста; однократное использование ключа.</w:t>
      </w:r>
    </w:p>
    <w:bookmarkEnd w:id="35"/>
    <w:bookmarkStart w:id="3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работы, мы освоили на практике применение режима однократного гаммирования.</w:t>
      </w:r>
    </w:p>
    <w:bookmarkEnd w:id="36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hyperlink r:id="rId37">
        <w:r>
          <w:rPr>
            <w:rStyle w:val="Hyperlink"/>
          </w:rPr>
          <w:t xml:space="preserve">Методические материалы к лабораторной работе, представленные на сайте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ТУИС РУДН</w:t>
        </w:r>
        <w:r>
          <w:rPr>
            <w:rStyle w:val="Hyperlink"/>
          </w:rPr>
          <w:t xml:space="preserve">”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Методические материалы к лабораторной работе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37" Target="https://esystem.rudn.r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esystem.rudn.r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Смородова Дарья Владимировна</dc:creator>
  <dc:language>ru-RU</dc:language>
  <cp:keywords/>
  <dcterms:created xsi:type="dcterms:W3CDTF">2022-10-21T20:38:40Z</dcterms:created>
  <dcterms:modified xsi:type="dcterms:W3CDTF">2022-10-21T20:38:40Z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ate">
    <vt:lpwstr>2022 Oct 21st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group">
    <vt:lpwstr>NFIbd-01-19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institute">
    <vt:lpwstr>RUDN University, Moscow, Russian Federation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Listing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List of Figures</vt:lpwstr>
  </property>
  <property fmtid="{D5CDD505-2E9C-101B-9397-08002B2CF9AE}" pid="41" name="lolTitle">
    <vt:lpwstr>List of Listings</vt:lpwstr>
  </property>
  <property fmtid="{D5CDD505-2E9C-101B-9397-08002B2CF9AE}" pid="42" name="lot">
    <vt:lpwstr>True</vt:lpwstr>
  </property>
  <property fmtid="{D5CDD505-2E9C-101B-9397-08002B2CF9AE}" pid="43" name="lotTitle">
    <vt:lpwstr>List of Tables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Элементы криптографии. Однократное гаммирование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