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№6.</w:t>
      </w:r>
      <w:r>
        <w:t xml:space="preserve"> </w:t>
      </w:r>
      <w:r>
        <w:t xml:space="preserve">Задача</w:t>
      </w:r>
      <w:r>
        <w:t xml:space="preserve"> </w:t>
      </w:r>
      <w:r>
        <w:t xml:space="preserve">об</w:t>
      </w:r>
      <w:r>
        <w:t xml:space="preserve"> </w:t>
      </w:r>
      <w:r>
        <w:t xml:space="preserve">эпидемии</w:t>
      </w:r>
    </w:p>
    <w:p>
      <w:pPr>
        <w:pStyle w:val="Subtitle"/>
      </w:pPr>
      <w:r>
        <w:t xml:space="preserve">Вариант</w:t>
      </w:r>
      <w:r>
        <w:t xml:space="preserve"> </w:t>
      </w:r>
      <w:r>
        <w:t xml:space="preserve">28</w:t>
      </w:r>
    </w:p>
    <w:p>
      <w:pPr>
        <w:pStyle w:val="Author"/>
      </w:pPr>
      <w:r>
        <w:t xml:space="preserve">Смородова</w:t>
      </w:r>
      <w:r>
        <w:t xml:space="preserve"> </w:t>
      </w:r>
      <w:r>
        <w:t xml:space="preserve">Дарья</w:t>
      </w:r>
      <w:r>
        <w:t xml:space="preserve"> </w:t>
      </w:r>
      <w:r>
        <w:t xml:space="preserve">Владимировна</w:t>
      </w:r>
    </w:p>
    <w:p>
      <w:pPr>
        <w:pStyle w:val="Date"/>
      </w:pPr>
      <w:r>
        <w:t xml:space="preserve">2022</w:t>
      </w:r>
      <w:r>
        <w:t xml:space="preserve"> </w:t>
      </w:r>
      <w:r>
        <w:t xml:space="preserve">March</w:t>
      </w:r>
      <w:r>
        <w:t xml:space="preserve"> </w:t>
      </w:r>
      <w:r>
        <w:t xml:space="preserve">19th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изучение простейшей модели эпидемии и построение графиков изменения числа особей в трех группах:</w:t>
      </w:r>
    </w:p>
    <w:p>
      <w:pPr>
        <w:numPr>
          <w:ilvl w:val="0"/>
          <w:numId w:val="1001"/>
        </w:numPr>
      </w:pPr>
      <w:r>
        <w:t xml:space="preserve">заболевшие люди, являющиеся распространителями инфекции;</w:t>
      </w:r>
    </w:p>
    <w:p>
      <w:pPr>
        <w:numPr>
          <w:ilvl w:val="0"/>
          <w:numId w:val="1001"/>
        </w:numPr>
      </w:pPr>
      <w:r>
        <w:t xml:space="preserve">здоровые люди с имунитетом к болезни;</w:t>
      </w:r>
    </w:p>
    <w:p>
      <w:pPr>
        <w:numPr>
          <w:ilvl w:val="0"/>
          <w:numId w:val="1001"/>
        </w:numPr>
      </w:pPr>
      <w:r>
        <w:t xml:space="preserve">восприимчивые к болезни, но пока здоровые люди.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На одном острове вспыхнула эпидемия. Известно, что из всех проживающих</w:t>
      </w:r>
      <w:r>
        <w:t xml:space="preserve"> </w:t>
      </w:r>
      <w:r>
        <w:t xml:space="preserve">на острове (</w:t>
      </w:r>
      <m:oMath>
        <m:r>
          <m:t>N</m:t>
        </m:r>
        <m:r>
          <m:rPr>
            <m:sty m:val="p"/>
          </m:rPr>
          <m:t>=</m:t>
        </m:r>
        <m:r>
          <m:t>11</m:t>
        </m:r>
        <m:r>
          <m:t>400</m:t>
        </m:r>
      </m:oMath>
      <w:r>
        <w:t xml:space="preserve">) в момент начала эпидемии (</w:t>
      </w:r>
      <m:oMath>
        <m:r>
          <m:t>t</m:t>
        </m:r>
        <m:r>
          <m:rPr>
            <m:sty m:val="p"/>
          </m:rPr>
          <m:t>=</m:t>
        </m:r>
        <m:r>
          <m:t>0</m:t>
        </m:r>
      </m:oMath>
      <w:r>
        <w:t xml:space="preserve">) число заболевших людей (являющихся распространителями инфекции)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250</m:t>
        </m:r>
      </m:oMath>
      <w:r>
        <w:t xml:space="preserve">, А число здоровых людей с иммунитетом к болезни</w:t>
      </w:r>
      <w:r>
        <w:t xml:space="preserve"> </w:t>
      </w:r>
      <m:oMath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47</m:t>
        </m:r>
      </m:oMath>
      <w:r>
        <w:t xml:space="preserve">. Таким образом, число людей восприимчивых к болезни, но пока здоровых, в начальный момент времени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=</m:t>
        </m:r>
        <m:r>
          <m:t>N</m:t>
        </m:r>
        <m:r>
          <m:rPr>
            <m:sty m:val="p"/>
          </m:rPr>
          <m:t>−</m:t>
        </m:r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−</m:t>
        </m:r>
        <m:r>
          <m:t>R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</m:oMath>
      <w:r>
        <w:t xml:space="preserve">.</w:t>
      </w:r>
      <w:r>
        <w:t xml:space="preserve"> </w:t>
      </w:r>
      <w:r>
        <w:t xml:space="preserve">Постройте графики изменения числа особей в каждой из трех групп.</w:t>
      </w:r>
      <w:r>
        <w:t xml:space="preserve"> </w:t>
      </w:r>
      <w:r>
        <w:t xml:space="preserve">Рассмотрите, как будет протекать эпидемия в случае:</w:t>
      </w:r>
    </w:p>
    <w:p>
      <w:pPr>
        <w:numPr>
          <w:ilvl w:val="0"/>
          <w:numId w:val="1002"/>
        </w:numPr>
      </w:pPr>
      <w:r>
        <w:t xml:space="preserve">если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p>
      <w:pPr>
        <w:numPr>
          <w:ilvl w:val="0"/>
          <w:numId w:val="1002"/>
        </w:numPr>
      </w:pPr>
      <w:r>
        <w:t xml:space="preserve">если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</w:p>
    <w:bookmarkEnd w:id="21"/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Рассмотрим простейшую модель эпидемии. Предположим, что некая популяция, состоящая из N особей, (считаем, что популяция изолирована) подразделяется на три группы. Первая группа -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— восприимчивые к болезни, но пока здоровые особи. Вторая -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— это число инфицированных особей, которые также при этом являются распространителями инфекции. И третья -</w:t>
      </w:r>
      <w:r>
        <w:t xml:space="preserve"> </w:t>
      </w:r>
      <m:oMath>
        <m:r>
          <m:t>R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— это здоровые особи с иммунитетом к болезни.</w:t>
      </w:r>
    </w:p>
    <w:p>
      <w:pPr>
        <w:pStyle w:val="BodyText"/>
      </w:pPr>
      <w:r>
        <w:t xml:space="preserve">До того, как число заболевших не превышает критического значения</w:t>
      </w:r>
      <w:r>
        <w:t xml:space="preserve"> </w:t>
      </w:r>
      <m:oMath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считаем, что все больные изолированы и не заражают здоровых. Когда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, тогда инфицирование способны заражать восприимчивых к болезни особей.</w:t>
      </w:r>
    </w:p>
    <w:p>
      <w:pPr>
        <w:pStyle w:val="BodyText"/>
      </w:pPr>
      <w:r>
        <w:t xml:space="preserve">Таким образом, скорость изменения числа</w:t>
      </w:r>
      <w:r>
        <w:t xml:space="preserve"> </w:t>
      </w:r>
      <m:oMath>
        <m:r>
          <m:t>S</m:t>
        </m:r>
        <m:r>
          <m:rPr>
            <m:sty m:val="p"/>
          </m:rPr>
          <m:t>(</m:t>
        </m:r>
        <m:r>
          <m:t>t</m:t>
        </m:r>
        <m:r>
          <m:rPr>
            <m:sty m:val="p"/>
          </m:rPr>
          <m:t>)</m:t>
        </m:r>
      </m:oMath>
      <w:r>
        <w:t xml:space="preserve"> </w:t>
      </w:r>
      <w:r>
        <w:t xml:space="preserve">меняется по следующему закону: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S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t>0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Поскольку каждая восприимчивая к болезни особь, которая, в конце концов, заболевает, сама становится инфекционной, то скорость изменения числа инфекционных особей представляет разность за единицу времени между заразившимися и теми, кто уже болеет и лечится, т.е.: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I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d>
            <m:dPr>
              <m:begChr m:val="{"/>
              <m:end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α</m:t>
                    </m:r>
                    <m:r>
                      <m:t>S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&gt;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  <m:mr>
                  <m:e>
                    <m:r>
                      <m:rPr>
                        <m:sty m:val="p"/>
                      </m:rPr>
                      <m:t>−</m:t>
                    </m:r>
                    <m:r>
                      <m:t>β</m:t>
                    </m:r>
                    <m:r>
                      <m:t>I</m:t>
                    </m:r>
                    <m:r>
                      <m:rPr>
                        <m:sty m:val="p"/>
                      </m:rPr>
                      <m:t>,</m:t>
                    </m:r>
                    <m:r>
                      <m:t>I</m:t>
                    </m:r>
                    <m:r>
                      <m:rPr>
                        <m:sty m:val="p"/>
                      </m:rPr>
                      <m:t>(</m:t>
                    </m:r>
                    <m:r>
                      <m:t>t</m:t>
                    </m:r>
                    <m:r>
                      <m:rPr>
                        <m:sty m:val="p"/>
                      </m:rPr>
                      <m:t>)</m:t>
                    </m:r>
                    <m:r>
                      <m:rPr>
                        <m:sty m:val="p"/>
                      </m:rPr>
                      <m:t>≤</m:t>
                    </m:r>
                    <m:sSup>
                      <m:e>
                        <m:r>
                          <m:t>I</m:t>
                        </m:r>
                      </m:e>
                      <m:sup>
                        <m:r>
                          <m:rPr>
                            <m:sty m:val="p"/>
                          </m:rPr>
                          <m:t>*</m:t>
                        </m:r>
                      </m:sup>
                    </m:s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А скорость изменения выздоравливающих особей (при этом приобретающие иммунитет к болезни):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t</m:t>
              </m:r>
            </m:den>
          </m:f>
          <m:r>
            <m:rPr>
              <m:sty m:val="p"/>
            </m:rPr>
            <m:t>=</m:t>
          </m:r>
          <m:r>
            <m:t>β</m:t>
          </m:r>
          <m:r>
            <m:t>I</m:t>
          </m:r>
        </m:oMath>
      </m:oMathPara>
    </w:p>
    <w:p>
      <w:pPr>
        <w:pStyle w:val="FirstParagraph"/>
      </w:pPr>
      <w:r>
        <w:t xml:space="preserve">Постоянные пропорциональности:</w:t>
      </w:r>
    </w:p>
    <w:p>
      <w:pPr>
        <w:pStyle w:val="BodyText"/>
      </w:pPr>
      <m:oMath>
        <m:r>
          <m:t>α</m:t>
        </m:r>
      </m:oMath>
      <w:r>
        <w:t xml:space="preserve"> </w:t>
      </w:r>
      <w:r>
        <w:t xml:space="preserve">— коэффициент заболеваемости</w:t>
      </w:r>
    </w:p>
    <w:p>
      <w:pPr>
        <w:pStyle w:val="BodyText"/>
      </w:pPr>
      <m:oMath>
        <m:r>
          <m:t>β</m:t>
        </m:r>
      </m:oMath>
      <w:r>
        <w:t xml:space="preserve"> </w:t>
      </w:r>
      <w:r>
        <w:t xml:space="preserve">— коэффициент выздоровления</w:t>
      </w:r>
    </w:p>
    <w:p>
      <w:pPr>
        <w:pStyle w:val="BodyText"/>
      </w:pPr>
      <w:r>
        <w:t xml:space="preserve">Для анализа картины протекания эпидемии необходимо рассмотреть два случая: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≤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t xml:space="preserve">и</w:t>
      </w:r>
      <w:r>
        <w:t xml:space="preserve"> </w:t>
      </w:r>
      <m:oMath>
        <m:r>
          <m:t>I</m:t>
        </m:r>
        <m:r>
          <m:rPr>
            <m:sty m:val="p"/>
          </m:rPr>
          <m:t>(</m:t>
        </m:r>
        <m:r>
          <m:t>0</m:t>
        </m:r>
        <m:r>
          <m:rPr>
            <m:sty m:val="p"/>
          </m:rPr>
          <m:t>)</m:t>
        </m:r>
        <m:r>
          <m:rPr>
            <m:sty m:val="p"/>
          </m:rPr>
          <m:t>&gt;</m:t>
        </m:r>
        <m:sSup>
          <m:e>
            <m:r>
              <m:t>I</m:t>
            </m:r>
          </m:e>
          <m:sup>
            <m:r>
              <m:rPr>
                <m:sty m:val="p"/>
              </m:rPr>
              <m:t>*</m:t>
            </m:r>
          </m:sup>
        </m:sSup>
      </m:oMath>
      <w:r>
        <w:t xml:space="preserve"> </w:t>
      </w:r>
      <w:r>
        <w:rPr>
          <w:rStyle w:val="FootnoteReference"/>
        </w:rPr>
        <w:footnoteReference w:id="22"/>
      </w:r>
    </w:p>
    <w:bookmarkEnd w:id="23"/>
    <w:bookmarkStart w:id="32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3"/>
        </w:numPr>
      </w:pPr>
      <w:r>
        <w:t xml:space="preserve">Выполнять данную лабораторную работу я буду в программе OpenModelica.</w:t>
      </w:r>
    </w:p>
    <w:p>
      <w:pPr>
        <w:numPr>
          <w:ilvl w:val="0"/>
          <w:numId w:val="1003"/>
        </w:numPr>
      </w:pPr>
      <w:r>
        <w:t xml:space="preserve">Напишем программу для построения графиков изменения числа особей в каждой из трёх групп (fig.1):</w:t>
      </w:r>
    </w:p>
    <w:p>
      <w:pPr>
        <w:numPr>
          <w:ilvl w:val="0"/>
          <w:numId w:val="1004"/>
        </w:numPr>
      </w:pPr>
      <w:r>
        <w:t xml:space="preserve">заболевшие люди, являющиеся распространителями инфекции;</w:t>
      </w:r>
    </w:p>
    <w:p>
      <w:pPr>
        <w:numPr>
          <w:ilvl w:val="0"/>
          <w:numId w:val="1004"/>
        </w:numPr>
      </w:pPr>
      <w:r>
        <w:t xml:space="preserve">здоровые люди с имунитетом к болезни;</w:t>
      </w:r>
    </w:p>
    <w:p>
      <w:pPr>
        <w:numPr>
          <w:ilvl w:val="0"/>
          <w:numId w:val="1004"/>
        </w:numPr>
      </w:pPr>
      <w:r>
        <w:t xml:space="preserve">восприимчивые к болезни, но пока здоровые люди.</w:t>
      </w:r>
    </w:p>
    <w:p>
      <w:pPr>
        <w:pStyle w:val="CaptionedFigure"/>
      </w:pPr>
      <w:bookmarkStart w:id="25" w:name="fig:001"/>
      <w:r>
        <w:drawing>
          <wp:inline>
            <wp:extent cx="5334000" cy="5728043"/>
            <wp:effectExtent b="0" l="0" r="0" t="0"/>
            <wp:docPr descr="Figure 1: Код программы" title="" id="1" name="Picture"/>
            <a:graphic>
              <a:graphicData uri="http://schemas.openxmlformats.org/drawingml/2006/picture">
                <pic:pic>
                  <pic:nvPicPr>
                    <pic:cNvPr descr="pic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28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1: Код программы</w:t>
      </w:r>
    </w:p>
    <w:p>
      <w:pPr>
        <w:numPr>
          <w:ilvl w:val="0"/>
          <w:numId w:val="1005"/>
        </w:numPr>
        <w:pStyle w:val="Compact"/>
      </w:pPr>
      <w:r>
        <w:t xml:space="preserve">Получим график изменения числа особей в каждой из трёх групп для первого случая без учета восприимчивых к болезни людей (fig.2):</w:t>
      </w:r>
    </w:p>
    <w:p>
      <w:pPr>
        <w:pStyle w:val="CaptionedFigure"/>
      </w:pPr>
      <w:bookmarkStart w:id="27" w:name="fig:002"/>
      <w:r>
        <w:drawing>
          <wp:inline>
            <wp:extent cx="5334000" cy="1991915"/>
            <wp:effectExtent b="0" l="0" r="0" t="0"/>
            <wp:docPr descr="Figure 2: График для первого случая без учета восприимчивых к болезни людей" title="" id="1" name="Picture"/>
            <a:graphic>
              <a:graphicData uri="http://schemas.openxmlformats.org/drawingml/2006/picture">
                <pic:pic>
                  <pic:nvPicPr>
                    <pic:cNvPr descr="pic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2: График для первого случая без учета восприимчивых к болезни людей</w:t>
      </w:r>
    </w:p>
    <w:p>
      <w:pPr>
        <w:numPr>
          <w:ilvl w:val="0"/>
          <w:numId w:val="1006"/>
        </w:numPr>
        <w:pStyle w:val="Compact"/>
      </w:pPr>
      <w:r>
        <w:t xml:space="preserve">Получим график изменения числа особей в каждой из трёх групп для первого случая с учетом восприимчивых к болезни людей (fig.3):</w:t>
      </w:r>
    </w:p>
    <w:p>
      <w:pPr>
        <w:pStyle w:val="CaptionedFigure"/>
      </w:pPr>
      <w:bookmarkStart w:id="29" w:name="fig:003"/>
      <w:r>
        <w:drawing>
          <wp:inline>
            <wp:extent cx="5334000" cy="1991915"/>
            <wp:effectExtent b="0" l="0" r="0" t="0"/>
            <wp:docPr descr="Figure 3: График для первого случая с учетом восприимчивых к болезни людей" title="" id="1" name="Picture"/>
            <a:graphic>
              <a:graphicData uri="http://schemas.openxmlformats.org/drawingml/2006/picture">
                <pic:pic>
                  <pic:nvPicPr>
                    <pic:cNvPr descr="pic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3: График для первого случая с учетом восприимчивых к болезни людей</w:t>
      </w:r>
    </w:p>
    <w:p>
      <w:pPr>
        <w:numPr>
          <w:ilvl w:val="0"/>
          <w:numId w:val="1007"/>
        </w:numPr>
        <w:pStyle w:val="Compact"/>
      </w:pPr>
      <w:r>
        <w:t xml:space="preserve">Получим график изменения числа особей в каждой из трёх групп для второго случая (fig.4):</w:t>
      </w:r>
    </w:p>
    <w:p>
      <w:pPr>
        <w:pStyle w:val="CaptionedFigure"/>
      </w:pPr>
      <w:bookmarkStart w:id="31" w:name="fig:004"/>
      <w:r>
        <w:drawing>
          <wp:inline>
            <wp:extent cx="5334000" cy="1991915"/>
            <wp:effectExtent b="0" l="0" r="0" t="0"/>
            <wp:docPr descr="Figure 4: График для второго случая" title="" id="1" name="Picture"/>
            <a:graphic>
              <a:graphicData uri="http://schemas.openxmlformats.org/drawingml/2006/picture">
                <pic:pic>
                  <pic:nvPicPr>
                    <pic:cNvPr descr="pic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1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4: График для второго случая</w:t>
      </w:r>
    </w:p>
    <w:bookmarkEnd w:id="32"/>
    <w:bookmarkStart w:id="33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данной лабораторной работы, мы изучили простейшую модель эпидемии и построили графики изменения числа особей в трех группах:</w:t>
      </w:r>
    </w:p>
    <w:p>
      <w:pPr>
        <w:numPr>
          <w:ilvl w:val="0"/>
          <w:numId w:val="1008"/>
        </w:numPr>
      </w:pPr>
      <w:r>
        <w:t xml:space="preserve">заболевшие люди, являющиеся распространителями инфекции;</w:t>
      </w:r>
    </w:p>
    <w:p>
      <w:pPr>
        <w:numPr>
          <w:ilvl w:val="0"/>
          <w:numId w:val="1008"/>
        </w:numPr>
      </w:pPr>
      <w:r>
        <w:t xml:space="preserve">здоровые люди с имунитетом к болезни;</w:t>
      </w:r>
    </w:p>
    <w:p>
      <w:pPr>
        <w:numPr>
          <w:ilvl w:val="0"/>
          <w:numId w:val="1008"/>
        </w:numPr>
      </w:pPr>
      <w:r>
        <w:t xml:space="preserve">восприимчивые к болезни, но пока здоровые люди.</w:t>
      </w:r>
    </w:p>
    <w:bookmarkEnd w:id="33"/>
    <w:bookmarkStart w:id="3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9"/>
        </w:numPr>
        <w:pStyle w:val="Compact"/>
      </w:pPr>
      <w:hyperlink r:id="rId34">
        <w:r>
          <w:rPr>
            <w:rStyle w:val="Hyperlink"/>
          </w:rPr>
          <w:t xml:space="preserve">Кулябов Д.С. Задача об эпидемии / Д. С. Кулябов. - Москва: - 7 с.</w:t>
        </w:r>
      </w:hyperlink>
    </w:p>
    <w:bookmarkEnd w:id="3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Кулябов Д.С. Задача об эпидемии.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1">
    <w:nsid w:val="71315dca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hyperlink" Id="rId34" Target="https://esystem.rudn.ru/pluginfile.php/1343897/mod_resource/content/2/%D0%9B%D0%B0%D0%B1%D0%BE%D1%80%D0%B0%D1%82%D0%BE%D1%80%D0%BD%D0%B0%D1%8F%20%D1%80%D0%B0%D0%B1%D0%BE%D1%82%D0%B0%20%E2%84%96%205.pdfD0%B0%D1%8F%20%D1%80%D0%B0%D0%B1%D0%BE%D1%82%D0%B0%20%E2%84%96%204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esystem.rudn.ru/pluginfile.php/1343897/mod_resource/content/2/%D0%9B%D0%B0%D0%B1%D0%BE%D1%80%D0%B0%D1%82%D0%BE%D1%80%D0%BD%D0%B0%D1%8F%20%D1%80%D0%B0%D0%B1%D0%BE%D1%82%D0%B0%20%E2%84%96%205.pdfD0%B0%D1%8F%20%D1%80%D0%B0%D0%B1%D0%BE%D1%82%D0%B0%20%E2%84%96%204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№6. Задача об эпидемии</dc:title>
  <dc:creator>Смородова Дарья Владимировна</dc:creator>
  <dc:language>ru-RU</dc:language>
  <cp:keywords/>
  <dcterms:created xsi:type="dcterms:W3CDTF">2022-03-17T11:49:46Z</dcterms:created>
  <dcterms:modified xsi:type="dcterms:W3CDTF">2022-03-17T11:49:46Z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ate">
    <vt:lpwstr>2022 March 19th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Prefix">
    <vt:lpwstr/>
  </property>
  <property fmtid="{D5CDD505-2E9C-101B-9397-08002B2CF9AE}" pid="22" name="eqnPrefixTemplate">
    <vt:lpwstr>p i</vt:lpwstr>
  </property>
  <property fmtid="{D5CDD505-2E9C-101B-9397-08002B2CF9AE}" pid="23" name="figLabels">
    <vt:lpwstr>arabic</vt:lpwstr>
  </property>
  <property fmtid="{D5CDD505-2E9C-101B-9397-08002B2CF9AE}" pid="24" name="figPrefix">
    <vt:lpwstr/>
  </property>
  <property fmtid="{D5CDD505-2E9C-101B-9397-08002B2CF9AE}" pid="25" name="figPrefixTemplate">
    <vt:lpwstr>p i</vt:lpwstr>
  </property>
  <property fmtid="{D5CDD505-2E9C-101B-9397-08002B2CF9AE}" pid="26" name="figureTemplate">
    <vt:lpwstr>figureTitle ititleDelim t</vt:lpwstr>
  </property>
  <property fmtid="{D5CDD505-2E9C-101B-9397-08002B2CF9AE}" pid="27" name="figureTitle">
    <vt:lpwstr>Figure</vt:lpwstr>
  </property>
  <property fmtid="{D5CDD505-2E9C-101B-9397-08002B2CF9AE}" pid="28" name="fontsize">
    <vt:lpwstr>12pt</vt:lpwstr>
  </property>
  <property fmtid="{D5CDD505-2E9C-101B-9397-08002B2CF9AE}" pid="29" name="group">
    <vt:lpwstr>NFIbd-03-19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institute">
    <vt:lpwstr>RUDN University, Moscow, Russian Federation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Listing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List of Figures</vt:lpwstr>
  </property>
  <property fmtid="{D5CDD505-2E9C-101B-9397-08002B2CF9AE}" pid="41" name="lolTitle">
    <vt:lpwstr>List of Listings</vt:lpwstr>
  </property>
  <property fmtid="{D5CDD505-2E9C-101B-9397-08002B2CF9AE}" pid="42" name="lot">
    <vt:lpwstr>True</vt:lpwstr>
  </property>
  <property fmtid="{D5CDD505-2E9C-101B-9397-08002B2CF9AE}" pid="43" name="lotTitle">
    <vt:lpwstr>List of Tables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Вариант 28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Table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title">
    <vt:lpwstr>Содержание</vt:lpwstr>
  </property>
  <property fmtid="{D5CDD505-2E9C-101B-9397-08002B2CF9AE}" pid="85" name="toc_depth">
    <vt:lpwstr>2</vt:lpwstr>
  </property>
</Properties>
</file>