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 — Social Indicators Research submission</w:t>
      </w:r>
    </w:p>
    <w:p>
      <w:pPr>
        <w:pStyle w:val="FirstParagraph"/>
      </w:pPr>
      <w:r>
        <w:t xml:space="preserve">Dr. Scott Moser</w:t>
      </w:r>
      <w:r>
        <w:br/>
      </w:r>
      <w:r>
        <w:t xml:space="preserve">School of Politics and International Relations</w:t>
      </w:r>
      <w:r>
        <w:br/>
      </w:r>
      <w:r>
        <w:t xml:space="preserve">University of Nottingham</w:t>
      </w:r>
      <w:r>
        <w:br/>
      </w:r>
      <w:r>
        <w:t xml:space="preserve">Nottingham, UK</w:t>
      </w:r>
      <w:r>
        <w:br/>
      </w:r>
      <w:r>
        <w:t xml:space="preserve">scott.moser@nottingham.ac.uk</w:t>
      </w:r>
    </w:p>
    <w:p>
      <w:pPr>
        <w:pStyle w:val="BodyText"/>
      </w:pPr>
      <w:r>
        <w:rPr>
          <w:rStyle w:val="VerbatimChar"/>
        </w:rPr>
        <w:t xml:space="preserve">r format(Sys.Date(), "%d %B %Y")</w:t>
      </w:r>
    </w:p>
    <w:p>
      <w:pPr>
        <w:pStyle w:val="BodyText"/>
      </w:pPr>
      <w:r>
        <w:t xml:space="preserve">The Editor-in-Chief</w:t>
      </w:r>
      <w:r>
        <w:br/>
      </w:r>
      <w:r>
        <w:rPr>
          <w:i/>
          <w:iCs/>
        </w:rPr>
        <w:t xml:space="preserve">Social Indicators Research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/>
          <w:bCs/>
        </w:rPr>
        <w:t xml:space="preserve">“Quantifying Hidden Exploitation: Dual-Method Prevalence Estimates of Labour Exploitation among Domestic Workers in the United Kingdom”</w:t>
      </w:r>
      <w:r>
        <w:t xml:space="preserve">, for consideration in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.</w:t>
      </w:r>
    </w:p>
    <w:p>
      <w:pPr>
        <w:pStyle w:val="BodyText"/>
      </w:pPr>
      <w:r>
        <w:t xml:space="preserve">The paper responds to a persistent gap in the SDG 8.7 monitoring architecture: the populations most affected by labour exploitation — undocumented migrants, live-in domestic workers, tied-visa workers, agricultural day labourers — are systematically absent from the household and labour-force surveys that produce official social indicators. Existing prevalence estimates for modern slavery therefore rely on multiple-systems estimation from administrative case data, or on qualitative and civil-society case documentation. Neither approach yields the population-representative estimates that the SDG 8.7 target requires. The paper develops and demonstrates a replicable measurement design that addresses this gap through matched ego/alter survey instrumentation for hidden populations reachable through civil-society networks.</w:t>
      </w:r>
    </w:p>
    <w:p>
      <w:pPr>
        <w:pStyle w:val="BodyText"/>
      </w:pPr>
      <w:r>
        <w:t xml:space="preserve">Two contributions justify submission to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 </w:t>
      </w:r>
      <w:r>
        <w:t xml:space="preserve">specifically. First, we apply respondent-driven sampling (RDS) and the network scale-up method (NSUM) to the same survey instrument administered to the same 85 respondents, eliciting ego-based and alter-based estimates of an identical set of five ILO-aligned indicators. To our knowledge this is among the first applications of a dual RDS + NSUM design to modern-slavery prevalence in any developed-economy setting. The design produces two complementary estimands — own-experience prevalence from RDS, network-visible prevalence from NSUM — and where they diverge, the gap is itself diagnostic evidence about which exploitation behaviours are observable across workers’ personal networks and which remain concealed. This</w:t>
      </w:r>
      <w:r>
        <w:t xml:space="preserve"> </w:t>
      </w:r>
      <w:r>
        <w:t xml:space="preserve">“visibility gradient”</w:t>
      </w:r>
      <w:r>
        <w:t xml:space="preserve"> </w:t>
      </w:r>
      <w:r>
        <w:t xml:space="preserve">is a substantive social-indicator finding in its own right and has direct policy implications for network-mediated outreach programmes.</w:t>
      </w:r>
    </w:p>
    <w:p>
      <w:pPr>
        <w:pStyle w:val="BodyText"/>
      </w:pPr>
      <w:r>
        <w:t xml:space="preserve">Second, we operationalise modern slavery as a graded formative indicator framework rather than a binary condition, drawing on the ILO’s own eleven-indicator framework and its associated survey-guidelines handbook. The design supports both indicator-level prevalence estimation for the five binary measures and a continuous formative-additive composite risk index across all eleven ILO indicators. The composite is anchored on the ILO severity ordering and is shown to be essentially weight-invariant under</w:t>
      </w:r>
      <w:r>
        <w:t xml:space="preserve"> </w:t>
      </w:r>
      <m:oMath>
        <m:r>
          <m:rPr>
            <m:sty m:val="p"/>
          </m:rPr>
          <m:t>±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perturbation of the sub-indicator weights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0.992</m:t>
        </m:r>
      </m:oMath>
      <w:r>
        <w:t xml:space="preserve">). This gives</w:t>
      </w:r>
      <w:r>
        <w:t xml:space="preserve"> </w:t>
      </w:r>
      <w:r>
        <w:rPr>
          <w:i/>
          <w:iCs/>
        </w:rPr>
        <w:t xml:space="preserve">SIR</w:t>
      </w:r>
      <w:r>
        <w:t xml:space="preserve"> </w:t>
      </w:r>
      <w:r>
        <w:t xml:space="preserve">readers a measurement design that generalises to other hidden populations relevant to SDG 8.7 monitoring, with the substantive UK migrant-domestic-worker case as a hard, realistic testbed rather than as the endpoint of the paper.</w:t>
      </w:r>
    </w:p>
    <w:p>
      <w:pPr>
        <w:pStyle w:val="BodyText"/>
      </w:pPr>
      <w:r>
        <w:t xml:space="preserve">We are careful throughout to characterise what the design does and does not license. The order-of-magnitude divergence between the RDS (35–84%) and MBSU NSUM Moderate (1–3%) estimates is interpreted as diagnostic rather than as competing estimates of a single quantity, and the paper explicitly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a definitive national prevalence figure. Robustness of the substantive ordering of indicators is documented across four methodologically unrelated estimators (RDS-I, RDS-SS, MA-RDS, MBSU NSUM), across four assumed population sizes (50K, 100K, 980K, 1.74M), and against a leave-one-out exclusion of the single longest recruitment chain (seed #55, 12 respondents). All sensitivity analyses are reported in the Online Appendix.</w:t>
      </w:r>
    </w:p>
    <w:p>
      <w:pPr>
        <w:pStyle w:val="BodyText"/>
      </w:pPr>
      <w:r>
        <w:rPr>
          <w:b/>
          <w:bCs/>
        </w:rPr>
        <w:t xml:space="preserve">Declarations.</w:t>
      </w:r>
    </w:p>
    <w:p>
      <w:pPr>
        <w:pStyle w:val="Compact"/>
        <w:numPr>
          <w:ilvl w:val="0"/>
          <w:numId w:val="1001"/>
        </w:numPr>
      </w:pPr>
      <w:r>
        <w:t xml:space="preserve">The manuscript is our original work and has not been published, is not under review, and is not being considered for publication elsewhere.</w:t>
      </w:r>
    </w:p>
    <w:p>
      <w:pPr>
        <w:pStyle w:val="Compact"/>
        <w:numPr>
          <w:ilvl w:val="0"/>
          <w:numId w:val="1001"/>
        </w:numPr>
      </w:pPr>
      <w:r>
        <w:t xml:space="preserve">All authors have read and approved the manuscript and agree to its submission to</w:t>
      </w:r>
      <w:r>
        <w:t xml:space="preserve"> </w:t>
      </w:r>
      <w:r>
        <w:rPr>
          <w:i/>
          <w:iCs/>
        </w:rPr>
        <w:t xml:space="preserve">Social Indicators Research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Both authors declare no competing financial or non-financial interests.</w:t>
      </w:r>
    </w:p>
    <w:p>
      <w:pPr>
        <w:pStyle w:val="Compact"/>
        <w:numPr>
          <w:ilvl w:val="0"/>
          <w:numId w:val="1001"/>
        </w:numPr>
      </w:pPr>
      <w:r>
        <w:t xml:space="preserve">Ethics approval was obtained from the University of Nottingham Business School Research Ethics Committee (Ethics Review Application 202223021, granted January 2023) prior to fieldwork.</w:t>
      </w:r>
    </w:p>
    <w:p>
      <w:pPr>
        <w:pStyle w:val="Compact"/>
        <w:numPr>
          <w:ilvl w:val="0"/>
          <w:numId w:val="1001"/>
        </w:numPr>
      </w:pPr>
      <w:r>
        <w:t xml:space="preserve">Anonymised respondent-level data and all analysis code are archived on the Open Science Framework (view-only URL provided on the separate title page); the underlying repository will be made public on acceptance.</w:t>
      </w:r>
    </w:p>
    <w:p>
      <w:pPr>
        <w:pStyle w:val="Compact"/>
        <w:numPr>
          <w:ilvl w:val="0"/>
          <w:numId w:val="1001"/>
        </w:numPr>
      </w:pPr>
      <w:r>
        <w:t xml:space="preserve">We have followed the journal’s double-anonymous peer-review requirements: author names, affiliations, funding sources, and other potentially identifying material have been redacted from the main manuscript, the online appendix, and their figures. A separate anonymised title page, cover letter, and set of files have been prepared according to the SIR portal’s specifications.</w:t>
      </w:r>
    </w:p>
    <w:p>
      <w:pPr>
        <w:pStyle w:val="FirstParagraph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In the submission portal we suggest three reviewers whose expertise spans the paper’s methodological and substantive contributions: Dennis M. Feehan (UC Berkeley, network scale-up methodology); Sheldon X. Zhang (UMass Lowell, human-trafficking prevalence estimation); and Bridget Anderson (University of Bristol, migrant domestic work and low-waged labour). Full rationales are given in the reviewer-suggestions section of the portal. We ask that colleagues at the University of Nottingham and members of our three participating civil-society organisations (Kalayaan, Voice of Domestic Workers, and the Latin American Women’s Rights Service) not be invited to review, on institutional-conflict and partnership-conflict grounds.</w:t>
      </w:r>
    </w:p>
    <w:p>
      <w:pPr>
        <w:pStyle w:val="BodyText"/>
      </w:pPr>
      <w:r>
        <w:rPr>
          <w:b/>
          <w:bCs/>
        </w:rPr>
        <w:t xml:space="preserve">Length.</w:t>
      </w:r>
      <w:r>
        <w:t xml:space="preserve"> </w:t>
      </w:r>
      <w:r>
        <w:t xml:space="preserve">The main manuscript is within the</w:t>
      </w:r>
      <w:r>
        <w:t xml:space="preserve"> </w:t>
      </w:r>
      <w:r>
        <w:rPr>
          <w:i/>
          <w:iCs/>
        </w:rPr>
        <w:t xml:space="preserve">SIR</w:t>
      </w:r>
      <w:r>
        <w:t xml:space="preserve"> </w:t>
      </w:r>
      <w:r>
        <w:t xml:space="preserve">5,000–10,000 word limit including references. The Online Appendix (~ 20,000 words) documents the codebook, survey instrument, three-step bootstrap procedure, and eight sensitivity analyses. It is submitted as a single supplementary PDF and is not counted toward the word limit.</w:t>
      </w:r>
    </w:p>
    <w:p>
      <w:pPr>
        <w:pStyle w:val="BodyText"/>
      </w:pPr>
      <w:r>
        <w:t xml:space="preserve">We thank you for considering the manuscript and look forward to the reviewers’ feedback.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Scott Moser</w:t>
      </w:r>
      <w:r>
        <w:br/>
      </w:r>
      <w:r>
        <w:t xml:space="preserve">On behalf of the authors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Social Indicators Research submission</dc:title>
  <dc:creator/>
  <cp:keywords/>
  <dcterms:created xsi:type="dcterms:W3CDTF">2026-07-12T13:39:09Z</dcterms:created>
  <dcterms:modified xsi:type="dcterms:W3CDTF">2026-07-12T13:39:09Z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