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7.png" ContentType="image/png"/>
  <Override PartName="/word/media/rId53.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[Author(s) anonymised for review]</w:t>
      </w:r>
    </w:p>
    <w:p>
      <w:pPr>
        <w:pStyle w:val="Date"/>
      </w:pPr>
      <w:r>
        <w:t xml:space="preserve">11 July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defined in UK law as an umbrella term which includes slavery, servitude, forced labour, and human trafficking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w:t>
      </w:r>
      <w:r>
        <w:t xml:space="preserve"> </w:t>
      </w:r>
      <w:r>
        <w:t xml:space="preserve">(Kalayaan, 2008; Service, 2023)</w:t>
      </w:r>
      <w:r>
        <w:t xml:space="preserve"> </w:t>
      </w:r>
      <w:r>
        <w:t xml:space="preserve">is qualitatively rich but does not yield population-level prevalence estimates suitable for SDG monitoring or comparison across populations. The International Labour</w:t>
      </w:r>
      <w:r>
        <w:t xml:space="preserve"> </w:t>
      </w:r>
      <w:r>
        <w:t xml:space="preserve">Organization’s eleven indicators of forced labour</w:t>
      </w:r>
      <w:r>
        <w:t xml:space="preserve"> </w:t>
      </w:r>
      <w:r>
        <w:t xml:space="preserve">(International Labour Organization, 2012, 2025)</w:t>
      </w:r>
      <w:r>
        <w:t xml:space="preserve"> </w:t>
      </w:r>
      <w:r>
        <w:t xml:space="preserve">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 prior study of modern-slavery prevalence, to our knowledge, applies both RDS and NSUM to a single matched survey instrument. Such a design would enable direct triangulation of ego- and alter-based estimates on identical indicators and, where they diverge, diagnostic inference about which exploitation behaviours are visible across personal networks.</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itself is diagnostic evidence about the visibility gradient of different exploitation behaviours within workers’ personal networks. Second, we treat modern slavery as a graded phenomenon rather than a binary condition. The ILO’s eleven indicators of forced labour</w:t>
      </w:r>
      <w:r>
        <w:t xml:space="preserve"> </w:t>
      </w:r>
      <w:r>
        <w:t xml:space="preserve">(International Labour Organization, 2012, 2025)</w:t>
      </w:r>
      <w:r>
        <w:t xml:space="preserve"> </w:t>
      </w:r>
      <w:r>
        <w:t xml:space="preserve">anchor the operational framework, and the ILO’s survey-guidelines handbook</w:t>
      </w:r>
      <w:r>
        <w:t xml:space="preserve"> </w:t>
      </w:r>
      <w:r>
        <w:t xml:space="preserve">(International Labour Organization, 2024)</w:t>
      </w:r>
      <w:r>
        <w:t xml:space="preserve"> </w:t>
      </w:r>
      <w:r>
        <w:t xml:space="preserve">distinguishes three</w:t>
      </w:r>
      <w:r>
        <w:t xml:space="preserve"> </w:t>
      </w:r>
      <w:r>
        <w:t xml:space="preserve">‘strong’</w:t>
      </w:r>
      <w:r>
        <w:t xml:space="preserve"> </w:t>
      </w:r>
      <w:r>
        <w:t xml:space="preserve">indicators (retention of identity documents, intimidation and threats, and physical and sexual violence) — any one of which is generally sufficient to identify forced labour in survey settings — from eight</w:t>
      </w:r>
      <w:r>
        <w:t xml:space="preserve"> </w:t>
      </w:r>
      <w:r>
        <w:t xml:space="preserve">‘medium’</w:t>
      </w:r>
      <w:r>
        <w:t xml:space="preserve"> </w:t>
      </w:r>
      <w:r>
        <w:t xml:space="preserve">indicators, several of which typically need to co-occur. The ordering supports both indicator-level prevalence estimates and a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w:t>
      </w:r>
      <w:r>
        <w:t xml:space="preserve"> </w:t>
      </w:r>
      <w:hyperlink w:anchor="sec-case-setting">
        <w:r>
          <w:rPr>
            <w:rStyle w:val="Hyperlink"/>
          </w:rPr>
          <w:t xml:space="preserve">Section 3</w:t>
        </w:r>
      </w:hyperlink>
      <w:r>
        <w:t xml:space="preserve"> </w:t>
      </w:r>
      <w:r>
        <w:t xml:space="preserve">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w:t>
      </w:r>
      <w:r>
        <w:t xml:space="preserve"> </w:t>
      </w:r>
      <w:hyperlink w:anchor="sec-results">
        <w:r>
          <w:rPr>
            <w:rStyle w:val="Hyperlink"/>
          </w:rPr>
          <w:t xml:space="preserve">Section 4</w:t>
        </w:r>
      </w:hyperlink>
      <w:r>
        <w:t xml:space="preserve"> </w:t>
      </w:r>
      <w:r>
        <w:t xml:space="preserve">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w:t>
      </w:r>
      <w:hyperlink w:anchor="sec-binary-results">
        <w:r>
          <w:rPr>
            <w:rStyle w:val="Hyperlink"/>
          </w:rPr>
          <w:t xml:space="preserve">Section 4.3</w:t>
        </w:r>
      </w:hyperlink>
      <w:r>
        <w:t xml:space="preserve">).</w:t>
      </w:r>
      <w:r>
        <w:t xml:space="preserve"> </w:t>
      </w:r>
      <w:hyperlink w:anchor="sec-discussion">
        <w:r>
          <w:rPr>
            <w:rStyle w:val="Hyperlink"/>
          </w:rPr>
          <w:t xml:space="preserve">Section 5</w:t>
        </w:r>
      </w:hyperlink>
      <w:r>
        <w:t xml:space="preserve"> </w:t>
      </w:r>
      <w:r>
        <w:t xml:space="preserve">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w:t>
      </w:r>
      <w:r>
        <w:t xml:space="preserve"> </w:t>
      </w:r>
      <w:r>
        <w:t xml:space="preserve">(International Labour Organization, 2012, 2025)</w:t>
      </w:r>
      <w:r>
        <w:t xml:space="preserve"> </w:t>
      </w:r>
      <w:r>
        <w:t xml:space="preserve">provide the canonical operational framework for measuring modern slavery. The ILO’s own survey-guidelines handbook</w:t>
      </w:r>
      <w:r>
        <w:t xml:space="preserve"> </w:t>
      </w:r>
      <w:r>
        <w:t xml:space="preserve">(International Labour Organization, 2024)</w:t>
      </w:r>
      <w:r>
        <w:t xml:space="preserve"> </w:t>
      </w:r>
      <w:r>
        <w:t xml:space="preserve">distinguishes two operational categories for use in forced-labour surveys:</w:t>
      </w:r>
      <w:r>
        <w:t xml:space="preserve"> </w:t>
      </w:r>
      <w:r>
        <w:t xml:space="preserve">‘strong’</w:t>
      </w:r>
      <w:r>
        <w:t xml:space="preserve"> </w:t>
      </w:r>
      <w:r>
        <w:t xml:space="preserve">indicators (intimidation and threats, physical and sexual violence, retention of identity documents) any one of which is generally sufficient on its own to identify a survey respondent as in forced labour, and</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 whose evidentiary weight for survey-based identification typically requires more than one to be present. We adopt this severity ordering — as it appears in the ILO survey-guidelines handbook rather than the shorter operational-indicators publications</w:t>
      </w:r>
      <w:r>
        <w:t xml:space="preserve"> </w:t>
      </w:r>
      <w:r>
        <w:t xml:space="preserve">(International Labour Organization, 2012, 2025)</w:t>
      </w:r>
      <w:r>
        <w:t xml:space="preserve">, which list the eleven without ranking them — to organise the reporting of the five binary indicators below and to structure the reporting of the composite risk index. We measure five indicators across the ordering,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w:t>
      </w:r>
      <w:r>
        <w:t xml:space="preserve"> </w:t>
      </w:r>
      <w:r>
        <w:t xml:space="preserve">Yilmaz &amp; Emberson (2023)</w:t>
      </w:r>
      <w:r>
        <w:t xml:space="preserve">) and document and passport withholding. The specific bundling of ILO indicators into these five binary measures (e.g., combining intimidation/threats with physical and sexual violence into a single</w:t>
      </w:r>
      <w:r>
        <w:t xml:space="preserve"> </w:t>
      </w:r>
      <w:r>
        <w:t xml:space="preserve">‘threats and abuse’</w:t>
      </w:r>
      <w:r>
        <w:t xml:space="preserve"> </w:t>
      </w:r>
      <w:r>
        <w:t xml:space="preserve">indicator) is our analytical choice, informed by the qualitative and civil-society literature on UK migrant domestic workers</w:t>
      </w:r>
      <w:r>
        <w:t xml:space="preserve"> </w:t>
      </w:r>
      <w:r>
        <w:t xml:space="preserve">(Kalayaan, 2008; Mantouvalou, 2016; Service, 2023; Yilmaz &amp; Emberson, 2023)</w:t>
      </w:r>
      <w:r>
        <w:t xml:space="preserve">, not a mapping the ILO itself publishes.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(Appendix Table A.1, Categories 1 and 2; results in</w:t>
      </w:r>
      <w:r>
        <w:t xml:space="preserve"> </w:t>
      </w:r>
      <w:hyperlink w:anchor="sec-composite-results">
        <w:r>
          <w:rPr>
            <w:rStyle w:val="Hyperlink"/>
          </w:rPr>
          <w:t xml:space="preserve">Section 4.2</w:t>
        </w:r>
      </w:hyperlink>
      <w:r>
        <w:t xml:space="preserve">).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Appendix Table A.1 for per-category weights). It is constructed as a formative additive composite: an individual is exposed to exploitation if any of the indicators is present, and the indicators are constitutive rather than reflective of an underlying severity.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the Appendix, Section A, for full construction).</w:t>
      </w:r>
    </w:p>
    <w:bookmarkEnd w:id="21"/>
    <w:bookmarkEnd w:id="22"/>
    <w:bookmarkStart w:id="39"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w:t>
      </w:r>
      <w:r>
        <w:t xml:space="preserve"> </w:t>
      </w:r>
      <w:r>
        <w:t xml:space="preserve">(Kalayaan, 2008; Mantouvalou, 2016; Service, 2023)</w:t>
      </w:r>
      <w:r>
        <w:t xml:space="preserve">.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w:t>
      </w:r>
      <w:r>
        <w:t xml:space="preserve"> </w:t>
      </w:r>
      <w:r>
        <w:t xml:space="preserve">(Romero &amp; Fisher, 2025)</w:t>
      </w:r>
      <w:r>
        <w:t xml:space="preserve">. Civil-society organisations representing migrant domestic workers have documented patterns of wage withholding, document confiscation, restricted movement, excessive working hours, and threats and abuse over more than two decades</w:t>
      </w:r>
      <w:r>
        <w:t xml:space="preserve"> </w:t>
      </w:r>
      <w:r>
        <w:t xml:space="preserve">(Kalayaan, 2008; Mantouvalou, 2016; Service, 2023; Yilmaz &amp; Emberson, 2023)</w:t>
      </w:r>
      <w:r>
        <w:t xml:space="preserve">. However, qualitative and case-based evidence have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w:t>
      </w:r>
    </w:p>
    <w:bookmarkStart w:id="23" w:name="sec-study-design"/>
    <w:p>
      <w:pPr>
        <w:pStyle w:val="Heading2"/>
      </w:pPr>
      <w:r>
        <w:t xml:space="preserve">3.1 Study Design and Sampling</w:t>
      </w:r>
    </w:p>
    <w:p>
      <w:pPr>
        <w:pStyle w:val="FirstParagraph"/>
      </w:pPr>
      <w:r>
        <w:t xml:space="preserve">Respondent-Driven Sampling (RDS) is a network-based sampling method designed to study hidden or hard-to-reach populations</w:t>
      </w:r>
      <w:r>
        <w:t xml:space="preserve"> </w:t>
      </w:r>
      <w:r>
        <w:t xml:space="preserve">(Gile et al., 2018; Heckathorn, 1997; Heckathorn, 2011)</w:t>
      </w:r>
      <w:r>
        <w:t xml:space="preserve">.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The number of each participant’s recruits implicitly proxies for their network degree (the number of eligible contacts they know), which is used to adjust for selection bias–especially the oversampling of high-degree individuals.</w:t>
      </w:r>
    </w:p>
    <w:p>
      <w:pPr>
        <w:pStyle w:val="BodyText"/>
      </w:pPr>
      <w:r>
        <w:t xml:space="preserve">RDS has been widely used to sample hidden populations in public health and social science research</w:t>
      </w:r>
      <w:r>
        <w:t xml:space="preserve"> </w:t>
      </w:r>
      <w:r>
        <w:t xml:space="preserve">(McCreesh et al., 2012; Schwitters et al., 2012)</w:t>
      </w:r>
      <w:r>
        <w:t xml:space="preserve">, and network-based referrals</w:t>
      </w:r>
      <w:r>
        <w:t xml:space="preserve"> </w:t>
      </w:r>
      <w:r>
        <w:t xml:space="preserve">have been described as the only viable method to reach many types of labour trafficking victims</w:t>
      </w:r>
      <w:r>
        <w:t xml:space="preserve"> </w:t>
      </w:r>
      <w:r>
        <w:t xml:space="preserve">(Zhang, 2012)</w:t>
      </w:r>
      <w:r>
        <w:t xml:space="preserve">. Recent applications include studies of exploitation among low-wage workers in American</w:t>
      </w:r>
      <w:r>
        <w:t xml:space="preserve"> </w:t>
      </w:r>
      <w:r>
        <w:t xml:space="preserve">cities</w:t>
      </w:r>
      <w:r>
        <w:t xml:space="preserve"> </w:t>
      </w:r>
      <w:r>
        <w:t xml:space="preserve">(Bernhardt et al., 2009)</w:t>
      </w:r>
      <w:r>
        <w:t xml:space="preserve">, labour trafficking in migrant communities</w:t>
      </w:r>
      <w:r>
        <w:t xml:space="preserve"> </w:t>
      </w:r>
      <w:r>
        <w:t xml:space="preserve">(Vincent &amp; Thompson, 2017)</w:t>
      </w:r>
      <w:r>
        <w:t xml:space="preserve">, child labour in India</w:t>
      </w:r>
      <w:r>
        <w:t xml:space="preserve"> </w:t>
      </w:r>
      <w:r>
        <w:t xml:space="preserve">(Zhang et al., 2019)</w:t>
      </w:r>
      <w:r>
        <w:t xml:space="preserve">, and commercial sexual exploitation in</w:t>
      </w:r>
      <w:r>
        <w:t xml:space="preserve"> </w:t>
      </w:r>
      <w:r>
        <w:t xml:space="preserve">Nepal</w:t>
      </w:r>
      <w:r>
        <w:t xml:space="preserve"> </w:t>
      </w:r>
      <w:r>
        <w:t xml:space="preserve">(Jordan et al., 2020)</w:t>
      </w:r>
      <w:r>
        <w:t xml:space="preserve">.</w:t>
      </w:r>
    </w:p>
    <w:p>
      <w:pPr>
        <w:pStyle w:val="BodyText"/>
      </w:pPr>
      <w:r>
        <w:t xml:space="preserve">Our approach can best be described as Web-based RDS</w:t>
      </w:r>
      <w:r>
        <w:t xml:space="preserve"> </w:t>
      </w:r>
      <w:r>
        <w:t xml:space="preserve">(Wejnert &amp; Heckathorn, 2008)</w:t>
      </w:r>
      <w:r>
        <w:t xml:space="preserve">.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w:t>
      </w:r>
      <w:r>
        <w:t xml:space="preserve"> </w:t>
      </w:r>
      <w:r>
        <w:t xml:space="preserve">(Jordan et al., 2020)</w:t>
      </w:r>
      <w:r>
        <w:t xml:space="preserve">.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w:t>
      </w:r>
      <w:r>
        <w:t xml:space="preserve"> </w:t>
      </w:r>
      <w:r>
        <w:t xml:space="preserve">Thompson (2020)</w:t>
      </w:r>
      <w:r>
        <w:t xml:space="preserve">.</w:t>
      </w:r>
    </w:p>
    <w:p>
      <w:pPr>
        <w:pStyle w:val="BodyText"/>
      </w:pPr>
      <w:r>
        <w:t xml:space="preserve">Respondents were incentivised through lottery entry, consistent with the design recommendations of the survey-incentive literature (full literature review and incentive-design details in the Appendix, Section D.7).</w:t>
      </w:r>
    </w:p>
    <w:bookmarkEnd w:id="23"/>
    <w:bookmarkStart w:id="25" w:name="sec-survey-instrument"/>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w:t>
      </w:r>
      <w:r>
        <w:t xml:space="preserve"> </w:t>
      </w:r>
      <w:r>
        <w:t xml:space="preserve">(International Labour Organization, 2012, 2025)</w:t>
      </w:r>
      <w:r>
        <w:t xml:space="preserve"> </w:t>
      </w:r>
      <w:r>
        <w:t xml:space="preserve">and the associated survey-guidelines handbook</w:t>
      </w:r>
      <w:r>
        <w:t xml:space="preserve"> </w:t>
      </w:r>
      <w:r>
        <w:t xml:space="preserve">(International Labour Organization, 2024)</w:t>
      </w:r>
      <w:r>
        <w:t xml:space="preserve">.</w:t>
      </w:r>
      <w:r>
        <w:t xml:space="preserve"> </w:t>
      </w:r>
      <w:r>
        <w:t xml:space="preserve">The eleven ILO indicators of forced labour</w:t>
      </w:r>
      <w:r>
        <w:t xml:space="preserve"> </w:t>
      </w:r>
      <w:r>
        <w:t xml:space="preserve">(International Labour Organization, 2012, 2025)</w:t>
      </w:r>
      <w:r>
        <w:t xml:space="preserve"> </w:t>
      </w:r>
      <w:r>
        <w:t xml:space="preserve">provide the operational framework for our measurement strategy; the medium/strong severity ordering used to organise the indicators follows the ILO handbook on forced-labour surveys</w:t>
      </w:r>
      <w:r>
        <w:t xml:space="preserve"> </w:t>
      </w:r>
      <w:r>
        <w:t xml:space="preserve">(International Labour Organization, 2024)</w:t>
      </w:r>
      <w:r>
        <w:t xml:space="preserve">.</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The medium/strong severity classification in column 2 follows the ILO handbook on forced-labour surveys</w:t>
            </w:r>
            <w:r>
              <w:t xml:space="preserve"> </w:t>
            </w:r>
            <w:r>
              <w:t xml:space="preserve">(International Labour Organization, 2024)</w:t>
            </w:r>
            <w:r>
              <w:t xml:space="preserve">; the shorter operational-indicators publications</w:t>
            </w:r>
            <w:r>
              <w:t xml:space="preserve"> </w:t>
            </w:r>
            <w:r>
              <w:t xml:space="preserve">(International Labour Organization, 2012, 2025)</w:t>
            </w:r>
            <w:r>
              <w:t xml:space="preserve"> </w:t>
            </w:r>
            <w:r>
              <w:t xml:space="preserve">list the eleven indicators without publishing this severity ranking. Full per-category weight values are given in Appendix Table A.1. Source: Authors’ construction following ILO</w:t>
            </w:r>
            <w:r>
              <w:t xml:space="preserve"> </w:t>
            </w:r>
            <w:r>
              <w:t xml:space="preserve">(2012, 2024, 2025)</w:t>
            </w:r>
            <w:r>
              <w:t xml:space="preserve">.</w:t>
            </w:r>
          </w:p>
          <w:tbl>
            <w:tblPr>
              <w:tblStyle w:val="Table"/>
              <w:tblW w:type="pct" w:w="5000"/>
              <w:tblLayout w:type="fixed"/>
              <w:tblLook w:firstRow="1" w:lastRow="0" w:firstColumn="0" w:lastColumn="0" w:noHBand="0" w:noVBand="0" w:val="0020"/>
            </w:tblPr>
            <w:tblGrid>
              <w:gridCol w:w="304"/>
              <w:gridCol w:w="2741"/>
              <w:gridCol w:w="812"/>
              <w:gridCol w:w="1827"/>
              <w:gridCol w:w="812"/>
              <w:gridCol w:w="1421"/>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the Appendix (Sections A and B) for details of these survey questions and the construction of comparable ego- and alter-based indicators.</w:t>
      </w:r>
    </w:p>
    <w:bookmarkEnd w:id="25"/>
    <w:bookmarkStart w:id="32" w:name="sec-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 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w:t>
      </w:r>
      <w:r>
        <w:t xml:space="preserve"> </w:t>
      </w:r>
      <w:r>
        <w:t xml:space="preserve">(Gile, 2011; Gile &amp; Handcock, 2010; Goel &amp; Salganik, 2010)</w:t>
      </w:r>
      <w:r>
        <w:t xml:space="preserve">. Statistical inference in these designs depends not on the absolute sample size but on the structure of the recruitment network, degree distribution, and convergence to</w:t>
      </w:r>
      <w:r>
        <w:t xml:space="preserve"> </w:t>
      </w:r>
      <w:r>
        <w:t xml:space="preserve">equilibrium</w:t>
      </w:r>
      <w:r>
        <w:t xml:space="preserve"> </w:t>
      </w:r>
      <w:r>
        <w:t xml:space="preserve">(Salganik &amp; Heckathorn, 2004)</w:t>
      </w:r>
      <w:r>
        <w:t xml:space="preserve">. Furthermore, model-assisted and Bayesian RDS estimators</w:t>
      </w:r>
      <w:r>
        <w:t xml:space="preserve"> </w:t>
      </w:r>
      <w:r>
        <w:t xml:space="preserve">(Gile, 2011; Gile et al., 2018)</w:t>
      </w:r>
      <w:r>
        <w:t xml:space="preserve"> </w:t>
      </w:r>
      <w:r>
        <w:t xml:space="preserve">can produce model-assisted, population-adjusted estimates under explicit assumptions, even in modest samples, provided uncertainty and design limitations are made transparent. In this study, we additionally employ a neighbourhood bootstrap procedure that propagates sampling and network uncertainty, providing robust confidence intervals consistent with small-sample design-based inference</w:t>
      </w:r>
      <w:r>
        <w:t xml:space="preserve"> </w:t>
      </w:r>
      <w:r>
        <w:t xml:space="preserve">(Handcock et al., 2014)</w:t>
      </w:r>
      <w:r>
        <w:t xml:space="preserve">.</w:t>
      </w:r>
    </w:p>
    <w:p>
      <w:pPr>
        <w:pStyle w:val="BodyText"/>
      </w:pPr>
      <w:r>
        <w:t xml:space="preserve">Of the 97 initial respondents, 90 identified themselves as transnational migrants. In the analytical sample of</w:t>
      </w:r>
      <w:r>
        <w:t xml:space="preserve"> </w:t>
      </w:r>
      <m:oMath>
        <m:r>
          <m:t>n</m:t>
        </m:r>
        <m:r>
          <m:rPr>
            <m:sty m:val="p"/>
          </m:rPr>
          <m:t>=</m:t>
        </m:r>
        <m:r>
          <m:t>85</m:t>
        </m:r>
      </m:oMath>
      <w:r>
        <w:t xml:space="preserve"> </w:t>
      </w:r>
      <w:r>
        <w:t xml:space="preserve">(</w:t>
      </w:r>
      <w:hyperlink w:anchor="tbl-demographics">
        <w:r>
          <w:rPr>
            <w:rStyle w:val="Hyperlink"/>
          </w:rPr>
          <w:t xml:space="preserve">Table 2</w:t>
        </w:r>
      </w:hyperlink>
      <w:r>
        <w:t xml:space="preserve">), 47% regarded themselves as self-employed, 37% identified themselves as employees, and 17% categorised their employment status as agency workers. Filipino respondents constitute the largest nationality cluster (65 respondents, 76% of the analytical sample;</w:t>
      </w:r>
      <w:r>
        <w:t xml:space="preserve"> </w:t>
      </w:r>
      <w:hyperlink w:anchor="tbl-sample-chars">
        <w:r>
          <w:rPr>
            <w:rStyle w:val="Hyperlink"/>
          </w:rPr>
          <w:t xml:space="preserve">Table 3</w:t>
        </w:r>
      </w:hyperlink>
      <w:r>
        <w:t xml:space="preserve"> </w:t>
      </w:r>
      <w:r>
        <w:t xml:space="preserve">for the full nationality × wave breakdown); other nationalities represented include Dominican, Brazilian, Spanish, Colombian, Bolivian, Venezuelan, Cuban, and Panamanian. Female domestic workers made up 98% of the analytical sample, with the remaining 2% male. The age structure is skewed towards older workers: 49% of respondents are aged 45+, and a further 26% are aged 35–40 (</w:t>
      </w:r>
      <w:hyperlink w:anchor="tbl-demographic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fig1_recruitment_network.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demographics"/>
          <w:p>
            <w:pPr>
              <w:jc w:val="center"/>
            </w:pPr>
            <w:pPr>
              <w:jc w:val="start"/>
              <w:spacing w:before="200"/>
              <w:pStyle w:val="ImageCaption"/>
            </w:pPr>
            <w:r>
              <w:t xml:space="preserve">Table 2: Sample demographics (n = 85 analytical sample). Response categories for age and length of time in the UK follow the survey codebook (Appendix A.3); the codebook’s original response options include a small ordinal gap between 40 and 45 years of age. Source: Authors’ construction from</w:t>
            </w:r>
            <w:r>
              <w:t xml:space="preserve"> </w:t>
            </w:r>
            <w:r>
              <w:rPr>
                <w:rStyle w:val="VerbatimChar"/>
              </w:rPr>
              <w:t xml:space="preserve">data/processed/prepared_data.csv</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Characteristic</w:t>
                  </w:r>
                </w:p>
              </w:tc>
              <w:tc>
                <w:tcPr/>
                <w:p>
                  <w:pPr>
                    <w:pStyle w:val="Compact"/>
                    <w:jc w:val="left"/>
                    <w:jc w:val="center"/>
                  </w:pPr>
                  <w:r>
                    <w:t xml:space="preserve">Category</w:t>
                  </w:r>
                </w:p>
              </w:tc>
              <w:tc>
                <w:tcPr/>
                <w:p>
                  <w:pPr>
                    <w:pStyle w:val="Compact"/>
                    <w:jc w:val="right"/>
                    <w:jc w:val="center"/>
                  </w:pPr>
                  <w:r>
                    <w:t xml:space="preserve">n</w:t>
                  </w:r>
                </w:p>
              </w:tc>
              <w:tc>
                <w:tcPr/>
                <w:p>
                  <w:pPr>
                    <w:pStyle w:val="Compact"/>
                    <w:jc w:val="right"/>
                    <w:jc w:val="center"/>
                  </w:pPr>
                  <w:r>
                    <w:t xml:space="preserve">%</w:t>
                  </w:r>
                </w:p>
              </w:tc>
            </w:tr>
            <w:tr>
              <w:tc>
                <w:tcPr/>
                <w:p>
                  <w:pPr>
                    <w:pStyle w:val="Compact"/>
                    <w:jc w:val="left"/>
                    <w:jc w:val="center"/>
                  </w:pPr>
                  <w:r>
                    <w:rPr>
                      <w:b/>
                      <w:bCs/>
                    </w:rPr>
                    <w:t xml:space="preserve">Gender</w:t>
                  </w:r>
                </w:p>
              </w:tc>
              <w:tc>
                <w:tcPr/>
                <w:p>
                  <w:pPr>
                    <w:pStyle w:val="Compact"/>
                    <w:jc w:val="left"/>
                    <w:jc w:val="center"/>
                  </w:pPr>
                  <w:r>
                    <w:t xml:space="preserve">Female</w:t>
                  </w:r>
                </w:p>
              </w:tc>
              <w:tc>
                <w:tcPr/>
                <w:p>
                  <w:pPr>
                    <w:pStyle w:val="Compact"/>
                    <w:jc w:val="right"/>
                    <w:jc w:val="center"/>
                  </w:pPr>
                  <w:r>
                    <w:t xml:space="preserve">83</w:t>
                  </w:r>
                </w:p>
              </w:tc>
              <w:tc>
                <w:tcPr/>
                <w:p>
                  <w:pPr>
                    <w:pStyle w:val="Compact"/>
                    <w:jc w:val="right"/>
                    <w:jc w:val="center"/>
                  </w:pPr>
                  <w:r>
                    <w:t xml:space="preserve">97.6%</w:t>
                  </w:r>
                </w:p>
              </w:tc>
            </w:tr>
            <w:tr>
              <w:tc>
                <w:tcPr/>
                <w:p>
                  <w:pPr>
                    <w:pStyle w:val="Compact"/>
                  </w:pPr>
                </w:p>
              </w:tc>
              <w:tc>
                <w:tcPr/>
                <w:p>
                  <w:pPr>
                    <w:pStyle w:val="Compact"/>
                    <w:jc w:val="left"/>
                    <w:jc w:val="center"/>
                  </w:pPr>
                  <w:r>
                    <w:t xml:space="preserve">Male</w:t>
                  </w:r>
                </w:p>
              </w:tc>
              <w:tc>
                <w:tcPr/>
                <w:p>
                  <w:pPr>
                    <w:pStyle w:val="Compact"/>
                    <w:jc w:val="right"/>
                    <w:jc w:val="center"/>
                  </w:pPr>
                  <w:r>
                    <w:t xml:space="preserve">2</w:t>
                  </w:r>
                </w:p>
              </w:tc>
              <w:tc>
                <w:tcPr/>
                <w:p>
                  <w:pPr>
                    <w:pStyle w:val="Compact"/>
                    <w:jc w:val="right"/>
                    <w:jc w:val="center"/>
                  </w:pPr>
                  <w:r>
                    <w:t xml:space="preserve">2.4%</w:t>
                  </w:r>
                </w:p>
              </w:tc>
            </w:tr>
            <w:tr>
              <w:tc>
                <w:tcPr/>
                <w:p>
                  <w:pPr>
                    <w:pStyle w:val="Compact"/>
                    <w:jc w:val="left"/>
                    <w:jc w:val="center"/>
                  </w:pPr>
                  <w:r>
                    <w:rPr>
                      <w:b/>
                      <w:bCs/>
                    </w:rPr>
                    <w:t xml:space="preserve">Age</w:t>
                  </w:r>
                </w:p>
              </w:tc>
              <w:tc>
                <w:tcPr/>
                <w:p>
                  <w:pPr>
                    <w:pStyle w:val="Compact"/>
                    <w:jc w:val="left"/>
                    <w:jc w:val="center"/>
                  </w:pPr>
                  <w:r>
                    <w:t xml:space="preserve">23–25</w:t>
                  </w:r>
                </w:p>
              </w:tc>
              <w:tc>
                <w:tcPr/>
                <w:p>
                  <w:pPr>
                    <w:pStyle w:val="Compact"/>
                    <w:jc w:val="right"/>
                    <w:jc w:val="center"/>
                  </w:pPr>
                  <w:r>
                    <w:t xml:space="preserve">1</w:t>
                  </w:r>
                </w:p>
              </w:tc>
              <w:tc>
                <w:tcPr/>
                <w:p>
                  <w:pPr>
                    <w:pStyle w:val="Compact"/>
                    <w:jc w:val="right"/>
                    <w:jc w:val="center"/>
                  </w:pPr>
                  <w:r>
                    <w:t xml:space="preserve">1.2%</w:t>
                  </w:r>
                </w:p>
              </w:tc>
            </w:tr>
            <w:tr>
              <w:tc>
                <w:tcPr/>
                <w:p>
                  <w:pPr>
                    <w:pStyle w:val="Compact"/>
                  </w:pPr>
                </w:p>
              </w:tc>
              <w:tc>
                <w:tcPr/>
                <w:p>
                  <w:pPr>
                    <w:pStyle w:val="Compact"/>
                    <w:jc w:val="left"/>
                    <w:jc w:val="center"/>
                  </w:pPr>
                  <w:r>
                    <w:t xml:space="preserve">26–35</w:t>
                  </w:r>
                </w:p>
              </w:tc>
              <w:tc>
                <w:tcPr/>
                <w:p>
                  <w:pPr>
                    <w:pStyle w:val="Compact"/>
                    <w:jc w:val="right"/>
                    <w:jc w:val="center"/>
                  </w:pPr>
                  <w:r>
                    <w:t xml:space="preserve">20</w:t>
                  </w:r>
                </w:p>
              </w:tc>
              <w:tc>
                <w:tcPr/>
                <w:p>
                  <w:pPr>
                    <w:pStyle w:val="Compact"/>
                    <w:jc w:val="right"/>
                    <w:jc w:val="center"/>
                  </w:pPr>
                  <w:r>
                    <w:t xml:space="preserve">23.5%</w:t>
                  </w:r>
                </w:p>
              </w:tc>
            </w:tr>
            <w:tr>
              <w:tc>
                <w:tcPr/>
                <w:p>
                  <w:pPr>
                    <w:pStyle w:val="Compact"/>
                  </w:pPr>
                </w:p>
              </w:tc>
              <w:tc>
                <w:tcPr/>
                <w:p>
                  <w:pPr>
                    <w:pStyle w:val="Compact"/>
                    <w:jc w:val="left"/>
                    <w:jc w:val="center"/>
                  </w:pPr>
                  <w:r>
                    <w:t xml:space="preserve">35–40</w:t>
                  </w:r>
                </w:p>
              </w:tc>
              <w:tc>
                <w:tcPr/>
                <w:p>
                  <w:pPr>
                    <w:pStyle w:val="Compact"/>
                    <w:jc w:val="right"/>
                    <w:jc w:val="center"/>
                  </w:pPr>
                  <w:r>
                    <w:t xml:space="preserve">22</w:t>
                  </w:r>
                </w:p>
              </w:tc>
              <w:tc>
                <w:tcPr/>
                <w:p>
                  <w:pPr>
                    <w:pStyle w:val="Compact"/>
                    <w:jc w:val="right"/>
                    <w:jc w:val="center"/>
                  </w:pPr>
                  <w:r>
                    <w:t xml:space="preserve">25.9%</w:t>
                  </w:r>
                </w:p>
              </w:tc>
            </w:tr>
            <w:tr>
              <w:tc>
                <w:tcPr/>
                <w:p>
                  <w:pPr>
                    <w:pStyle w:val="Compact"/>
                  </w:pPr>
                </w:p>
              </w:tc>
              <w:tc>
                <w:tcPr/>
                <w:p>
                  <w:pPr>
                    <w:pStyle w:val="Compact"/>
                    <w:jc w:val="left"/>
                    <w:jc w:val="center"/>
                  </w:pPr>
                  <w:r>
                    <w:t xml:space="preserve">45+</w:t>
                  </w:r>
                </w:p>
              </w:tc>
              <w:tc>
                <w:tcPr/>
                <w:p>
                  <w:pPr>
                    <w:pStyle w:val="Compact"/>
                    <w:jc w:val="right"/>
                    <w:jc w:val="center"/>
                  </w:pPr>
                  <w:r>
                    <w:t xml:space="preserve">42</w:t>
                  </w:r>
                </w:p>
              </w:tc>
              <w:tc>
                <w:tcPr/>
                <w:p>
                  <w:pPr>
                    <w:pStyle w:val="Compact"/>
                    <w:jc w:val="right"/>
                    <w:jc w:val="center"/>
                  </w:pPr>
                  <w:r>
                    <w:t xml:space="preserve">49.4%</w:t>
                  </w:r>
                </w:p>
              </w:tc>
            </w:tr>
            <w:tr>
              <w:tc>
                <w:tcPr/>
                <w:p>
                  <w:pPr>
                    <w:pStyle w:val="Compact"/>
                    <w:jc w:val="left"/>
                    <w:jc w:val="center"/>
                  </w:pPr>
                  <w:r>
                    <w:rPr>
                      <w:b/>
                      <w:bCs/>
                    </w:rPr>
                    <w:t xml:space="preserve">Employment status</w:t>
                  </w:r>
                </w:p>
              </w:tc>
              <w:tc>
                <w:tcPr/>
                <w:p>
                  <w:pPr>
                    <w:pStyle w:val="Compact"/>
                    <w:jc w:val="left"/>
                    <w:jc w:val="center"/>
                  </w:pPr>
                  <w:r>
                    <w:t xml:space="preserve">Self-employed</w:t>
                  </w:r>
                </w:p>
              </w:tc>
              <w:tc>
                <w:tcPr/>
                <w:p>
                  <w:pPr>
                    <w:pStyle w:val="Compact"/>
                    <w:jc w:val="right"/>
                    <w:jc w:val="center"/>
                  </w:pPr>
                  <w:r>
                    <w:t xml:space="preserve">40</w:t>
                  </w:r>
                </w:p>
              </w:tc>
              <w:tc>
                <w:tcPr/>
                <w:p>
                  <w:pPr>
                    <w:pStyle w:val="Compact"/>
                    <w:jc w:val="right"/>
                    <w:jc w:val="center"/>
                  </w:pPr>
                  <w:r>
                    <w:t xml:space="preserve">47.1%</w:t>
                  </w:r>
                </w:p>
              </w:tc>
            </w:tr>
            <w:tr>
              <w:tc>
                <w:tcPr/>
                <w:p>
                  <w:pPr>
                    <w:pStyle w:val="Compact"/>
                  </w:pPr>
                </w:p>
              </w:tc>
              <w:tc>
                <w:tcPr/>
                <w:p>
                  <w:pPr>
                    <w:pStyle w:val="Compact"/>
                    <w:jc w:val="left"/>
                    <w:jc w:val="center"/>
                  </w:pPr>
                  <w:r>
                    <w:t xml:space="preserve">Employee</w:t>
                  </w:r>
                </w:p>
              </w:tc>
              <w:tc>
                <w:tcPr/>
                <w:p>
                  <w:pPr>
                    <w:pStyle w:val="Compact"/>
                    <w:jc w:val="right"/>
                    <w:jc w:val="center"/>
                  </w:pPr>
                  <w:r>
                    <w:t xml:space="preserve">31</w:t>
                  </w:r>
                </w:p>
              </w:tc>
              <w:tc>
                <w:tcPr/>
                <w:p>
                  <w:pPr>
                    <w:pStyle w:val="Compact"/>
                    <w:jc w:val="right"/>
                    <w:jc w:val="center"/>
                  </w:pPr>
                  <w:r>
                    <w:t xml:space="preserve">36.5%</w:t>
                  </w:r>
                </w:p>
              </w:tc>
            </w:tr>
            <w:tr>
              <w:tc>
                <w:tcPr/>
                <w:p>
                  <w:pPr>
                    <w:pStyle w:val="Compact"/>
                  </w:pPr>
                </w:p>
              </w:tc>
              <w:tc>
                <w:tcPr/>
                <w:p>
                  <w:pPr>
                    <w:pStyle w:val="Compact"/>
                    <w:jc w:val="left"/>
                    <w:jc w:val="center"/>
                  </w:pPr>
                  <w:r>
                    <w:t xml:space="preserve">Agency worker</w:t>
                  </w:r>
                </w:p>
              </w:tc>
              <w:tc>
                <w:tcPr/>
                <w:p>
                  <w:pPr>
                    <w:pStyle w:val="Compact"/>
                    <w:jc w:val="right"/>
                    <w:jc w:val="center"/>
                  </w:pPr>
                  <w:r>
                    <w:t xml:space="preserve">14</w:t>
                  </w:r>
                </w:p>
              </w:tc>
              <w:tc>
                <w:tcPr/>
                <w:p>
                  <w:pPr>
                    <w:pStyle w:val="Compact"/>
                    <w:jc w:val="right"/>
                    <w:jc w:val="center"/>
                  </w:pPr>
                  <w:r>
                    <w:t xml:space="preserve">16.5%</w:t>
                  </w:r>
                </w:p>
              </w:tc>
            </w:tr>
            <w:tr>
              <w:tc>
                <w:tcPr/>
                <w:p>
                  <w:pPr>
                    <w:pStyle w:val="Compact"/>
                    <w:jc w:val="left"/>
                    <w:jc w:val="center"/>
                  </w:pPr>
                  <w:r>
                    <w:rPr>
                      <w:b/>
                      <w:bCs/>
                    </w:rPr>
                    <w:t xml:space="preserve">Length of time in UK</w:t>
                  </w:r>
                </w:p>
              </w:tc>
              <w:tc>
                <w:tcPr/>
                <w:p>
                  <w:pPr>
                    <w:pStyle w:val="Compact"/>
                    <w:jc w:val="left"/>
                    <w:jc w:val="center"/>
                  </w:pPr>
                  <w:r>
                    <w:t xml:space="preserve">Less than 3 months</w:t>
                  </w:r>
                </w:p>
              </w:tc>
              <w:tc>
                <w:tcPr/>
                <w:p>
                  <w:pPr>
                    <w:pStyle w:val="Compact"/>
                    <w:jc w:val="right"/>
                    <w:jc w:val="center"/>
                  </w:pPr>
                  <w:r>
                    <w:t xml:space="preserve">3</w:t>
                  </w:r>
                </w:p>
              </w:tc>
              <w:tc>
                <w:tcPr/>
                <w:p>
                  <w:pPr>
                    <w:pStyle w:val="Compact"/>
                    <w:jc w:val="right"/>
                    <w:jc w:val="center"/>
                  </w:pPr>
                  <w:r>
                    <w:t xml:space="preserve">3.5%</w:t>
                  </w:r>
                </w:p>
              </w:tc>
            </w:tr>
            <w:tr>
              <w:tc>
                <w:tcPr/>
                <w:p>
                  <w:pPr>
                    <w:pStyle w:val="Compact"/>
                  </w:pPr>
                </w:p>
              </w:tc>
              <w:tc>
                <w:tcPr/>
                <w:p>
                  <w:pPr>
                    <w:pStyle w:val="Compact"/>
                    <w:jc w:val="left"/>
                    <w:jc w:val="center"/>
                  </w:pPr>
                  <w:r>
                    <w:t xml:space="preserve">3 months to 1 year</w:t>
                  </w:r>
                </w:p>
              </w:tc>
              <w:tc>
                <w:tcPr/>
                <w:p>
                  <w:pPr>
                    <w:pStyle w:val="Compact"/>
                    <w:jc w:val="right"/>
                    <w:jc w:val="center"/>
                  </w:pPr>
                  <w:r>
                    <w:t xml:space="preserve">19</w:t>
                  </w:r>
                </w:p>
              </w:tc>
              <w:tc>
                <w:tcPr/>
                <w:p>
                  <w:pPr>
                    <w:pStyle w:val="Compact"/>
                    <w:jc w:val="right"/>
                    <w:jc w:val="center"/>
                  </w:pPr>
                  <w:r>
                    <w:t xml:space="preserve">22.4%</w:t>
                  </w:r>
                </w:p>
              </w:tc>
            </w:tr>
            <w:tr>
              <w:tc>
                <w:tcPr/>
                <w:p>
                  <w:pPr>
                    <w:pStyle w:val="Compact"/>
                  </w:pPr>
                </w:p>
              </w:tc>
              <w:tc>
                <w:tcPr/>
                <w:p>
                  <w:pPr>
                    <w:pStyle w:val="Compact"/>
                    <w:jc w:val="left"/>
                    <w:jc w:val="center"/>
                  </w:pPr>
                  <w:r>
                    <w:t xml:space="preserve">1 to 3 years</w:t>
                  </w:r>
                </w:p>
              </w:tc>
              <w:tc>
                <w:tcPr/>
                <w:p>
                  <w:pPr>
                    <w:pStyle w:val="Compact"/>
                    <w:jc w:val="right"/>
                    <w:jc w:val="center"/>
                  </w:pPr>
                  <w:r>
                    <w:t xml:space="preserve">14</w:t>
                  </w:r>
                </w:p>
              </w:tc>
              <w:tc>
                <w:tcPr/>
                <w:p>
                  <w:pPr>
                    <w:pStyle w:val="Compact"/>
                    <w:jc w:val="right"/>
                    <w:jc w:val="center"/>
                  </w:pPr>
                  <w:r>
                    <w:t xml:space="preserve">16.5%</w:t>
                  </w:r>
                </w:p>
              </w:tc>
            </w:tr>
            <w:tr>
              <w:tc>
                <w:tcPr/>
                <w:p>
                  <w:pPr>
                    <w:pStyle w:val="Compact"/>
                  </w:pPr>
                </w:p>
              </w:tc>
              <w:tc>
                <w:tcPr/>
                <w:p>
                  <w:pPr>
                    <w:pStyle w:val="Compact"/>
                    <w:jc w:val="left"/>
                    <w:jc w:val="center"/>
                  </w:pPr>
                  <w:r>
                    <w:t xml:space="preserve">More than 3 years</w:t>
                  </w:r>
                </w:p>
              </w:tc>
              <w:tc>
                <w:tcPr/>
                <w:p>
                  <w:pPr>
                    <w:pStyle w:val="Compact"/>
                    <w:jc w:val="right"/>
                    <w:jc w:val="center"/>
                  </w:pPr>
                  <w:r>
                    <w:t xml:space="preserve">49</w:t>
                  </w:r>
                </w:p>
              </w:tc>
              <w:tc>
                <w:tcPr/>
                <w:p>
                  <w:pPr>
                    <w:pStyle w:val="Compact"/>
                    <w:jc w:val="right"/>
                    <w:jc w:val="center"/>
                  </w:pPr>
                  <w:r>
                    <w:t xml:space="preserve">57.6%</w:t>
                  </w:r>
                </w:p>
              </w:tc>
            </w:tr>
          </w:tbl>
          <w:bookmarkEnd w:id="3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1" w:name="tbl-sample-chars"/>
          <w:p>
            <w:pPr>
              <w:jc w:val="center"/>
            </w:pPr>
            <w:pPr>
              <w:jc w:val="start"/>
              <w:spacing w:before="200"/>
              <w:pStyle w:val="ImageCaption"/>
            </w:pPr>
            <w:r>
              <w:t xml:space="preserve">Table 3: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5000"/>
              <w:tblLayout w:type="fixed"/>
              <w:tblLook w:firstRow="1" w:lastRow="0" w:firstColumn="0" w:lastColumn="0" w:noHBand="0" w:noVBand="0" w:val="0020"/>
            </w:tblPr>
            <w:tblGrid>
              <w:gridCol w:w="2278"/>
              <w:gridCol w:w="1735"/>
              <w:gridCol w:w="867"/>
              <w:gridCol w:w="867"/>
              <w:gridCol w:w="976"/>
              <w:gridCol w:w="1193"/>
            </w:tblGrid>
            <w:tr>
              <w:trPr>
                <w:tblHeader w:val="on"/>
              </w:trPr>
              <w:tc>
                <w:tcPr/>
                <w:p>
                  <w:pPr>
                    <w:pStyle w:val="Compact"/>
                    <w:jc w:val="left"/>
                    <w:jc w:val="center"/>
                  </w:pPr>
                  <w:r>
                    <w:t xml:space="preserve">Nationality cluster</w:t>
                  </w:r>
                </w:p>
              </w:tc>
              <w:tc>
                <w:tcPr/>
                <w:p>
                  <w:pPr>
                    <w:pStyle w:val="Compact"/>
                    <w:jc w:val="right"/>
                    <w:jc w:val="center"/>
                  </w:pPr>
                  <w:r>
                    <w:t xml:space="preserve">Wave 0 (seeds)</w:t>
                  </w:r>
                </w:p>
              </w:tc>
              <w:tc>
                <w:tcPr/>
                <w:p>
                  <w:pPr>
                    <w:pStyle w:val="Compact"/>
                    <w:jc w:val="right"/>
                    <w:jc w:val="center"/>
                  </w:pPr>
                  <w:r>
                    <w:t xml:space="preserve">Wave 1</w:t>
                  </w:r>
                </w:p>
              </w:tc>
              <w:tc>
                <w:tcPr/>
                <w:p>
                  <w:pPr>
                    <w:pStyle w:val="Compact"/>
                    <w:jc w:val="right"/>
                    <w:jc w:val="center"/>
                  </w:pPr>
                  <w:r>
                    <w:t xml:space="preserve">Wave 2</w:t>
                  </w:r>
                </w:p>
              </w:tc>
              <w:tc>
                <w:tcPr/>
                <w:p>
                  <w:pPr>
                    <w:pStyle w:val="Compact"/>
                    <w:jc w:val="right"/>
                    <w:jc w:val="center"/>
                  </w:pPr>
                  <w:r>
                    <w:t xml:space="preserve">Wave 3+</w:t>
                  </w:r>
                </w:p>
              </w:tc>
              <w:tc>
                <w:tcPr/>
                <w:p>
                  <w:pPr>
                    <w:pStyle w:val="Compact"/>
                    <w:jc w:val="right"/>
                    <w:jc w:val="center"/>
                  </w:pPr>
                  <w:r>
                    <w:t xml:space="preserve">Total (n)</w:t>
                  </w:r>
                </w:p>
              </w:tc>
            </w:tr>
            <w:tr>
              <w:tc>
                <w:tcPr/>
                <w:p>
                  <w:pPr>
                    <w:pStyle w:val="Compact"/>
                    <w:jc w:val="left"/>
                    <w:jc w:val="center"/>
                  </w:pPr>
                  <w:r>
                    <w:t xml:space="preserve">Filipino</w:t>
                  </w:r>
                </w:p>
              </w:tc>
              <w:tc>
                <w:tcPr/>
                <w:p>
                  <w:pPr>
                    <w:pStyle w:val="Compact"/>
                    <w:jc w:val="right"/>
                    <w:jc w:val="center"/>
                  </w:pPr>
                  <w:r>
                    <w:t xml:space="preserve">35</w:t>
                  </w:r>
                </w:p>
              </w:tc>
              <w:tc>
                <w:tcPr/>
                <w:p>
                  <w:pPr>
                    <w:pStyle w:val="Compact"/>
                    <w:jc w:val="right"/>
                    <w:jc w:val="center"/>
                  </w:pPr>
                  <w:r>
                    <w:t xml:space="preserve">18</w:t>
                  </w:r>
                </w:p>
              </w:tc>
              <w:tc>
                <w:tcPr/>
                <w:p>
                  <w:pPr>
                    <w:pStyle w:val="Compact"/>
                    <w:jc w:val="right"/>
                    <w:jc w:val="center"/>
                  </w:pPr>
                  <w:r>
                    <w:t xml:space="preserve">9</w:t>
                  </w:r>
                </w:p>
              </w:tc>
              <w:tc>
                <w:tcPr/>
                <w:p>
                  <w:pPr>
                    <w:pStyle w:val="Compact"/>
                    <w:jc w:val="right"/>
                    <w:jc w:val="center"/>
                  </w:pPr>
                  <w:r>
                    <w:t xml:space="preserve">3</w:t>
                  </w:r>
                </w:p>
              </w:tc>
              <w:tc>
                <w:tcPr/>
                <w:p>
                  <w:pPr>
                    <w:pStyle w:val="Compact"/>
                    <w:jc w:val="right"/>
                    <w:jc w:val="center"/>
                  </w:pPr>
                  <w:r>
                    <w:t xml:space="preserve">65</w:t>
                  </w:r>
                </w:p>
              </w:tc>
            </w:tr>
            <w:tr>
              <w:tc>
                <w:tcPr/>
                <w:p>
                  <w:pPr>
                    <w:pStyle w:val="Compact"/>
                    <w:jc w:val="left"/>
                    <w:jc w:val="center"/>
                  </w:pPr>
                  <w:r>
                    <w:t xml:space="preserve">Latinx</w:t>
                  </w:r>
                </w:p>
              </w:tc>
              <w:tc>
                <w:tcPr/>
                <w:p>
                  <w:pPr>
                    <w:pStyle w:val="Compact"/>
                    <w:jc w:val="right"/>
                    <w:jc w:val="center"/>
                  </w:pPr>
                  <w:r>
                    <w:t xml:space="preserve">4</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6</w:t>
                  </w:r>
                </w:p>
              </w:tc>
            </w:tr>
            <w:tr>
              <w:tc>
                <w:tcPr/>
                <w:p>
                  <w:pPr>
                    <w:pStyle w:val="Compact"/>
                    <w:jc w:val="left"/>
                    <w:jc w:val="center"/>
                  </w:pPr>
                  <w:r>
                    <w:t xml:space="preserve">British</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Other</w:t>
                  </w:r>
                </w:p>
              </w:tc>
              <w:tc>
                <w:tcPr/>
                <w:p>
                  <w:pPr>
                    <w:pStyle w:val="Compact"/>
                    <w:jc w:val="right"/>
                    <w:jc w:val="center"/>
                  </w:pPr>
                  <w:r>
                    <w:t xml:space="preserve">5</w:t>
                  </w:r>
                </w:p>
              </w:tc>
              <w:tc>
                <w:tcPr/>
                <w:p>
                  <w:pPr>
                    <w:pStyle w:val="Compact"/>
                    <w:jc w:val="right"/>
                    <w:jc w:val="center"/>
                  </w:pPr>
                  <w:r>
                    <w:t xml:space="preserve">5</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12</w:t>
                  </w:r>
                </w:p>
              </w:tc>
            </w:tr>
            <w:tr>
              <w:tc>
                <w:tcPr/>
                <w:p>
                  <w:pPr>
                    <w:pStyle w:val="Compact"/>
                    <w:jc w:val="left"/>
                    <w:jc w:val="center"/>
                  </w:pPr>
                  <w:r>
                    <w:rPr>
                      <w:b/>
                      <w:bCs/>
                    </w:rPr>
                    <w:t xml:space="preserve">Total</w:t>
                  </w:r>
                </w:p>
              </w:tc>
              <w:tc>
                <w:tcPr/>
                <w:p>
                  <w:pPr>
                    <w:pStyle w:val="Compact"/>
                    <w:jc w:val="right"/>
                    <w:jc w:val="center"/>
                  </w:pPr>
                  <w:r>
                    <w:rPr>
                      <w:b/>
                      <w:bCs/>
                    </w:rPr>
                    <w:t xml:space="preserve">46</w:t>
                  </w:r>
                </w:p>
              </w:tc>
              <w:tc>
                <w:tcPr/>
                <w:p>
                  <w:pPr>
                    <w:pStyle w:val="Compact"/>
                    <w:jc w:val="right"/>
                    <w:jc w:val="center"/>
                  </w:pPr>
                  <w:r>
                    <w:rPr>
                      <w:b/>
                      <w:bCs/>
                    </w:rPr>
                    <w:t xml:space="preserve">25</w:t>
                  </w:r>
                </w:p>
              </w:tc>
              <w:tc>
                <w:tcPr/>
                <w:p>
                  <w:pPr>
                    <w:pStyle w:val="Compact"/>
                    <w:jc w:val="right"/>
                    <w:jc w:val="center"/>
                  </w:pPr>
                  <w:r>
                    <w:rPr>
                      <w:b/>
                      <w:bCs/>
                    </w:rPr>
                    <w:t xml:space="preserve">11</w:t>
                  </w:r>
                </w:p>
              </w:tc>
              <w:tc>
                <w:tcPr/>
                <w:p>
                  <w:pPr>
                    <w:pStyle w:val="Compact"/>
                    <w:jc w:val="right"/>
                    <w:jc w:val="center"/>
                  </w:pPr>
                  <w:r>
                    <w:rPr>
                      <w:b/>
                      <w:bCs/>
                    </w:rPr>
                    <w:t xml:space="preserve">3</w:t>
                  </w:r>
                </w:p>
              </w:tc>
              <w:tc>
                <w:tcPr/>
                <w:p>
                  <w:pPr>
                    <w:pStyle w:val="Compact"/>
                    <w:jc w:val="right"/>
                    <w:jc w:val="center"/>
                  </w:pPr>
                  <w:r>
                    <w:rPr>
                      <w:b/>
                      <w:bCs/>
                    </w:rPr>
                    <w:t xml:space="preserve">85</w:t>
                  </w:r>
                </w:p>
              </w:tc>
            </w:tr>
          </w:tbl>
          <w:bookmarkEnd w:id="31"/>
          <w:p/>
        </w:tc>
      </w:tr>
    </w:tbl>
    <w:bookmarkEnd w:id="32"/>
    <w:bookmarkStart w:id="36" w:name="sec-estimation-framework"/>
    <w:p>
      <w:pPr>
        <w:pStyle w:val="Heading2"/>
      </w:pPr>
      <w:r>
        <w:t xml:space="preserve">3.4 Estimation Framework</w:t>
      </w:r>
    </w:p>
    <w:p>
      <w:pPr>
        <w:pStyle w:val="FirstParagraph"/>
      </w:pPr>
      <w:r>
        <w:t xml:space="preserve">Before describing each estimator in turn,</w:t>
      </w:r>
      <w:r>
        <w:t xml:space="preserve"> </w:t>
      </w:r>
      <w:hyperlink w:anchor="tbl-estimands">
        <w:r>
          <w:rPr>
            <w:rStyle w:val="Hyperlink"/>
          </w:rPr>
          <w:t xml:space="preserve">Table 4</w:t>
        </w:r>
      </w:hyperlink>
      <w:r>
        <w:t xml:space="preserve"> </w:t>
      </w:r>
      <w:r>
        <w:t xml:space="preserve">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The order-of-magnitude RDS–NSUM gap should not be read as two methods disagreeing about the same estimand. RDS estimates own-experience prevalence, whereas NSUM estimates network-visible prevalence among alters; the divergence is therefore substantively interpretable rather than merely a discrepancy.</w:t>
      </w:r>
    </w:p>
    <w:tbl>
      <w:tblPr>
        <w:tblStyle w:val="Table"/>
        <w:tblW w:type="pct" w:w="5000"/>
        <w:tblLayout w:type="fixed"/>
        <w:tblLook w:firstRow="0" w:lastRow="0" w:firstColumn="0" w:lastColumn="0" w:noHBand="0" w:noVBand="0" w:val="0000"/>
      </w:tblPr>
      <w:tblGrid>
        <w:gridCol w:w="7920"/>
      </w:tblGrid>
      <w:tr>
        <w:tc>
          <w:tcPr/>
          <w:bookmarkStart w:id="33" w:name="tbl-estimands"/>
          <w:p>
            <w:pPr>
              <w:jc w:val="center"/>
            </w:pPr>
            <w:pPr>
              <w:jc w:val="start"/>
              <w:spacing w:before="200"/>
              <w:pStyle w:val="ImageCaption"/>
            </w:pPr>
            <w:r>
              <w:t xml:space="preserve">Table 4: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00"/>
              <w:tblLayout w:type="fixed"/>
              <w:tblLook w:firstRow="1" w:lastRow="0" w:firstColumn="0" w:lastColumn="0" w:noHBand="0" w:noVBand="0" w:val="0020"/>
            </w:tblPr>
            <w:tblGrid>
              <w:gridCol w:w="760"/>
              <w:gridCol w:w="2200"/>
              <w:gridCol w:w="2360"/>
              <w:gridCol w:w="2600"/>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 (binary, preferred)</w:t>
                  </w:r>
                </w:p>
              </w:tc>
              <w:tc>
                <w:tcPr/>
                <w:p>
                  <w:pPr>
                    <w:pStyle w:val="Compact"/>
                    <w:jc w:val="left"/>
                    <w:jc w:val="center"/>
                  </w:pPr>
                  <w:r>
                    <w:t xml:space="preserve">Respondent’s own experience + reported degree + recruitment-chain structure</w:t>
                  </w:r>
                </w:p>
              </w:tc>
              <w:tc>
                <w:tcPr/>
                <w:p>
                  <w:pPr>
                    <w:pStyle w:val="Compact"/>
                    <w:jc w:val="left"/>
                    <w:jc w:val="center"/>
                  </w:pPr>
                  <w:r>
                    <w:t xml:space="preserve">Own-experience prevalence among the RDS-reachable population of UK migrant domestic workers</w:t>
                  </w:r>
                </w:p>
              </w:tc>
              <w:tc>
                <w:tcPr/>
                <w:p>
                  <w:pPr>
                    <w:pStyle w:val="Compact"/>
                    <w:jc w:val="left"/>
                    <w:jc w:val="center"/>
                  </w:pPr>
                  <w:r>
                    <w:t xml:space="preserve">Seed dependence, shallow recruitment chains, homophily, unobserved degree heterogeneity</w:t>
                  </w:r>
                </w:p>
              </w:tc>
            </w:tr>
            <w:tr>
              <w:tc>
                <w:tcPr/>
                <w:p>
                  <w:pPr>
                    <w:pStyle w:val="Compact"/>
                    <w:jc w:val="left"/>
                    <w:jc w:val="center"/>
                  </w:pPr>
                  <w:r>
                    <w:t xml:space="preserve">MA-RDS (supporting)</w:t>
                  </w:r>
                </w:p>
              </w:tc>
              <w:tc>
                <w:tcPr/>
                <w:p>
                  <w:pPr>
                    <w:pStyle w:val="Compact"/>
                    <w:jc w:val="left"/>
                    <w:jc w:val="center"/>
                  </w:pPr>
                  <w:r>
                    <w:t xml:space="preserve">Same as RDS-SS, plus a working Exponential Random Graph network model</w:t>
                  </w:r>
                </w:p>
              </w:tc>
              <w:tc>
                <w:tcPr/>
                <w:p>
                  <w:pPr>
                    <w:pStyle w:val="Compact"/>
                    <w:jc w:val="left"/>
                    <w:jc w:val="center"/>
                  </w:pPr>
                  <w:r>
                    <w:t xml:space="preserve">Model-assisted own-experience prevalence (same target as RDS-SS, with network-structure adjustment)</w:t>
                  </w:r>
                </w:p>
              </w:tc>
              <w:tc>
                <w:tcPr/>
                <w:p>
                  <w:pPr>
                    <w:pStyle w:val="Compact"/>
                    <w:jc w:val="left"/>
                    <w:jc w:val="center"/>
                  </w:pPr>
                  <w:r>
                    <w:t xml:space="preserve">Network-model misspecification, convergence limits at small</w:t>
                  </w:r>
                  <w:r>
                    <w:t xml:space="preserve"> </w:t>
                  </w:r>
                  <m:oMath>
                    <m:r>
                      <m:t>n</m:t>
                    </m:r>
                  </m:oMath>
                  <w:r>
                    <w:t xml:space="preserve">; does not converge on continuous outcomes</w:t>
                  </w:r>
                </w:p>
              </w:tc>
            </w:tr>
            <w:tr>
              <w:tc>
                <w:tcPr/>
                <w:p>
                  <w:pPr>
                    <w:pStyle w:val="Compact"/>
                    <w:jc w:val="left"/>
                    <w:jc w:val="center"/>
                  </w:pPr>
                  <w:r>
                    <w:t xml:space="preserve">MBSU NSUM (binary, preferred)</w:t>
                  </w:r>
                </w:p>
              </w:tc>
              <w:tc>
                <w:tcPr/>
                <w:p>
                  <w:pPr>
                    <w:pStyle w:val="Compact"/>
                    <w:jc w:val="left"/>
                    <w:jc w:val="center"/>
                  </w:pPr>
                  <w:r>
                    <w:t xml:space="preserve">Respondent reports about alters in their personal network</w:t>
                  </w:r>
                </w:p>
              </w:tc>
              <w:tc>
                <w:tcPr/>
                <w:p>
                  <w:pPr>
                    <w:pStyle w:val="Compact"/>
                    <w:jc w:val="left"/>
                    <w:jc w:val="center"/>
                  </w:pPr>
                  <w:r>
                    <w:t xml:space="preserve">Network-visible prevalence among domestic-worker alters in the respondents’ aggregated network</w:t>
                  </w:r>
                </w:p>
              </w:tc>
              <w:tc>
                <w:tcPr/>
                <w:p>
                  <w:pPr>
                    <w:pStyle w:val="Compact"/>
                    <w:jc w:val="left"/>
                    <w:jc w:val="center"/>
                  </w:pPr>
                  <w:r>
                    <w:t xml:space="preserve">Transmission bias, visibility gradient across exploitation behaviours, alter misclassification, unknown true-positive rate (</w:t>
                  </w:r>
                  <m:oMath>
                    <m:r>
                      <m:t>τ</m:t>
                    </m:r>
                  </m:oMath>
                  <w:r>
                    <w:t xml:space="preserve">)</w:t>
                  </w:r>
                </w:p>
              </w:tc>
            </w:tr>
            <w:tr>
              <w:tc>
                <w:tcPr/>
                <w:p>
                  <w:pPr>
                    <w:pStyle w:val="Compact"/>
                    <w:jc w:val="left"/>
                    <w:jc w:val="center"/>
                  </w:pPr>
                  <w:r>
                    <w:t xml:space="preserve">Composite risk index</w:t>
                  </w:r>
                </w:p>
              </w:tc>
              <w:tc>
                <w:tcPr/>
                <w:p>
                  <w:pPr>
                    <w:pStyle w:val="Compact"/>
                    <w:jc w:val="left"/>
                    <w:jc w:val="center"/>
                  </w:pPr>
                  <w:r>
                    <w:t xml:space="preserve">Respondent’s own indicator profile across all eleven ILO indicators</w:t>
                  </w:r>
                </w:p>
              </w:tc>
              <w:tc>
                <w:tcPr/>
                <w:p>
                  <w:pPr>
                    <w:pStyle w:val="Compact"/>
                    <w:jc w:val="left"/>
                    <w:jc w:val="center"/>
                  </w:pPr>
                  <w:r>
                    <w:t xml:space="preserve">RDS-adjusted population mean of the formative-additive severity score</w:t>
                  </w:r>
                </w:p>
              </w:tc>
              <w:tc>
                <w:tcPr/>
                <w:p>
                  <w:pPr>
                    <w:pStyle w:val="Compact"/>
                    <w:jc w:val="left"/>
                    <w:jc w:val="center"/>
                  </w:pPr>
                  <w:r>
                    <w:t xml:space="preserve">Weight specification, construct validity, formative-vs-reflective measurement assumptions</w:t>
                  </w:r>
                </w:p>
              </w:tc>
            </w:tr>
          </w:tbl>
          <w:bookmarkEnd w:id="33"/>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w:t>
      </w:r>
      <w:r>
        <w:t xml:space="preserve"> </w:t>
      </w:r>
      <w:r>
        <w:t xml:space="preserve">(Hickman et al., 2025; IST Research &amp; University of California, Los Angeles, 2020)</w:t>
      </w:r>
      <w:r>
        <w:t xml:space="preserve">.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w:t>
      </w:r>
      <w:r>
        <w:t xml:space="preserve"> </w:t>
      </w:r>
      <w:r>
        <w:t xml:space="preserve">(Salganik &amp; Heckathorn, 2004)</w:t>
      </w:r>
      <w:r>
        <w:t xml:space="preserve">, the Volz–Heckathorn (VH) estimator</w:t>
      </w:r>
      <w:r>
        <w:t xml:space="preserve"> </w:t>
      </w:r>
      <w:r>
        <w:t xml:space="preserve">(Volz &amp; Heckathorn, 2008)</w:t>
      </w:r>
      <w:r>
        <w:t xml:space="preserve">, and</w:t>
      </w:r>
      <w:r>
        <w:t xml:space="preserve"> </w:t>
      </w:r>
      <w:r>
        <w:t xml:space="preserve">Gile’s Successive Sampling (RDS-SS) estimator</w:t>
      </w:r>
      <w:r>
        <w:t xml:space="preserve"> </w:t>
      </w:r>
      <w:r>
        <w:t xml:space="preserve">(Gile, 2011)</w:t>
      </w:r>
      <w:r>
        <w:t xml:space="preserve">.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w:t>
      </w:r>
      <w:r>
        <w:t xml:space="preserve"> </w:t>
      </w:r>
      <w:r>
        <w:t xml:space="preserve">(Gile &amp; Handcock, 2015)</w:t>
      </w:r>
      <w:r>
        <w:t xml:space="preserve">.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w:t>
      </w:r>
      <w:r>
        <w:t xml:space="preserve"> </w:t>
      </w:r>
      <w:r>
        <w:t xml:space="preserve">(Gile, 2011)</w:t>
      </w:r>
      <w:r>
        <w:t xml:space="preserve">. We note one important limitation: the MA-RDS</w:t>
      </w:r>
      <w:r>
        <w:t xml:space="preserve"> </w:t>
      </w:r>
      <w:r>
        <w:t xml:space="preserve">implementation in the</w:t>
      </w:r>
      <w:r>
        <w:t xml:space="preserve"> </w:t>
      </w:r>
      <w:r>
        <w:rPr>
          <w:rStyle w:val="VerbatimChar"/>
        </w:rPr>
        <w:t xml:space="preserve">RDS</w:t>
      </w:r>
      <w:r>
        <w:t xml:space="preserve"> </w:t>
      </w:r>
      <w:r>
        <w:t xml:space="preserve">package (</w:t>
      </w:r>
      <w:r>
        <w:rPr>
          <w:rStyle w:val="VerbatimChar"/>
        </w:rPr>
        <w:t xml:space="preserve">MA.estimates()</w:t>
      </w:r>
      <w:r>
        <w:t xml:space="preserve">) is designed primarily for binary traits, and we find that for the continuous composite risk index it does not converge to a useful posterior at our</w:t>
      </w:r>
      <w:r>
        <w:t xml:space="preserve"> </w:t>
      </w:r>
      <w:r>
        <w:t xml:space="preserve">sample size (</w:t>
      </w:r>
      <m:oMath>
        <m:r>
          <m:t>n</m:t>
        </m:r>
        <m:r>
          <m:rPr>
            <m:sty m:val="p"/>
          </m:rPr>
          <m:t>=</m:t>
        </m:r>
        <m:r>
          <m:t>85</m:t>
        </m:r>
      </m:oMath>
      <w:r>
        <w:t xml:space="preserve">);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supporting-estimates">
        <w:r>
          <w:rPr>
            <w:rStyle w:val="Hyperlink"/>
          </w:rPr>
          <w:t xml:space="preserve">Section 4.4</w:t>
        </w:r>
      </w:hyperlink>
      <w:r>
        <w:t xml:space="preserve"> </w:t>
      </w:r>
      <w:r>
        <w:t xml:space="preserve">and the Appendix D.2).</w:t>
      </w:r>
    </w:p>
    <w:p>
      <w:pPr>
        <w:pStyle w:val="BodyText"/>
      </w:pPr>
      <w:r>
        <w:rPr>
          <w:i/>
          <w:iCs/>
        </w:rPr>
        <w:t xml:space="preserve">Within-Population Scale-Up Estimation (NSUM):</w:t>
      </w:r>
      <w:r>
        <w:t xml:space="preserve"> </w:t>
      </w:r>
      <w:r>
        <w:t xml:space="preserve">We employ the Modified Basic Scale-Up (MBSU) logic of</w:t>
      </w:r>
      <w:r>
        <w:t xml:space="preserve"> </w:t>
      </w:r>
      <w:r>
        <w:t xml:space="preserve">Feehan &amp; Salganik (2016)</w:t>
      </w:r>
      <w:r>
        <w:t xml:space="preserve"> </w:t>
      </w:r>
      <w:r>
        <w:t xml:space="preserve">in a non-standard, within-population configuration. In standard NSUM, respondents are usually sampled from a frame population and report how many people they know in a hidden population. Here, by contrast, respondents are themselves UK migrant domestic workers and report on other UK migrant domestic workers they know. We therefore treat the design as a</w:t>
      </w:r>
      <w:r>
        <w:t xml:space="preserve"> </w:t>
      </w:r>
      <w:r>
        <w:rPr>
          <w:i/>
          <w:iCs/>
        </w:rPr>
        <w:t xml:space="preserve">within-population scale-up</w:t>
      </w:r>
      <w:r>
        <w:t xml:space="preserve"> </w:t>
      </w:r>
      <w:r>
        <w:t xml:space="preserve">or</w:t>
      </w:r>
      <w:r>
        <w:t xml:space="preserve"> </w:t>
      </w:r>
      <w:r>
        <w:rPr>
          <w:i/>
          <w:iCs/>
        </w:rPr>
        <w:t xml:space="preserve">alter-report network prevalence</w:t>
      </w:r>
      <w:r>
        <w:t xml:space="preserve"> </w:t>
      </w:r>
      <w:r>
        <w:t xml:space="preserve">design: the target quantity is not the absolute size of the hidden population, but the network-visible prevalence of exploitation indicators among domestic-worker alters in respondents’ personal networks. This estimand differs from the standard NSUM estimand and is documented in</w:t>
      </w:r>
      <w:r>
        <w:t xml:space="preserve"> </w:t>
      </w:r>
      <w:hyperlink w:anchor="tbl-estimands">
        <w:r>
          <w:rPr>
            <w:rStyle w:val="Hyperlink"/>
          </w:rPr>
          <w:t xml:space="preserve">Table 4</w:t>
        </w:r>
      </w:hyperlink>
      <w:r>
        <w:t xml:space="preserve"> </w:t>
      </w:r>
      <w:r>
        <w:t xml:space="preserve">above.</w:t>
      </w:r>
    </w:p>
    <w:p>
      <w:pPr>
        <w:pStyle w:val="BodyText"/>
      </w:pPr>
      <w:r>
        <w:t xml:space="preserve">Let</w:t>
      </w:r>
      <w:r>
        <w:t xml:space="preserve"> </w:t>
      </w:r>
      <m:oMath>
        <m:sSub>
          <m:e>
            <m:r>
              <m:t>H</m:t>
            </m:r>
          </m:e>
          <m:sub>
            <m:r>
              <m:t>h</m:t>
            </m:r>
          </m:sub>
        </m:sSub>
      </m:oMath>
      <w:r>
        <w:t xml:space="preserve"> </w:t>
      </w:r>
      <w:r>
        <w:t xml:space="preserve">denote the subset of domestic-worker alters who truly have exploitation indicator</w:t>
      </w:r>
      <w:r>
        <w:t xml:space="preserve"> </w:t>
      </w:r>
      <m:oMath>
        <m:r>
          <m:t>h</m:t>
        </m:r>
      </m:oMath>
      <w:r>
        <w:t xml:space="preserve">, and let</w:t>
      </w:r>
      <w:r>
        <w:t xml:space="preserve"> </w:t>
      </w:r>
      <m:oMath>
        <m:r>
          <m:t>F</m:t>
        </m:r>
      </m:oMath>
      <w:r>
        <w:t xml:space="preserve"> </w:t>
      </w:r>
      <w:r>
        <w:t xml:space="preserve">denote the domestic-worker alter universe induced by the survey’s tie definition (the</w:t>
      </w:r>
      <w:r>
        <w:t xml:space="preserve"> </w:t>
      </w:r>
      <w:r>
        <w:rPr>
          <w:i/>
          <w:iCs/>
        </w:rPr>
        <w:t xml:space="preserve">frame</w:t>
      </w:r>
      <w:r>
        <w:t xml:space="preserve">). For respondent</w:t>
      </w:r>
      <w:r>
        <w:t xml:space="preserve"> </w:t>
      </w:r>
      <m:oMath>
        <m:r>
          <m:t>i</m:t>
        </m:r>
      </m:oMath>
      <w:r>
        <w:t xml:space="preserve">, let</w:t>
      </w:r>
      <w:r>
        <w:t xml:space="preserve"> </w:t>
      </w:r>
      <m:oMath>
        <m:sSub>
          <m:e>
            <m:r>
              <m:t>y</m:t>
            </m:r>
          </m:e>
          <m:sub>
            <m:r>
              <m:t>i</m:t>
            </m:r>
            <m:r>
              <m:t>h</m:t>
            </m:r>
          </m:sub>
        </m:sSub>
      </m:oMath>
      <w:r>
        <w:t xml:space="preserve"> </w:t>
      </w:r>
      <w:r>
        <w:t xml:space="preserve">be the reported number of known domestic-worker alters with indicator</w:t>
      </w:r>
      <w:r>
        <w:t xml:space="preserve"> </w:t>
      </w:r>
      <m:oMath>
        <m:r>
          <m:t>h</m:t>
        </m:r>
      </m:oMath>
      <w:r>
        <w:t xml:space="preserve">, and let</w:t>
      </w:r>
      <w:r>
        <w:t xml:space="preserve"> </w:t>
      </w:r>
      <m:oMath>
        <m:sSubSup>
          <m:e>
            <m:r>
              <m:t>d</m:t>
            </m:r>
          </m:e>
          <m:sub>
            <m:r>
              <m:t>i</m:t>
            </m:r>
          </m:sub>
          <m:sup>
            <m:r>
              <m:t>D</m:t>
            </m:r>
            <m:r>
              <m:t>W</m:t>
            </m:r>
          </m:sup>
        </m:sSubSup>
      </m:oMath>
      <w:r>
        <w:t xml:space="preserve"> </w:t>
      </w:r>
      <w:r>
        <w:t xml:space="preserve">be respondent</w:t>
      </w:r>
      <w:r>
        <w:t xml:space="preserve"> </w:t>
      </w:r>
      <m:oMath>
        <m:r>
          <m:t>i</m:t>
        </m:r>
      </m:oMath>
      <w:r>
        <w:t xml:space="preserve">’s reported number of known UK migrant domestic workers. The quantity</w:t>
      </w:r>
      <w:r>
        <w:t xml:space="preserve"> </w:t>
      </w:r>
      <m:oMath>
        <m:sSubSup>
          <m:e>
            <m:r>
              <m:t>d</m:t>
            </m:r>
          </m:e>
          <m:sub>
            <m:r>
              <m:t>i</m:t>
            </m:r>
          </m:sub>
          <m:sup>
            <m:r>
              <m:t>D</m:t>
            </m:r>
            <m:r>
              <m:t>W</m:t>
            </m:r>
          </m:sup>
        </m:sSubSup>
      </m:oMath>
      <w:r>
        <w:t xml:space="preserve"> </w:t>
      </w:r>
      <w:r>
        <w:t xml:space="preserve">is therefore a domestic-worker alter degree: it is the denominator for the alter reports</w:t>
      </w:r>
      <w:r>
        <w:t xml:space="preserve"> </w:t>
      </w:r>
      <m:oMath>
        <m:sSub>
          <m:e>
            <m:r>
              <m:t>y</m:t>
            </m:r>
          </m:e>
          <m:sub>
            <m:r>
              <m:t>i</m:t>
            </m:r>
            <m:r>
              <m:t>h</m:t>
            </m:r>
          </m:sub>
        </m:sSub>
      </m:oMath>
      <w:r>
        <w:t xml:space="preserve">, not respondent</w:t>
      </w:r>
      <w:r>
        <w:t xml:space="preserve"> </w:t>
      </w:r>
      <m:oMath>
        <m:r>
          <m:t>i</m:t>
        </m:r>
      </m:oMath>
      <w:r>
        <w:t xml:space="preserve">’s total personal network size in the usual NSUM sense.</w:t>
      </w:r>
    </w:p>
    <w:p>
      <w:pPr>
        <w:pStyle w:val="BodyText"/>
      </w:pPr>
      <w:r>
        <w:t xml:space="preserve">The unadjusted within-population NSUM estimator is</w:t>
      </w:r>
    </w:p>
    <w:p>
      <w:pPr>
        <w:pStyle w:val="BodyText"/>
      </w:pPr>
      <w:bookmarkStart w:id="34" w:name="eq-1"/>
      <m:oMathPara>
        <m:oMathParaPr>
          <m:jc m:val="center"/>
        </m:oMathParaPr>
        <m:oMath>
          <m:sSubSup>
            <m:e>
              <m:acc>
                <m:accPr>
                  <m:chr m:val="̂"/>
                </m:accPr>
                <m:e>
                  <m:r>
                    <m:t>p</m:t>
                  </m:r>
                </m:e>
              </m:acc>
            </m:e>
            <m:sub>
              <m:r>
                <m:t>h</m:t>
              </m:r>
            </m:sub>
            <m:sup>
              <m:r>
                <m:t>N</m:t>
              </m:r>
              <m:r>
                <m:t>S</m:t>
              </m:r>
              <m:r>
                <m:t>U</m:t>
              </m:r>
              <m:r>
                <m:t>M</m:t>
              </m:r>
            </m:sup>
          </m:sSubSup>
          <m:r>
            <m:rPr>
              <m:sty m:val="p"/>
            </m:rPr>
            <m:t>=</m:t>
          </m:r>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1</m:t>
              </m:r>
            </m:e>
          </m:d>
        </m:oMath>
      </m:oMathPara>
      <w:bookmarkEnd w:id="34"/>
    </w:p>
    <w:p>
      <w:pPr>
        <w:pStyle w:val="FirstParagraph"/>
      </w:pPr>
      <w:r>
        <w:t xml:space="preserve">where</w:t>
      </w:r>
      <w:r>
        <w:t xml:space="preserve"> </w:t>
      </w:r>
      <m:oMath>
        <m:sSub>
          <m:e>
            <m:r>
              <m:t>w</m:t>
            </m:r>
          </m:e>
          <m:sub>
            <m:r>
              <m:t>i</m:t>
            </m:r>
          </m:sub>
        </m:sSub>
      </m:oMath>
      <w:r>
        <w:t xml:space="preserve"> </w:t>
      </w:r>
      <w:r>
        <w:t xml:space="preserve">is the RDS-derived survey weight. This estimator is a weighted alter-level proportion: it estimates the share of reported domestic-worker alters who are reported to have indicator</w:t>
      </w:r>
      <w:r>
        <w:t xml:space="preserve"> </w:t>
      </w:r>
      <m:oMath>
        <m:r>
          <m:t>h</m:t>
        </m:r>
      </m:oMath>
      <w:r>
        <w:t xml:space="preserve">. It should therefore be interpreted as a measure of</w:t>
      </w:r>
      <w:r>
        <w:t xml:space="preserve"> </w:t>
      </w:r>
      <w:r>
        <w:rPr>
          <w:i/>
          <w:iCs/>
        </w:rPr>
        <w:t xml:space="preserve">network-visible prevalence</w:t>
      </w:r>
      <w:r>
        <w:t xml:space="preserve"> </w:t>
      </w:r>
      <w:r>
        <w:t xml:space="preserve">among domestic-worker alters, rather than as a direct estimate of own-experience prevalence among respondents.</w:t>
      </w:r>
    </w:p>
    <w:p>
      <w:pPr>
        <w:pStyle w:val="BodyText"/>
      </w:pPr>
      <w:r>
        <w:t xml:space="preserve">The MBSU-adjusted prevalence is then</w:t>
      </w:r>
    </w:p>
    <w:p>
      <w:pPr>
        <w:pStyle w:val="BodyText"/>
      </w:pPr>
      <w:bookmarkStart w:id="35" w:name="eq-2"/>
      <m:oMathPara>
        <m:oMathParaPr>
          <m:jc m:val="center"/>
        </m:oMathParaPr>
        <m:oMath>
          <m:sSubSup>
            <m:e>
              <m:acc>
                <m:accPr>
                  <m:chr m:val="̂"/>
                </m:accPr>
                <m:e>
                  <m:r>
                    <m:t>p</m:t>
                  </m:r>
                </m:e>
              </m:acc>
            </m:e>
            <m:sub>
              <m:r>
                <m:t>h</m:t>
              </m:r>
            </m:sub>
            <m:sup>
              <m:r>
                <m:t>M</m:t>
              </m:r>
              <m:r>
                <m:t>B</m:t>
              </m:r>
              <m:r>
                <m:t>S</m:t>
              </m:r>
              <m:r>
                <m:t>U</m:t>
              </m:r>
            </m:sup>
          </m:sSubSup>
          <m:r>
            <m:rPr>
              <m:sty m:val="p"/>
            </m:rPr>
            <m:t>=</m:t>
          </m:r>
          <m:f>
            <m:fPr>
              <m:type m:val="bar"/>
            </m:fPr>
            <m:num>
              <m:r>
                <m:t>1</m:t>
              </m:r>
            </m:num>
            <m:den>
              <m:sSub>
                <m:e>
                  <m:r>
                    <m:t>δ</m:t>
                  </m:r>
                </m:e>
                <m:sub>
                  <m:r>
                    <m:t>h</m:t>
                  </m:r>
                </m:sub>
              </m:sSub>
              <m:sSub>
                <m:e>
                  <m:r>
                    <m:t>τ</m:t>
                  </m:r>
                </m:e>
                <m:sub>
                  <m:r>
                    <m:t>h</m:t>
                  </m:r>
                </m:sub>
              </m:sSub>
            </m:den>
          </m:f>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2</m:t>
              </m:r>
            </m:e>
          </m:d>
        </m:oMath>
      </m:oMathPara>
      <w:bookmarkEnd w:id="35"/>
    </w:p>
    <w:p>
      <w:pPr>
        <w:pStyle w:val="FirstParagraph"/>
      </w:pPr>
      <w:r>
        <w:t xml:space="preserve">Here,</w:t>
      </w:r>
      <w:r>
        <w:t xml:space="preserve"> </w:t>
      </w:r>
      <m:oMath>
        <m:sSub>
          <m:e>
            <m:r>
              <m:t>δ</m:t>
            </m:r>
          </m:e>
          <m:sub>
            <m:r>
              <m:t>h</m:t>
            </m:r>
          </m:sub>
        </m:sSub>
      </m:oMath>
      <w:r>
        <w:t xml:space="preserve"> </w:t>
      </w:r>
      <w:r>
        <w:t xml:space="preserve">is the indicator-specific within-population degree-ratio adjustment: it captures whether domestic workers with indicator</w:t>
      </w:r>
      <w:r>
        <w:t xml:space="preserve"> </w:t>
      </w:r>
      <m:oMath>
        <m:r>
          <m:t>h</m:t>
        </m:r>
      </m:oMath>
      <w:r>
        <w:t xml:space="preserve"> </w:t>
      </w:r>
      <w:r>
        <w:t xml:space="preserve">have, on average, more or fewer within-domestic-worker network ties than domestic workers overall. Values of</w:t>
      </w:r>
      <w:r>
        <w:t xml:space="preserve"> </w:t>
      </w:r>
      <m:oMath>
        <m:sSub>
          <m:e>
            <m:r>
              <m:t>δ</m:t>
            </m:r>
          </m:e>
          <m:sub>
            <m:r>
              <m:t>h</m:t>
            </m:r>
          </m:sub>
        </m:sSub>
        <m:r>
          <m:rPr>
            <m:sty m:val="p"/>
          </m:rPr>
          <m:t>&lt;</m:t>
        </m:r>
        <m:r>
          <m:t>1</m:t>
        </m:r>
      </m:oMath>
      <w:r>
        <w:t xml:space="preserve"> </w:t>
      </w:r>
      <w:r>
        <w:t xml:space="preserve">imply that workers with indicator</w:t>
      </w:r>
      <w:r>
        <w:t xml:space="preserve"> </w:t>
      </w:r>
      <m:oMath>
        <m:r>
          <m:t>h</m:t>
        </m:r>
      </m:oMath>
      <w:r>
        <w:t xml:space="preserve"> </w:t>
      </w:r>
      <w:r>
        <w:t xml:space="preserve">are less connected within the domestic-worker network and would therefore be under-represented in alter reports. The parameter</w:t>
      </w:r>
      <w:r>
        <w:t xml:space="preserve"> </w:t>
      </w:r>
      <m:oMath>
        <m:sSub>
          <m:e>
            <m:r>
              <m:t>τ</m:t>
            </m:r>
          </m:e>
          <m:sub>
            <m:r>
              <m:t>h</m:t>
            </m:r>
          </m:sub>
        </m:sSub>
      </m:oMath>
      <w:r>
        <w:t xml:space="preserve"> </w:t>
      </w:r>
      <w:r>
        <w:t xml:space="preserve">is the indicator-specific true-positive or visibility rate: the probability that an alter who truly has indicator</w:t>
      </w:r>
      <w:r>
        <w:t xml:space="preserve"> </w:t>
      </w:r>
      <m:oMath>
        <m:r>
          <m:t>h</m:t>
        </m:r>
      </m:oMath>
      <w:r>
        <w:t xml:space="preserve"> </w:t>
      </w:r>
      <w:r>
        <w:t xml:space="preserve">is recognised and reported by the respondent as having that indicator. Values of</w:t>
      </w:r>
      <w:r>
        <w:t xml:space="preserve"> </w:t>
      </w:r>
      <m:oMath>
        <m:sSub>
          <m:e>
            <m:r>
              <m:t>τ</m:t>
            </m:r>
          </m:e>
          <m:sub>
            <m:r>
              <m:t>h</m:t>
            </m:r>
          </m:sub>
        </m:sSub>
        <m:r>
          <m:rPr>
            <m:sty m:val="p"/>
          </m:rPr>
          <m:t>&lt;</m:t>
        </m:r>
        <m:r>
          <m:t>1</m:t>
        </m:r>
      </m:oMath>
      <w:r>
        <w:t xml:space="preserve"> </w:t>
      </w:r>
      <w:r>
        <w:t xml:space="preserve">capture under-reporting due to stigma, concealment, limited observability, or social distance.</w:t>
      </w:r>
    </w:p>
    <w:p>
      <w:pPr>
        <w:pStyle w:val="BodyText"/>
      </w:pPr>
      <w:r>
        <w:t xml:space="preserve">Because both the reporting frame and the alter universe are restricted to domestic workers,</w:t>
      </w:r>
      <w:r>
        <w:t xml:space="preserve"> </w:t>
      </w:r>
      <m:oMath>
        <m:sSub>
          <m:e>
            <m:r>
              <m:t>δ</m:t>
            </m:r>
          </m:e>
          <m:sub>
            <m:r>
              <m:t>h</m:t>
            </m:r>
          </m:sub>
        </m:sSub>
      </m:oMath>
      <w:r>
        <w:t xml:space="preserve"> </w:t>
      </w:r>
      <w:r>
        <w:t xml:space="preserve">should not be read as a general-population-to-hidden-population degree ratio. It is instead a within-domestic-worker correction for differential network visibility of workers with indicator</w:t>
      </w:r>
      <w:r>
        <w:t xml:space="preserve"> </w:t>
      </w:r>
      <m:oMath>
        <m:r>
          <m:t>h</m:t>
        </m:r>
      </m:oMath>
      <w:r>
        <w:t xml:space="preserve">. Similarly,</w:t>
      </w:r>
      <w:r>
        <w:t xml:space="preserve"> </w:t>
      </w:r>
      <m:oMath>
        <m:sSub>
          <m:e>
            <m:r>
              <m:t>τ</m:t>
            </m:r>
          </m:e>
          <m:sub>
            <m:r>
              <m:t>h</m:t>
            </m:r>
          </m:sub>
        </m:sSub>
      </m:oMath>
      <w:r>
        <w:t xml:space="preserve"> </w:t>
      </w:r>
      <w:r>
        <w:t xml:space="preserve">captures peer-tie visibility for each exploitation indicator. This distinction is central to the paper’s visibility-gradient diagnostic: when RDS own-experience estimates exceed NSUM alter-report estimates, the difference is interpreted not simply as disagreement between methods, but as evidence that some exploitation behaviours are less visible in peer networks than others (</w:t>
      </w:r>
      <w:hyperlink w:anchor="sec-divergence">
        <w:r>
          <w:rPr>
            <w:rStyle w:val="Hyperlink"/>
          </w:rPr>
          <w:t xml:space="preserve">Section 5.3</w:t>
        </w:r>
      </w:hyperlink>
      <w:r>
        <w:t xml:space="preserve">).</w:t>
      </w:r>
    </w:p>
    <w:p>
      <w:pPr>
        <w:pStyle w:val="BodyText"/>
      </w:pPr>
      <w:r>
        <w:t xml:space="preserve">Our headline NSUM result is the continuous-</w:t>
      </w:r>
      <m:oMath>
        <m:r>
          <m:t>τ</m:t>
        </m:r>
      </m:oMath>
      <w:r>
        <w:t xml:space="preserve"> </w:t>
      </w:r>
      <w:r>
        <w:t xml:space="preserve">sweep: for each indicator, we report prevalence as a function of</w:t>
      </w:r>
      <w:r>
        <w:t xml:space="preserve"> </w:t>
      </w:r>
      <m:oMath>
        <m:sSub>
          <m:e>
            <m:r>
              <m:t>τ</m:t>
            </m:r>
          </m:e>
          <m:sub>
            <m:r>
              <m:t>h</m:t>
            </m:r>
          </m:sub>
        </m:sSub>
        <m:r>
          <m:rPr>
            <m:sty m:val="p"/>
          </m:rPr>
          <m:t>∈</m:t>
        </m:r>
        <m:d>
          <m:dPr>
            <m:begChr m:val="["/>
            <m:sepChr m:val=""/>
            <m:endChr m:val="]"/>
            <m:grow/>
          </m:dPr>
          <m:e>
            <m:r>
              <m:t>0.40</m:t>
            </m:r>
            <m:r>
              <m:rPr>
                <m:sty m:val="p"/>
              </m:rPr>
              <m:t>,</m:t>
            </m:r>
            <m:r>
              <m:t>1.00</m:t>
            </m:r>
          </m:e>
        </m:d>
      </m:oMath>
      <w:r>
        <w:t xml:space="preserve">, in increments of 0.05, with</w:t>
      </w:r>
      <w:r>
        <w:t xml:space="preserve"> </w:t>
      </w:r>
      <m:oMath>
        <m:sSub>
          <m:e>
            <m:r>
              <m:t>δ</m:t>
            </m:r>
          </m:e>
          <m:sub>
            <m:r>
              <m:t>h</m:t>
            </m:r>
          </m:sub>
        </m:sSub>
      </m:oMath>
      <w:r>
        <w:t xml:space="preserve"> </w:t>
      </w:r>
      <w:r>
        <w:t xml:space="preserve">fixed at 0.9 and bootstrap 95% confidence intervals at each value (Appendix Figure D.4). For comparison with the discrete-tier NSUM literature</w:t>
      </w:r>
      <w:r>
        <w:t xml:space="preserve"> </w:t>
      </w:r>
      <w:r>
        <w:t xml:space="preserve">(Feehan &amp; Salganik, 2016; Killworth et al., 1998; Maltiel et al., 2015)</w:t>
      </w:r>
      <w:r>
        <w:t xml:space="preserve">, we also report three reference scenarios: Unadjusted</w:t>
      </w:r>
      <w:r>
        <w:t xml:space="preserve"> </w:t>
      </w:r>
      <m:oMath>
        <m:r>
          <m:rPr>
            <m:sty m:val="p"/>
          </m:rPr>
          <m:t>(</m:t>
        </m:r>
        <m:sSub>
          <m:e>
            <m:r>
              <m:t>δ</m:t>
            </m:r>
          </m:e>
          <m:sub>
            <m:r>
              <m:t>h</m:t>
            </m:r>
          </m:sub>
        </m:sSub>
        <m:r>
          <m:rPr>
            <m:sty m:val="p"/>
          </m:rPr>
          <m:t>=</m:t>
        </m:r>
        <m:r>
          <m:t>1.0</m:t>
        </m:r>
        <m:r>
          <m:rPr>
            <m:sty m:val="p"/>
          </m:rPr>
          <m:t>,</m:t>
        </m:r>
        <m:sSub>
          <m:e>
            <m:r>
              <m:t>τ</m:t>
            </m:r>
          </m:e>
          <m:sub>
            <m:r>
              <m:t>h</m:t>
            </m:r>
          </m:sub>
        </m:sSub>
        <m:r>
          <m:rPr>
            <m:sty m:val="p"/>
          </m:rPr>
          <m:t>=</m:t>
        </m:r>
        <m:r>
          <m:t>1.0</m:t>
        </m:r>
      </m:oMath>
      <w:r>
        <w:t xml:space="preserve">), Moderate</w:t>
      </w:r>
      <w:r>
        <w:t xml:space="preserve"> </w:t>
      </w:r>
      <m:oMath>
        <m:d>
          <m:dPr>
            <m:begChr m:val="("/>
            <m:sepChr m:val=""/>
            <m:endChr m:val=")"/>
            <m:grow/>
          </m:dPr>
          <m:e>
            <m:sSub>
              <m:e>
                <m:r>
                  <m:t>δ</m:t>
                </m:r>
              </m:e>
              <m:sub>
                <m:r>
                  <m:t>h</m:t>
                </m:r>
              </m:sub>
            </m:sSub>
            <m:r>
              <m:rPr>
                <m:sty m:val="p"/>
              </m:rPr>
              <m:t>=</m:t>
            </m:r>
            <m:r>
              <m:t>0.9</m:t>
            </m:r>
            <m:r>
              <m:rPr>
                <m:sty m:val="p"/>
              </m:rPr>
              <m:t>,</m:t>
            </m:r>
            <m:sSub>
              <m:e>
                <m:r>
                  <m:t>τ</m:t>
                </m:r>
              </m:e>
              <m:sub>
                <m:r>
                  <m:t>h</m:t>
                </m:r>
              </m:sub>
            </m:sSub>
            <m:r>
              <m:rPr>
                <m:sty m:val="p"/>
              </m:rPr>
              <m:t>=</m:t>
            </m:r>
            <m:r>
              <m:t>0.85</m:t>
            </m:r>
          </m:e>
        </m:d>
      </m:oMath>
      <w:r>
        <w:t xml:space="preserve">, and Conservative</w:t>
      </w:r>
      <w:r>
        <w:t xml:space="preserve"> </w:t>
      </w:r>
      <m:oMath>
        <m:d>
          <m:dPr>
            <m:begChr m:val="("/>
            <m:sepChr m:val=""/>
            <m:endChr m:val=")"/>
            <m:grow/>
          </m:dPr>
          <m:e>
            <m:sSub>
              <m:e>
                <m:r>
                  <m:t>δ</m:t>
                </m:r>
              </m:e>
              <m:sub>
                <m:r>
                  <m:t>h</m:t>
                </m:r>
              </m:sub>
            </m:sSub>
            <m:r>
              <m:rPr>
                <m:sty m:val="p"/>
              </m:rPr>
              <m:t>=</m:t>
            </m:r>
            <m:r>
              <m:t>0.8</m:t>
            </m:r>
            <m:r>
              <m:rPr>
                <m:sty m:val="p"/>
              </m:rPr>
              <m:t>,</m:t>
            </m:r>
            <m:sSub>
              <m:e>
                <m:r>
                  <m:t>τ</m:t>
                </m:r>
              </m:e>
              <m:sub>
                <m:r>
                  <m:t>h</m:t>
                </m:r>
              </m:sub>
            </m:sSub>
            <m:r>
              <m:rPr>
                <m:sty m:val="p"/>
              </m:rPr>
              <m:t>=</m:t>
            </m:r>
            <m:r>
              <m:t>0.70</m:t>
            </m:r>
          </m:e>
        </m:d>
      </m:oMath>
      <w:r>
        <w:t xml:space="preserve">. These scenarios are presented as reference points on the continuous sensitivity curve rather than as separately identified estimates of</w:t>
      </w:r>
      <w:r>
        <w:t xml:space="preserve"> </w:t>
      </w:r>
      <m:oMath>
        <m:sSub>
          <m:e>
            <m:r>
              <m:t>δ</m:t>
            </m:r>
          </m:e>
          <m:sub>
            <m:r>
              <m:t>h</m:t>
            </m:r>
          </m:sub>
        </m:sSub>
      </m:oMath>
      <w:r>
        <w:t xml:space="preserve"> </w:t>
      </w:r>
      <w:r>
        <w:t xml:space="preserve">or</w:t>
      </w:r>
      <w:r>
        <w:t xml:space="preserve"> </w:t>
      </w:r>
      <m:oMath>
        <m:sSub>
          <m:e>
            <m:r>
              <m:t>τ</m:t>
            </m:r>
          </m:e>
          <m:sub>
            <m:r>
              <m:t>h</m:t>
            </m:r>
          </m:sub>
        </m:sSub>
      </m:oMath>
      <w:r>
        <w:t xml:space="preserve">.</w:t>
      </w:r>
    </w:p>
    <w:bookmarkEnd w:id="36"/>
    <w:bookmarkStart w:id="37" w:name="sec-comparative-rationale"/>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p>
    <w:p>
      <w:pPr>
        <w:pStyle w:val="BodyText"/>
      </w:pPr>
      <w:r>
        <w:t xml:space="preserve">For the prevalence estimates reported here, the assumed total domestic-worker population size</w:t>
      </w:r>
      <w:r>
        <w:t xml:space="preserve"> </w:t>
      </w:r>
      <m:oMath>
        <m:r>
          <m:t>N</m:t>
        </m:r>
      </m:oMath>
      <w:r>
        <w:t xml:space="preserve"> </w:t>
      </w:r>
      <w:r>
        <w:t xml:space="preserve">either cancels algebraically or has a negligible finite-population effect (related to</w:t>
      </w:r>
      <w:r>
        <w:t xml:space="preserve"> </w:t>
      </w:r>
      <m:oMath>
        <m:r>
          <m:t>n</m:t>
        </m:r>
        <m:r>
          <m:rPr>
            <m:sty m:val="p"/>
          </m:rPr>
          <m:t>/</m:t>
        </m:r>
        <m:r>
          <m:t>N</m:t>
        </m:r>
      </m:oMath>
      <w:r>
        <w:t xml:space="preserve"> </w:t>
      </w:r>
      <w:r>
        <w:t xml:space="preserve">which is negligable here) over the range of</w:t>
      </w:r>
      <w:r>
        <w:t xml:space="preserve"> </w:t>
      </w:r>
      <m:oMath>
        <m:r>
          <m:t>N</m:t>
        </m:r>
      </m:oMath>
      <w:r>
        <w:t xml:space="preserve"> </w:t>
      </w:r>
      <w:r>
        <w:t xml:space="preserve">values considered.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the Appendix, Section D.1 (Population Size and the Invariance of Prevalence).</w:t>
      </w:r>
    </w:p>
    <w:bookmarkEnd w:id="37"/>
    <w:bookmarkStart w:id="38" w:name="sec-bootstrap"/>
    <w:p>
      <w:pPr>
        <w:pStyle w:val="Heading2"/>
      </w:pPr>
      <w:r>
        <w:t xml:space="preserve">3.6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the Appendix, Section C.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w:t>
      </w:r>
      <w:r>
        <w:t xml:space="preserve"> </w:t>
      </w:r>
      <w:r>
        <w:t xml:space="preserve">(Gile et al., 2018)</w:t>
      </w:r>
      <w:r>
        <w:t xml:space="preserve">.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w:t>
      </w:r>
      <w:r>
        <w:t xml:space="preserve"> </w:t>
      </w:r>
      <w:r>
        <w:t xml:space="preserve">(Yauck et al., 2022)</w:t>
      </w:r>
      <w:r>
        <w:t xml:space="preserve">. Sensitivity analyses examine robustness to population size</w:t>
      </w:r>
      <w:r>
        <w:t xml:space="preserve"> </w:t>
      </w:r>
      <w:r>
        <w:t xml:space="preserve">assumptions (50K, 100K, 980K, 1.74M) and NSUM adjustment factor values. Full results are reported in the Appendix.</w:t>
      </w:r>
    </w:p>
    <w:bookmarkEnd w:id="38"/>
    <w:bookmarkEnd w:id="39"/>
    <w:bookmarkStart w:id="60"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w:t>
      </w:r>
      <w:r>
        <w:t xml:space="preserve"> </w:t>
      </w:r>
      <w:hyperlink w:anchor="sec-composite-results">
        <w:r>
          <w:rPr>
            <w:rStyle w:val="Hyperlink"/>
          </w:rPr>
          <w:t xml:space="preserve">Section 4.2</w:t>
        </w:r>
      </w:hyperlink>
      <w:r>
        <w:t xml:space="preserve"> </w:t>
      </w:r>
      <w:r>
        <w:t xml:space="preserve">and</w:t>
      </w:r>
      <w:r>
        <w:t xml:space="preserve"> </w:t>
      </w:r>
      <w:hyperlink w:anchor="sec-binary-results">
        <w:r>
          <w:rPr>
            <w:rStyle w:val="Hyperlink"/>
          </w:rPr>
          <w:t xml:space="preserve">Section 4.3</w:t>
        </w:r>
      </w:hyperlink>
      <w:r>
        <w:t xml:space="preserve"> </w:t>
      </w:r>
      <w:r>
        <w:t xml:space="preserve">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sensitivity">
        <w:r>
          <w:rPr>
            <w:rStyle w:val="Hyperlink"/>
          </w:rPr>
          <w:t xml:space="preserve">Section 4.5</w:t>
        </w:r>
      </w:hyperlink>
      <w:r>
        <w:t xml:space="preserve">; Appendix Figure D.4);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the Appendix.</w:t>
      </w:r>
    </w:p>
    <w:p>
      <w:pPr>
        <w:pStyle w:val="BodyText"/>
      </w:pPr>
      <w:r>
        <w:t xml:space="preserve">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reported quantities in</w:t>
      </w:r>
      <w:r>
        <w:t xml:space="preserve"> </w:t>
      </w:r>
      <w:hyperlink w:anchor="tbl-estimands">
        <w:r>
          <w:rPr>
            <w:rStyle w:val="Hyperlink"/>
          </w:rPr>
          <w:t xml:space="preserve">Table 4</w:t>
        </w:r>
      </w:hyperlink>
      <w:r>
        <w:t xml:space="preserve"> </w:t>
      </w:r>
      <w:r>
        <w:t xml:space="preserve">target different population quantities (</w:t>
      </w:r>
      <w:hyperlink w:anchor="sec-estimation-framework">
        <w:r>
          <w:rPr>
            <w:rStyle w:val="Hyperlink"/>
          </w:rPr>
          <w:t xml:space="preserve">Section 3.4</w:t>
        </w:r>
      </w:hyperlink>
      <w:r>
        <w:t xml:space="preserve">), so absolute levels also differ by estimator in interpretable ways.</w:t>
      </w:r>
    </w:p>
    <w:bookmarkStart w:id="46" w:name="sec-descriptive"/>
    <w:p>
      <w:pPr>
        <w:pStyle w:val="Heading2"/>
      </w:pPr>
      <w:r>
        <w:t xml:space="preserve">4.1 Descriptive Overview</w:t>
      </w:r>
    </w:p>
    <w:p>
      <w:pPr>
        <w:pStyle w:val="FirstParagraph"/>
      </w:pPr>
      <w:r>
        <w:t xml:space="preserve">Sample demographics are presented in</w:t>
      </w:r>
      <w:r>
        <w:t xml:space="preserve"> </w:t>
      </w:r>
      <w:hyperlink w:anchor="tbl-demographics">
        <w:r>
          <w:rPr>
            <w:rStyle w:val="Hyperlink"/>
          </w:rPr>
          <w:t xml:space="preserve">Table 2</w:t>
        </w:r>
      </w:hyperlink>
      <w:r>
        <w:t xml:space="preserve">; sample composition by nationality cluster and recruitment wave in</w:t>
      </w:r>
      <w:r>
        <w:t xml:space="preserve"> </w:t>
      </w:r>
      <w:hyperlink w:anchor="tbl-sample-chars">
        <w:r>
          <w:rPr>
            <w:rStyle w:val="Hyperlink"/>
          </w:rPr>
          <w:t xml:space="preserve">Table 3</w:t>
        </w:r>
      </w:hyperlink>
      <w:r>
        <w:t xml:space="preserve">; the recruitment network in</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98% female, 76% Filipino, with 49% aged 45+ and 47% self-employed.</w:t>
      </w:r>
    </w:p>
    <w:bookmarkStart w:id="45" w:name="sec-rds-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5</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40" w:name="tbl-rds-diagnostics"/>
          <w:p>
            <w:pPr>
              <w:jc w:val="center"/>
            </w:pPr>
            <w:pPr>
              <w:jc w:val="start"/>
              <w:spacing w:before="200"/>
              <w:pStyle w:val="ImageCaption"/>
            </w:pPr>
            <w:r>
              <w:t xml:space="preserve">Table 5: RDS sampling diagnostics for the analytical sample (n = 85). Computed from the anonymised processed analysis dataset; replication code is available in the OSF repository. See</w:t>
            </w:r>
            <w:r>
              <w:t xml:space="preserve"> </w:t>
            </w:r>
            <w:hyperlink w:anchor="sec-rds-diagnostics">
              <w:r>
                <w:rPr>
                  <w:rStyle w:val="Hyperlink"/>
                </w:rPr>
                <w:t xml:space="preserve">Section 4.1.1</w:t>
              </w:r>
            </w:hyperlink>
            <w:r>
              <w:t xml:space="preserve"> </w:t>
            </w:r>
            <w:r>
              <w:t xml:space="preserve">below and the Appendix (Section D) for the full set. Source: Authors’ construction.</w:t>
            </w:r>
          </w:p>
          <w:tbl>
            <w:tblPr>
              <w:tblStyle w:val="Table"/>
              <w:tblW w:type="pct" w:w="5048"/>
              <w:tblLayout w:type="fixed"/>
              <w:tblLook w:firstRow="1" w:lastRow="0" w:firstColumn="0" w:lastColumn="0" w:noHBand="0" w:noVBand="0" w:val="0020"/>
            </w:tblPr>
            <w:tblGrid>
              <w:gridCol w:w="7996"/>
            </w:tblGrid>
            <w:tr>
              <w:trPr>
                <w:tblHeader w:val="on"/>
              </w:trPr>
              <w:tc>
                <w:tcPr/>
                <w:p>
                  <w:pPr>
                    <w:pStyle w:val="Compact"/>
                    <w:jc w:val="left"/>
                    <w:jc w:val="center"/>
                  </w:pPr>
                  <w:r>
                    <w:t xml:space="preserve">Diagnostic | Value | Interpretation</w:t>
                  </w:r>
                </w:p>
              </w:tc>
            </w:tr>
          </w:tbl>
          <w:bookmarkEnd w:id="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 w:name="fig-rds-diagnostics"/>
          <w:p>
            <w:pPr>
              <w:pStyle w:val="Compact"/>
              <w:jc w:val="center"/>
            </w:pPr>
            <w:r>
              <w:drawing>
                <wp:inline>
                  <wp:extent cx="5334000" cy="1557645"/>
                  <wp:effectExtent b="0" l="0" r="0" t="0"/>
                  <wp:docPr descr="" title="" id="42" name="Picture"/>
                  <a:graphic>
                    <a:graphicData uri="http://schemas.openxmlformats.org/drawingml/2006/picture">
                      <pic:pic>
                        <pic:nvPicPr>
                          <pic:cNvPr descr="figures/rds_diagnostics.png" id="43" name="Picture"/>
                          <pic:cNvPicPr>
                            <a:picLocks noChangeArrowheads="1" noChangeAspect="1"/>
                          </pic:cNvPicPr>
                        </pic:nvPicPr>
                        <pic:blipFill>
                          <a:blip r:embed="rId41"/>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Computed from the anonymised processed analysis dataset; replication code is available in the OSF repository.</w:t>
            </w:r>
          </w:p>
          <w:bookmarkEnd w:id="44"/>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(reported in Appendix Section D.8) does not change the rank ordering of indicators.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5"/>
    <w:bookmarkEnd w:id="46"/>
    <w:bookmarkStart w:id="51" w:name="sec-composite-result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Each of the eleven ILO indicator categories contributes equally to the composite (maximum 0.09 per category, giving a total maximum score of 0.99); within a category, weight is distributed evenly across the sub-questions used to code it. The composite is therefore uniform-weighted at the ILO-category level and does not itself impose the medium/strong severity ordering, though we use that ordering (Section 2) to organise reporting and interpretation. The weight-perturbation robustness check reported in</w:t>
      </w:r>
      <w:r>
        <w:t xml:space="preserve"> </w:t>
      </w:r>
      <w:hyperlink w:anchor="sec-weights-sensitivity">
        <w:r>
          <w:rPr>
            <w:rStyle w:val="Hyperlink"/>
          </w:rPr>
          <w:t xml:space="preserve">Section 5.5</w:t>
        </w:r>
      </w:hyperlink>
      <w:r>
        <w:t xml:space="preserve"> </w:t>
      </w:r>
      <w:r>
        <w:t xml:space="preserve">confirms that the ranking of respondents by composite risk is essentially invariant to the specific weight choice.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Appendix Table A.1).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composite">
        <w:r>
          <w:rPr>
            <w:rStyle w:val="Hyperlink"/>
          </w:rPr>
          <w:t xml:space="preserve">Figure 3</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50" w:name="fig-composite"/>
          <w:p>
            <w:pPr>
              <w:pStyle w:val="Compact"/>
              <w:jc w:val="center"/>
            </w:pPr>
            <w:r>
              <w:drawing>
                <wp:inline>
                  <wp:extent cx="5334000" cy="2370666"/>
                  <wp:effectExtent b="0" l="0" r="0" t="0"/>
                  <wp:docPr descr="" title="" id="48" name="Picture"/>
                  <a:graphic>
                    <a:graphicData uri="http://schemas.openxmlformats.org/drawingml/2006/picture">
                      <pic:pic>
                        <pic:nvPicPr>
                          <pic:cNvPr descr="figures/fig3_composite_risk.png" id="49" name="Picture"/>
                          <pic:cNvPicPr>
                            <a:picLocks noChangeArrowheads="1" noChangeAspect="1"/>
                          </pic:cNvPicPr>
                        </pic:nvPicPr>
                        <pic:blipFill>
                          <a:blip r:embed="rId47"/>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50"/>
        </w:tc>
      </w:tr>
    </w:tbl>
    <w:bookmarkEnd w:id="51"/>
    <w:bookmarkStart w:id="57" w:name="sec-binary-results"/>
    <w:p>
      <w:pPr>
        <w:pStyle w:val="Heading2"/>
      </w:pPr>
      <w:r>
        <w:t xml:space="preserve">4.3 Binary Exploitation Indicators: Preferred Prevalence Estimates</w:t>
      </w:r>
    </w:p>
    <w:p>
      <w:pPr>
        <w:pStyle w:val="FirstParagraph"/>
      </w:pPr>
      <w:hyperlink w:anchor="tbl-preferred-estimates">
        <w:r>
          <w:rPr>
            <w:rStyle w:val="Hyperlink"/>
          </w:rPr>
          <w:t xml:space="preserve">Table 6</w:t>
        </w:r>
      </w:hyperlink>
      <w:r>
        <w:t xml:space="preserve"> </w:t>
      </w:r>
      <w:r>
        <w:t xml:space="preserve">reports the preferred prevalence estimates for each of the five binary ILO-aligned indicators in the RDS-reachable population, presenting RDS-SS (ego-based) and MBSU NSUM Moderate (alter-based) estimates side by side. Appendix Figure D.2 shows the RDS-SS and RDS-I estimates with per-method bootstrap CIs for visual comparison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ordering of the indicators.</w:t>
      </w:r>
    </w:p>
    <w:tbl>
      <w:tblPr>
        <w:tblStyle w:val="Table"/>
        <w:tblW w:type="pct" w:w="5000"/>
        <w:tblLayout w:type="fixed"/>
        <w:tblLook w:firstRow="0" w:lastRow="0" w:firstColumn="0" w:lastColumn="0" w:noHBand="0" w:noVBand="0" w:val="0000"/>
      </w:tblPr>
      <w:tblGrid>
        <w:gridCol w:w="7920"/>
      </w:tblGrid>
      <w:tr>
        <w:tc>
          <w:tcPr/>
          <w:bookmarkStart w:id="52" w:name="tbl-preferred-estimates"/>
          <w:p>
            <w:pPr>
              <w:jc w:val="center"/>
            </w:pPr>
            <w:pPr>
              <w:jc w:val="start"/>
              <w:spacing w:before="200"/>
              <w:pStyle w:val="ImageCaption"/>
            </w:pPr>
            <w:r>
              <w:t xml:space="preserve">Table 6: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8"/>
              <w:gridCol w:w="2015"/>
              <w:gridCol w:w="3456"/>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5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fig-ma-binary"/>
          <w:p>
            <w:pPr>
              <w:pStyle w:val="Compact"/>
              <w:jc w:val="center"/>
            </w:pPr>
            <w:r>
              <w:drawing>
                <wp:inline>
                  <wp:extent cx="5334000" cy="3333750"/>
                  <wp:effectExtent b="0" l="0" r="0" t="0"/>
                  <wp:docPr descr="" title="" id="54" name="Picture"/>
                  <a:graphic>
                    <a:graphicData uri="http://schemas.openxmlformats.org/drawingml/2006/picture">
                      <pic:pic>
                        <pic:nvPicPr>
                          <pic:cNvPr descr="figures/fig4_ma_binary.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w:t>
            </w:r>
            <w:r>
              <w:t xml:space="preserve"> </w:t>
            </w:r>
            <w:r>
              <w:t xml:space="preserve">(Gile &amp; Handcock, 2015)</w:t>
            </w:r>
            <w:r>
              <w:t xml:space="preserve"> </w:t>
            </w:r>
            <w:r>
              <w:t xml:space="preserve">at N=50,000 with seed.selection=</w:t>
            </w:r>
            <w:r>
              <w:t xml:space="preserve">‘degree’</w:t>
            </w:r>
            <w:r>
              <w:t xml:space="preserve">. Source: Authors’ own work.</w:t>
            </w:r>
          </w:p>
          <w:bookmarkEnd w:id="56"/>
        </w:tc>
      </w:tr>
    </w:tbl>
    <w:bookmarkEnd w:id="57"/>
    <w:bookmarkStart w:id="58" w:name="sec-supporting-estimates"/>
    <w:p>
      <w:pPr>
        <w:pStyle w:val="Heading2"/>
      </w:pPr>
      <w:r>
        <w:t xml:space="preserve">4.4 Supporting Estimates and Method Comparison</w:t>
      </w:r>
    </w:p>
    <w:p>
      <w:pPr>
        <w:pStyle w:val="FirstParagraph"/>
      </w:pPr>
      <w:r>
        <w:t xml:space="preserve">Three additional families of estimates are reported in full in the Appendix (Section D) for transparency and robustness: (a) The five Bayesian Model-Assisted (MA-RDS) posterior means (Appendix Table D.1) range from 34.1% for document withholding to 84.0% for excessive working hours, reproducing the RDS-SS ordering in</w:t>
      </w:r>
      <w:r>
        <w:t xml:space="preserve"> </w:t>
      </w:r>
      <w:hyperlink w:anchor="tbl-preferred-estimates">
        <w:r>
          <w:rPr>
            <w:rStyle w:val="Hyperlink"/>
          </w:rPr>
          <w:t xml:space="preserve">Table 6</w:t>
        </w:r>
      </w:hyperlink>
      <w:r>
        <w:t xml:space="preserve">. (b) Direct comparison of RDS-I and RDS-SS estimators for each indicator with per-method bootstrap 95% CIs (Appendix Table D.3);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Appendix Table D.4),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8"/>
    <w:bookmarkStart w:id="59" w:name="sec-sensitivity"/>
    <w:p>
      <w:pPr>
        <w:pStyle w:val="Heading2"/>
      </w:pPr>
      <w:r>
        <w:t xml:space="preserve">4.5 Sensitivity and Robustness</w:t>
      </w:r>
    </w:p>
    <w:p>
      <w:pPr>
        <w:pStyle w:val="FirstParagraph"/>
      </w:pPr>
      <w:r>
        <w:t xml:space="preserve">Three sensitivity analyses are reported in full in the Appendix. First, the continuous-</w:t>
      </w:r>
      <m:oMath>
        <m:r>
          <m:t>τ</m:t>
        </m:r>
      </m:oMath>
      <w:r>
        <w:t xml:space="preserve"> </w:t>
      </w:r>
      <w:r>
        <w:t xml:space="preserve">NSUM sweep (Appendix Figure D.4)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(Appendix Figure D.1)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9"/>
    <w:bookmarkEnd w:id="60"/>
    <w:bookmarkStart w:id="67" w:name="sec-discussion"/>
    <w:p>
      <w:pPr>
        <w:pStyle w:val="Heading1"/>
      </w:pPr>
      <w:r>
        <w:t xml:space="preserve">5. Discussion</w:t>
      </w:r>
    </w:p>
    <w:bookmarkStart w:id="61" w:name="sec-summary"/>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61"/>
    <w:bookmarkStart w:id="62" w:name="sec-contributions"/>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4</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validation channels. Content validity rests on anchoring the indicator set in the ILO framework of forced labour</w:t>
      </w:r>
      <w:r>
        <w:t xml:space="preserve"> </w:t>
      </w:r>
      <w:r>
        <w:t xml:space="preserve">(2012, 2024, 2025)</w:t>
      </w:r>
      <w:r>
        <w:t xml:space="preserve">, with the indicator-to-survey-question mapping in</w:t>
      </w:r>
      <w:r>
        <w:t xml:space="preserve"> </w:t>
      </w:r>
      <w:hyperlink w:anchor="tbl-indicator-mapping">
        <w:r>
          <w:rPr>
            <w:rStyle w:val="Hyperlink"/>
          </w:rPr>
          <w:t xml:space="preserve">Table 1</w:t>
        </w:r>
      </w:hyperlink>
      <w:r>
        <w:t xml:space="preserve">. Face validity rests on co-development of the survey instrument with the three participating civil-society organisations (Kalayaan, Voice of Domestic Workers, LAWRS), whose case-work practice informed item wording. Convergent validity rests on the reproduction of the within-method indicator ordering across four methodologically unrelated estimators (</w:t>
      </w:r>
      <w:hyperlink w:anchor="sec-sensitivity">
        <w:r>
          <w:rPr>
            <w:rStyle w:val="Hyperlink"/>
          </w:rPr>
          <w:t xml:space="preserve">Section 4.5</w:t>
        </w:r>
      </w:hyperlink>
      <w:r>
        <w:t xml:space="preserve">). Robustness rests on the composite-risk ranking being essentially weight-invariant under ±50% perturbation (Spearman</w:t>
      </w:r>
      <w:r>
        <w:t xml:space="preserve"> </w:t>
      </w:r>
      <m:oMath>
        <m:r>
          <m:t>ρ</m:t>
        </m:r>
      </m:oMath>
      <w:r>
        <w:t xml:space="preserve"> </w:t>
      </w:r>
      <w:r>
        <w:t xml:space="preserve">= 0.992</w:t>
      </w:r>
      <w:r>
        <w:t xml:space="preserve"> </w:t>
      </w:r>
      <w:r>
        <w:t xml:space="preserve">ρ=0.992;</w:t>
      </w:r>
      <w:r>
        <w:t xml:space="preserve"> </w:t>
      </w:r>
      <w:hyperlink w:anchor="sec-weights-sensitivity">
        <w:r>
          <w:rPr>
            <w:rStyle w:val="Hyperlink"/>
          </w:rPr>
          <w:t xml:space="preserve">Section 5.5</w:t>
        </w:r>
      </w:hyperlink>
      <w:r>
        <w:t xml:space="preserve">) and on the headline NSUM estimates being reported as a continuous function of</w:t>
      </w:r>
      <w:r>
        <w:t xml:space="preserve"> </w:t>
      </w:r>
      <m:oMath>
        <m:r>
          <m:t>τ</m:t>
        </m:r>
      </m:oMath>
      <w:r>
        <w:t xml:space="preserve"> </w:t>
      </w:r>
      <w:r>
        <w:t xml:space="preserve">rather than a single point. Limitation: the strategy does not yet include external validation against administrative sources (NRM referrals, employment-tribunal records) — the natural next step for the broader SDG 8.7 monitoring architecture (</w:t>
      </w:r>
      <w:hyperlink w:anchor="sec-policy">
        <w:r>
          <w:rPr>
            <w:rStyle w:val="Hyperlink"/>
          </w:rPr>
          <w:t xml:space="preserve">Section 5.6</w:t>
        </w:r>
      </w:hyperlink>
      <w:r>
        <w:t xml:space="preserve">).</w:t>
      </w:r>
    </w:p>
    <w:bookmarkEnd w:id="62"/>
    <w:bookmarkStart w:id="63" w:name="sec-divergence"/>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different epistemic weight. Sample size operates through only one of these three sources, and on that source</w:t>
      </w:r>
      <w:r>
        <w:t xml:space="preserve"> </w:t>
      </w:r>
      <m:oMath>
        <m:r>
          <m:t>n</m:t>
        </m:r>
        <m:r>
          <m:rPr>
            <m:sty m:val="p"/>
          </m:rPr>
          <m:t>=</m:t>
        </m:r>
        <m:r>
          <m:t>85</m:t>
        </m:r>
      </m:oMath>
      <w:r>
        <w:t xml:space="preserve"> </w:t>
      </w:r>
      <w:r>
        <w:t xml:space="preserve">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in</w:t>
      </w:r>
      <w:r>
        <w:t xml:space="preserve"> </w:t>
      </w:r>
      <w:r>
        <w:t xml:space="preserve">International Labour Organization (2024)</w:t>
      </w:r>
      <w:r>
        <w:t xml:space="preserve">) are less common in this population than less severe forms of abuse (excessive hours, an ILO medium indicator). The ordering is interpretable, matches the ILO severity ordering documented in the ILO survey-guidelines handbook</w:t>
      </w:r>
      <w:r>
        <w:t xml:space="preserve"> </w:t>
      </w:r>
      <w:r>
        <w:t xml:space="preserve">(International Labour Organization, 2024)</w:t>
      </w:r>
      <w:r>
        <w:t xml:space="preserve">, and is reproduced across methods. Collapsing this ordering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4</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the Appendix makes explicit). Reporting RDS and NSUM side-by-side (</w:t>
      </w:r>
      <w:hyperlink w:anchor="tbl-preferred-estimates">
        <w:r>
          <w:rPr>
            <w:rStyle w:val="Hyperlink"/>
          </w:rPr>
          <w:t xml:space="preserve">Table 6</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the Appendix (Section D.5, Figure D.4)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w:t>
      </w:r>
      <w:r>
        <w:t xml:space="preserve"> </w:t>
      </w:r>
      <w:r>
        <w:t xml:space="preserve">(Feehan &amp; Salganik, 2016; Killworth et al., 1998; Maltiel et al., 2015)</w:t>
      </w:r>
      <w:r>
        <w:t xml:space="preserve">,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3"/>
    <w:bookmarkStart w:id="64" w:name="sec-generalisability"/>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the five binary indicators bundle nine of the eleven ILO categories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 threats and abuse combines two ILO categories (intimidation/threats and physical and sexual violence), pay-related issues combines two (wage withholding and debt bondage), limited access to help combines two (restriction of movement and isolation), document withholding and excessive working hours each map to a single ILO category, and threats and abuse also captures part of ILO Category 10 (abusive working and living conditions) through Q48.</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4</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4"/>
    <w:bookmarkStart w:id="65" w:name="sec-weights-sensitivity"/>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the Appendix, Section A).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the Appendix.</w:t>
      </w:r>
    </w:p>
    <w:bookmarkEnd w:id="65"/>
    <w:bookmarkStart w:id="66" w:name="sec-policy"/>
    <w:p>
      <w:pPr>
        <w:pStyle w:val="Heading2"/>
      </w:pPr>
      <w:r>
        <w:t xml:space="preserve">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6"/>
    <w:bookmarkEnd w:id="67"/>
    <w:bookmarkStart w:id="68"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three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that gives equal weight to each of the ILO’s eleven indicators of forced labour and is organised for reporting by the ILO’s medium/strong severity ordering</w:t>
      </w:r>
      <w:r>
        <w:t xml:space="preserve"> </w:t>
      </w:r>
      <w:r>
        <w:t xml:space="preserve">(International Labour Organization, 2024)</w:t>
      </w:r>
      <w:r>
        <w:t xml:space="preserve">.</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8"/>
    <w:bookmarkStart w:id="69" w:name="sec-declarations"/>
    <w:p>
      <w:pPr>
        <w:pStyle w:val="Heading1"/>
      </w:pPr>
      <w:r>
        <w:t xml:space="preserve">7. Declarations</w:t>
      </w:r>
    </w:p>
    <w:p>
      <w:pPr>
        <w:pStyle w:val="FirstParagraph"/>
      </w:pPr>
      <w:r>
        <w:rPr>
          <w:b/>
          <w:bCs/>
        </w:rPr>
        <w:t xml:space="preserve">Funding.</w:t>
      </w:r>
      <w:r>
        <w:t xml:space="preserve"> </w:t>
      </w:r>
      <w:r>
        <w:t xml:space="preserve">[Funding source anonymised for review; details on Title Page.]</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(Ethics Review Application number 202223021).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 &lt;[OSF view-only URL redacted for anonymised review; will be provided upon request]&gt;.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9"/>
    <w:bookmarkStart w:id="119" w:name="references"/>
    <w:p>
      <w:pPr>
        <w:pStyle w:val="Heading1"/>
      </w:pPr>
      <w:r>
        <w:t xml:space="preserve">References</w:t>
      </w:r>
    </w:p>
    <w:bookmarkStart w:id="118" w:name="refs"/>
    <w:bookmarkStart w:id="70" w:name="ref-bern09-broken"/>
    <w:p>
      <w:pPr>
        <w:pStyle w:val="Bibliography"/>
      </w:pPr>
      <w:r>
        <w:t xml:space="preserve">Bernhardt, A., Milkman, R. T., &amp; N. (2009).</w:t>
      </w:r>
      <w:r>
        <w:t xml:space="preserve"> </w:t>
      </w:r>
      <w:r>
        <w:rPr>
          <w:i/>
          <w:iCs/>
        </w:rPr>
        <w:t xml:space="preserve">Broken laws, unprotected workers:</w:t>
      </w:r>
      <w:r>
        <w:rPr>
          <w:i/>
          <w:iCs/>
        </w:rPr>
        <w:t xml:space="preserve"> </w:t>
      </w:r>
      <w:r>
        <w:rPr>
          <w:i/>
          <w:iCs/>
        </w:rPr>
        <w:t xml:space="preserve">Violations</w:t>
      </w:r>
      <w:r>
        <w:rPr>
          <w:i/>
          <w:iCs/>
        </w:rPr>
        <w:t xml:space="preserve"> </w:t>
      </w:r>
      <w:r>
        <w:rPr>
          <w:i/>
          <w:iCs/>
        </w:rPr>
        <w:t xml:space="preserve">of employment and labor laws in america’s cities</w:t>
      </w:r>
      <w:r>
        <w:t xml:space="preserve"> </w:t>
      </w:r>
      <w:r>
        <w:t xml:space="preserve">[UCLA IRLE Report.].</w:t>
      </w:r>
    </w:p>
    <w:bookmarkEnd w:id="70"/>
    <w:bookmarkStart w:id="71"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1"/>
    <w:bookmarkStart w:id="73" w:name="ref-gile11-improved"/>
    <w:p>
      <w:pPr>
        <w:pStyle w:val="Bibliography"/>
      </w:pPr>
      <w:r>
        <w:t xml:space="preserve">Gile, K. J. (2011). Improved</w:t>
      </w:r>
      <w:r>
        <w:t xml:space="preserve"> </w:t>
      </w:r>
      <w:r>
        <w:t xml:space="preserve">Inference</w:t>
      </w:r>
      <w:r>
        <w:t xml:space="preserve"> </w:t>
      </w:r>
      <w:r>
        <w:t xml:space="preserve">for</w:t>
      </w:r>
      <w:r>
        <w:t xml:space="preserve"> </w:t>
      </w:r>
      <w:r>
        <w:t xml:space="preserve">Respondent-Driven Sampling Data With Application</w:t>
      </w:r>
      <w:r>
        <w:t xml:space="preserve"> </w:t>
      </w:r>
      <w:r>
        <w:t xml:space="preserve">to</w:t>
      </w:r>
      <w:r>
        <w:t xml:space="preserve"> </w:t>
      </w:r>
      <w:r>
        <w:t xml:space="preserve">HIV Prevalence Estimation</w:t>
      </w:r>
      <w:r>
        <w:t xml:space="preserve">.</w:t>
      </w:r>
      <w:r>
        <w:t xml:space="preserve"> </w:t>
      </w:r>
      <w:r>
        <w:rPr>
          <w:i/>
          <w:iCs/>
        </w:rPr>
        <w:t xml:space="preserve">Journal of the American Statistical Association</w:t>
      </w:r>
      <w:r>
        <w:t xml:space="preserve">,</w:t>
      </w:r>
      <w:r>
        <w:t xml:space="preserve"> </w:t>
      </w:r>
      <w:r>
        <w:rPr>
          <w:i/>
          <w:iCs/>
        </w:rPr>
        <w:t xml:space="preserve">106</w:t>
      </w:r>
      <w:r>
        <w:t xml:space="preserve">(493), 135–146.</w:t>
      </w:r>
      <w:r>
        <w:t xml:space="preserve"> </w:t>
      </w:r>
      <w:hyperlink r:id="rId72">
        <w:r>
          <w:rPr>
            <w:rStyle w:val="Hyperlink"/>
          </w:rPr>
          <w:t xml:space="preserve">https://doi.org/10.1198/jasa.2011.ap09475</w:t>
        </w:r>
      </w:hyperlink>
    </w:p>
    <w:bookmarkEnd w:id="73"/>
    <w:bookmarkStart w:id="75" w:name="ref-gile18-methods"/>
    <w:p>
      <w:pPr>
        <w:pStyle w:val="Bibliography"/>
      </w:pPr>
      <w:r>
        <w:t xml:space="preserve">Gile, K. J., Beaudry, I. S., Handcock, M. S., &amp; Ott, M. Q. (2018). Methods for inference from respondent-driven sampling data.</w:t>
      </w:r>
      <w:r>
        <w:t xml:space="preserve"> </w:t>
      </w:r>
      <w:r>
        <w:rPr>
          <w:i/>
          <w:iCs/>
        </w:rPr>
        <w:t xml:space="preserve">Annual Review of Statistics and Its Application</w:t>
      </w:r>
      <w:r>
        <w:t xml:space="preserve">,</w:t>
      </w:r>
      <w:r>
        <w:t xml:space="preserve"> </w:t>
      </w:r>
      <w:r>
        <w:rPr>
          <w:i/>
          <w:iCs/>
        </w:rPr>
        <w:t xml:space="preserve">5</w:t>
      </w:r>
      <w:r>
        <w:t xml:space="preserve">(1), 65–93.</w:t>
      </w:r>
      <w:r>
        <w:t xml:space="preserve"> </w:t>
      </w:r>
      <w:hyperlink r:id="rId74">
        <w:r>
          <w:rPr>
            <w:rStyle w:val="Hyperlink"/>
          </w:rPr>
          <w:t xml:space="preserve">https://doi.org/10.1146/annurev-statistics-031017-100704</w:t>
        </w:r>
      </w:hyperlink>
    </w:p>
    <w:bookmarkEnd w:id="75"/>
    <w:bookmarkStart w:id="76" w:name="ref-gile10-respondentdriven"/>
    <w:p>
      <w:pPr>
        <w:pStyle w:val="Bibliography"/>
      </w:pPr>
      <w:r>
        <w:t xml:space="preserve">Gile, K. J., &amp; Handcock, M. S. (2010). Respondent-</w:t>
      </w:r>
      <w:r>
        <w:t xml:space="preserve">Driven Sampling</w:t>
      </w:r>
      <w:r>
        <w:t xml:space="preserve">:</w:t>
      </w:r>
      <w:r>
        <w:t xml:space="preserve"> </w:t>
      </w:r>
      <w:r>
        <w:t xml:space="preserve">An Assessment</w:t>
      </w:r>
      <w:r>
        <w:t xml:space="preserve"> </w:t>
      </w:r>
      <w:r>
        <w:t xml:space="preserve">of</w:t>
      </w:r>
      <w:r>
        <w:t xml:space="preserve"> </w:t>
      </w:r>
      <w:r>
        <w:t xml:space="preserve">Current Methodology</w:t>
      </w:r>
      <w:r>
        <w:t xml:space="preserve">.</w:t>
      </w:r>
      <w:r>
        <w:t xml:space="preserve"> </w:t>
      </w:r>
      <w:r>
        <w:rPr>
          <w:i/>
          <w:iCs/>
        </w:rPr>
        <w:t xml:space="preserve">Sociological Methodology</w:t>
      </w:r>
      <w:r>
        <w:t xml:space="preserve">,</w:t>
      </w:r>
      <w:r>
        <w:t xml:space="preserve"> </w:t>
      </w:r>
      <w:r>
        <w:rPr>
          <w:i/>
          <w:iCs/>
        </w:rPr>
        <w:t xml:space="preserve">40</w:t>
      </w:r>
      <w:r>
        <w:t xml:space="preserve">, 285–327.</w:t>
      </w:r>
    </w:p>
    <w:bookmarkEnd w:id="76"/>
    <w:bookmarkStart w:id="78" w:name="ref-gile15-network"/>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77">
        <w:r>
          <w:rPr>
            <w:rStyle w:val="Hyperlink"/>
          </w:rPr>
          <w:t xml:space="preserve">https://doi.org/10.1111/rssa.12091</w:t>
        </w:r>
      </w:hyperlink>
    </w:p>
    <w:bookmarkEnd w:id="78"/>
    <w:bookmarkStart w:id="80" w:name="ref-goel10-assessing"/>
    <w:p>
      <w:pPr>
        <w:pStyle w:val="Bibliography"/>
      </w:pPr>
      <w:r>
        <w:t xml:space="preserve">Goel, S., &amp; Salganik, M. J. (2010). Assessing respondent-driven sampling.</w:t>
      </w:r>
      <w:r>
        <w:t xml:space="preserve"> </w:t>
      </w:r>
      <w:r>
        <w:rPr>
          <w:i/>
          <w:iCs/>
        </w:rPr>
        <w:t xml:space="preserve">Proceedings of the National Academy of Sciences</w:t>
      </w:r>
      <w:r>
        <w:t xml:space="preserve">,</w:t>
      </w:r>
      <w:r>
        <w:t xml:space="preserve"> </w:t>
      </w:r>
      <w:r>
        <w:rPr>
          <w:i/>
          <w:iCs/>
        </w:rPr>
        <w:t xml:space="preserve">107</w:t>
      </w:r>
      <w:r>
        <w:t xml:space="preserve">(15), 6743–6747.</w:t>
      </w:r>
      <w:r>
        <w:t xml:space="preserve"> </w:t>
      </w:r>
      <w:hyperlink r:id="rId79">
        <w:r>
          <w:rPr>
            <w:rStyle w:val="Hyperlink"/>
          </w:rPr>
          <w:t xml:space="preserve">https://doi.org/10.1073/pnas.1000261107</w:t>
        </w:r>
      </w:hyperlink>
    </w:p>
    <w:bookmarkEnd w:id="80"/>
    <w:bookmarkStart w:id="82" w:name="ref-hand14-estimating"/>
    <w:p>
      <w:pPr>
        <w:pStyle w:val="Bibliography"/>
      </w:pPr>
      <w:r>
        <w:t xml:space="preserve">Handcock, M. S., Gile, K. J., &amp; Mar, C. M. (2014). Estimating hidden population size using</w:t>
      </w:r>
      <w:r>
        <w:t xml:space="preserve"> </w:t>
      </w:r>
      <w:r>
        <w:t xml:space="preserve">Respondent-Driven Sampling</w:t>
      </w:r>
      <w:r>
        <w:t xml:space="preserve"> </w:t>
      </w:r>
      <w:r>
        <w:t xml:space="preserve">data.</w:t>
      </w:r>
      <w:r>
        <w:t xml:space="preserve"> </w:t>
      </w:r>
      <w:r>
        <w:rPr>
          <w:i/>
          <w:iCs/>
        </w:rPr>
        <w:t xml:space="preserve">Electronic Journal of Statistics</w:t>
      </w:r>
      <w:r>
        <w:t xml:space="preserve">,</w:t>
      </w:r>
      <w:r>
        <w:t xml:space="preserve"> </w:t>
      </w:r>
      <w:r>
        <w:rPr>
          <w:i/>
          <w:iCs/>
        </w:rPr>
        <w:t xml:space="preserve">8</w:t>
      </w:r>
      <w:r>
        <w:t xml:space="preserve">(1), 1491–1521.</w:t>
      </w:r>
      <w:r>
        <w:t xml:space="preserve"> </w:t>
      </w:r>
      <w:hyperlink r:id="rId81">
        <w:r>
          <w:rPr>
            <w:rStyle w:val="Hyperlink"/>
          </w:rPr>
          <w:t xml:space="preserve">https://doi.org/10.1214/14-EJS923</w:t>
        </w:r>
      </w:hyperlink>
    </w:p>
    <w:bookmarkEnd w:id="82"/>
    <w:bookmarkStart w:id="84" w:name="ref-heck97-respondentdriven"/>
    <w:p>
      <w:pPr>
        <w:pStyle w:val="Bibliography"/>
      </w:pPr>
      <w:r>
        <w:t xml:space="preserve">Heckathorn, D. D. (1997). Respondent-driven sampling:</w:t>
      </w:r>
      <w:r>
        <w:t xml:space="preserve"> </w:t>
      </w:r>
      <w:r>
        <w:t xml:space="preserve">A</w:t>
      </w:r>
      <w:r>
        <w:t xml:space="preserve"> </w:t>
      </w:r>
      <w:r>
        <w:t xml:space="preserve">new approach to the study of hidden populations.</w:t>
      </w:r>
      <w:r>
        <w:t xml:space="preserve"> </w:t>
      </w:r>
      <w:r>
        <w:rPr>
          <w:i/>
          <w:iCs/>
        </w:rPr>
        <w:t xml:space="preserve">Social Problems</w:t>
      </w:r>
      <w:r>
        <w:t xml:space="preserve">,</w:t>
      </w:r>
      <w:r>
        <w:t xml:space="preserve"> </w:t>
      </w:r>
      <w:r>
        <w:rPr>
          <w:i/>
          <w:iCs/>
        </w:rPr>
        <w:t xml:space="preserve">44</w:t>
      </w:r>
      <w:r>
        <w:t xml:space="preserve">(2), 174–199.</w:t>
      </w:r>
      <w:r>
        <w:t xml:space="preserve"> </w:t>
      </w:r>
      <w:hyperlink r:id="rId83">
        <w:r>
          <w:rPr>
            <w:rStyle w:val="Hyperlink"/>
          </w:rPr>
          <w:t xml:space="preserve">https://doi.org/10.2307/3096941</w:t>
        </w:r>
      </w:hyperlink>
    </w:p>
    <w:bookmarkEnd w:id="84"/>
    <w:bookmarkStart w:id="85" w:name="ref-heck11-comment"/>
    <w:p>
      <w:pPr>
        <w:pStyle w:val="Bibliography"/>
      </w:pPr>
      <w:r>
        <w:t xml:space="preserve">Heckathorn, D. D. (2011). Comment:</w:t>
      </w:r>
      <w:r>
        <w:t xml:space="preserve"> </w:t>
      </w:r>
      <w:r>
        <w:t xml:space="preserve">Snowball</w:t>
      </w:r>
      <w:r>
        <w:t xml:space="preserve"> </w:t>
      </w:r>
      <w:r>
        <w:t xml:space="preserve">versus respondent-driven sampling.</w:t>
      </w:r>
      <w:r>
        <w:t xml:space="preserve"> </w:t>
      </w:r>
      <w:r>
        <w:rPr>
          <w:i/>
          <w:iCs/>
        </w:rPr>
        <w:t xml:space="preserve">Sociological Methodology</w:t>
      </w:r>
      <w:r>
        <w:t xml:space="preserve">,</w:t>
      </w:r>
      <w:r>
        <w:t xml:space="preserve"> </w:t>
      </w:r>
      <w:r>
        <w:rPr>
          <w:i/>
          <w:iCs/>
        </w:rPr>
        <w:t xml:space="preserve">41</w:t>
      </w:r>
      <w:r>
        <w:t xml:space="preserve">(1), 355–366.</w:t>
      </w:r>
    </w:p>
    <w:bookmarkEnd w:id="85"/>
    <w:bookmarkStart w:id="86" w:name="ref-hick25-human"/>
    <w:p>
      <w:pPr>
        <w:pStyle w:val="Bibliography"/>
      </w:pPr>
      <w:r>
        <w:t xml:space="preserve">Hickman, S., Lopez-Jauffret, C., Fahy, &amp; Masick, V. (2025).</w:t>
      </w:r>
      <w:r>
        <w:t xml:space="preserve"> </w:t>
      </w:r>
      <w:r>
        <w:rPr>
          <w:i/>
          <w:iCs/>
        </w:rPr>
        <w:t xml:space="preserve">Human</w:t>
      </w:r>
      <w:r>
        <w:rPr>
          <w:i/>
          <w:iCs/>
        </w:rPr>
        <w:t xml:space="preserve"> </w:t>
      </w:r>
      <w:r>
        <w:rPr>
          <w:i/>
          <w:iCs/>
        </w:rPr>
        <w:t xml:space="preserve">Trafficking Prevalence Estimation Feasibility Study</w:t>
      </w:r>
      <w:r>
        <w:t xml:space="preserve"> </w:t>
      </w:r>
      <w:r>
        <w:t xml:space="preserve">(This Project Was Supported by Cooperative Agreement No. 2019-85 CX-K002 NCJ 309951). Bureau of Justice Statistics.</w:t>
      </w:r>
    </w:p>
    <w:bookmarkEnd w:id="86"/>
    <w:bookmarkStart w:id="88"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7">
        <w:r>
          <w:rPr>
            <w:rStyle w:val="Hyperlink"/>
          </w:rPr>
          <w:t xml:space="preserve">https://www.ilo.org/publications/ilo-indicators-forced-labour</w:t>
        </w:r>
      </w:hyperlink>
    </w:p>
    <w:bookmarkEnd w:id="88"/>
    <w:bookmarkStart w:id="90" w:name="ref-hard24-ilo"/>
    <w:p>
      <w:pPr>
        <w:pStyle w:val="Bibliography"/>
      </w:pPr>
      <w:r>
        <w:t xml:space="preserve">International Labour Organization. (2024).</w:t>
      </w:r>
      <w:r>
        <w:t xml:space="preserve"> </w:t>
      </w:r>
      <w:r>
        <w:rPr>
          <w:i/>
          <w:iCs/>
        </w:rPr>
        <w:t xml:space="preserve">Hard to see, harder to count handbook on forced labour surveys</w:t>
      </w:r>
      <w:r>
        <w:t xml:space="preserve"> </w:t>
      </w:r>
      <w:r>
        <w:t xml:space="preserve">(Third Edition). International Labour Organization.</w:t>
      </w:r>
      <w:r>
        <w:t xml:space="preserve"> </w:t>
      </w:r>
      <w:hyperlink r:id="rId89">
        <w:r>
          <w:rPr>
            <w:rStyle w:val="Hyperlink"/>
          </w:rPr>
          <w:t xml:space="preserve">https://www.ilo.org/forcedlabour</w:t>
        </w:r>
      </w:hyperlink>
    </w:p>
    <w:bookmarkEnd w:id="90"/>
    <w:bookmarkStart w:id="91" w:name="ref-int25-ilo"/>
    <w:p>
      <w:pPr>
        <w:pStyle w:val="Bibliography"/>
      </w:pPr>
      <w:r>
        <w:t xml:space="preserve">International Labour Organization. (2025).</w:t>
      </w:r>
      <w:r>
        <w:t xml:space="preserve"> </w:t>
      </w:r>
      <w:r>
        <w:rPr>
          <w:i/>
          <w:iCs/>
        </w:rPr>
        <w:t xml:space="preserve">ILO indicators of forced labour</w:t>
      </w:r>
      <w:r>
        <w:t xml:space="preserve"> </w:t>
      </w:r>
      <w:r>
        <w:t xml:space="preserve">[2025 revised edition]. International Labour Organization.</w:t>
      </w:r>
      <w:r>
        <w:t xml:space="preserve"> </w:t>
      </w:r>
      <w:hyperlink r:id="rId89">
        <w:r>
          <w:rPr>
            <w:rStyle w:val="Hyperlink"/>
          </w:rPr>
          <w:t xml:space="preserve">https://www.ilo.org/forcedlabour</w:t>
        </w:r>
      </w:hyperlink>
    </w:p>
    <w:bookmarkEnd w:id="91"/>
    <w:bookmarkStart w:id="92" w:name="ref-ist20-prevalence"/>
    <w:p>
      <w:pPr>
        <w:pStyle w:val="Bibliography"/>
      </w:pPr>
      <w:r>
        <w:t xml:space="preserve">IST Research, &amp; University of California, Los Angeles. (2020).</w:t>
      </w:r>
      <w:r>
        <w:t xml:space="preserve"> </w:t>
      </w:r>
      <w:r>
        <w:rPr>
          <w:i/>
          <w:iCs/>
        </w:rPr>
        <w:t xml:space="preserve">Estimating the prevalence of child sex trafficking in</w:t>
      </w:r>
      <w:r>
        <w:rPr>
          <w:i/>
          <w:iCs/>
        </w:rPr>
        <w:t xml:space="preserve"> </w:t>
      </w:r>
      <w:r>
        <w:rPr>
          <w:i/>
          <w:iCs/>
        </w:rPr>
        <w:t xml:space="preserve">Maharashtra</w:t>
      </w:r>
      <w:r>
        <w:rPr>
          <w:i/>
          <w:iCs/>
        </w:rPr>
        <w:t xml:space="preserve">,</w:t>
      </w:r>
      <w:r>
        <w:rPr>
          <w:i/>
          <w:iCs/>
        </w:rPr>
        <w:t xml:space="preserve"> </w:t>
      </w:r>
      <w:r>
        <w:rPr>
          <w:i/>
          <w:iCs/>
        </w:rPr>
        <w:t xml:space="preserve">India</w:t>
      </w:r>
      <w:r>
        <w:t xml:space="preserve"> </w:t>
      </w:r>
      <w:r>
        <w:t xml:space="preserve">[Technical Report]. Global Fund to End Modern Slavery.</w:t>
      </w:r>
    </w:p>
    <w:bookmarkEnd w:id="92"/>
    <w:bookmarkStart w:id="93" w:name="ref-jord20-overcoming"/>
    <w:p>
      <w:pPr>
        <w:pStyle w:val="Bibliography"/>
      </w:pPr>
      <w:r>
        <w:t xml:space="preserve">Jordan, L., Chui, C. H. K., Larmar, S., &amp; O’Leary, P. (2020). Overcoming methodological challenges in prevalence studies in developing contexts with vulnerable children.</w:t>
      </w:r>
      <w:r>
        <w:t xml:space="preserve"> </w:t>
      </w:r>
      <w:r>
        <w:rPr>
          <w:i/>
          <w:iCs/>
        </w:rPr>
        <w:t xml:space="preserve">International Social Work</w:t>
      </w:r>
      <w:r>
        <w:t xml:space="preserve">,</w:t>
      </w:r>
      <w:r>
        <w:t xml:space="preserve"> </w:t>
      </w:r>
      <w:r>
        <w:rPr>
          <w:i/>
          <w:iCs/>
        </w:rPr>
        <w:t xml:space="preserve">63</w:t>
      </w:r>
      <w:r>
        <w:t xml:space="preserve">(3), 371–385.</w:t>
      </w:r>
    </w:p>
    <w:bookmarkEnd w:id="93"/>
    <w:bookmarkStart w:id="94" w:name="ref-kala08-new"/>
    <w:p>
      <w:pPr>
        <w:pStyle w:val="Bibliography"/>
      </w:pPr>
      <w:r>
        <w:t xml:space="preserve">Kalayaan. (2008).</w:t>
      </w:r>
      <w:r>
        <w:t xml:space="preserve"> </w:t>
      </w:r>
      <w:r>
        <w:rPr>
          <w:i/>
          <w:iCs/>
        </w:rPr>
        <w:t xml:space="preserve">The new bonded labour?</w:t>
      </w:r>
    </w:p>
    <w:bookmarkEnd w:id="94"/>
    <w:bookmarkStart w:id="96" w:name="ref-kill98-social"/>
    <w:p>
      <w:pPr>
        <w:pStyle w:val="Bibliography"/>
      </w:pPr>
      <w:r>
        <w:t xml:space="preserve">Killworth, P. D., Johnsen, E. C., McCarty, C., Shelley, G. A., &amp; Bernard, H. R. (1998). A social network approach to estimating seroprevalence in the</w:t>
      </w:r>
      <w:r>
        <w:t xml:space="preserve"> </w:t>
      </w:r>
      <w:r>
        <w:t xml:space="preserve">United States</w:t>
      </w:r>
      <w:r>
        <w:t xml:space="preserve">.</w:t>
      </w:r>
      <w:r>
        <w:t xml:space="preserve"> </w:t>
      </w:r>
      <w:r>
        <w:rPr>
          <w:i/>
          <w:iCs/>
        </w:rPr>
        <w:t xml:space="preserve">Social Networks</w:t>
      </w:r>
      <w:r>
        <w:t xml:space="preserve">,</w:t>
      </w:r>
      <w:r>
        <w:t xml:space="preserve"> </w:t>
      </w:r>
      <w:r>
        <w:rPr>
          <w:i/>
          <w:iCs/>
        </w:rPr>
        <w:t xml:space="preserve">20</w:t>
      </w:r>
      <w:r>
        <w:t xml:space="preserve">(1), 23–50.</w:t>
      </w:r>
      <w:r>
        <w:t xml:space="preserve"> </w:t>
      </w:r>
      <w:hyperlink r:id="rId95">
        <w:r>
          <w:rPr>
            <w:rStyle w:val="Hyperlink"/>
          </w:rPr>
          <w:t xml:space="preserve">https://doi.org/10.1016/S0378-8733(96)00305-X</w:t>
        </w:r>
      </w:hyperlink>
    </w:p>
    <w:bookmarkEnd w:id="96"/>
    <w:bookmarkStart w:id="98" w:name="ref-malt15-estimating"/>
    <w:p>
      <w:pPr>
        <w:pStyle w:val="Bibliography"/>
      </w:pPr>
      <w:r>
        <w:t xml:space="preserve">Maltiel, R., Raftery, A. E., McCormick, T. H., &amp; Baraff, A. J. (2015). Estimating population size using the network scale up method.</w:t>
      </w:r>
      <w:r>
        <w:t xml:space="preserve"> </w:t>
      </w:r>
      <w:r>
        <w:rPr>
          <w:i/>
          <w:iCs/>
        </w:rPr>
        <w:t xml:space="preserve">The Annals of Applied Statistics</w:t>
      </w:r>
      <w:r>
        <w:t xml:space="preserve">,</w:t>
      </w:r>
      <w:r>
        <w:t xml:space="preserve"> </w:t>
      </w:r>
      <w:r>
        <w:rPr>
          <w:i/>
          <w:iCs/>
        </w:rPr>
        <w:t xml:space="preserve">9</w:t>
      </w:r>
      <w:r>
        <w:t xml:space="preserve">(3), 1247–1277.</w:t>
      </w:r>
      <w:r>
        <w:t xml:space="preserve"> </w:t>
      </w:r>
      <w:hyperlink r:id="rId97">
        <w:r>
          <w:rPr>
            <w:rStyle w:val="Hyperlink"/>
          </w:rPr>
          <w:t xml:space="preserve">https://doi.org/10.1214/15-AOAS827</w:t>
        </w:r>
      </w:hyperlink>
    </w:p>
    <w:bookmarkEnd w:id="98"/>
    <w:bookmarkStart w:id="99" w:name="ref-mant16-modern"/>
    <w:p>
      <w:pPr>
        <w:pStyle w:val="Bibliography"/>
      </w:pPr>
      <w:r>
        <w:t xml:space="preserve">Mantouvalou, V. (2016). Modern slavery?</w:t>
      </w:r>
      <w:r>
        <w:t xml:space="preserve"> </w:t>
      </w:r>
      <w:r>
        <w:t xml:space="preserve">The UK</w:t>
      </w:r>
      <w:r>
        <w:t xml:space="preserve"> </w:t>
      </w:r>
      <w:r>
        <w:t xml:space="preserve">visa system and the exploitation of migrant domestic workers. In</w:t>
      </w:r>
      <w:r>
        <w:t xml:space="preserve"> </w:t>
      </w:r>
      <w:r>
        <w:rPr>
          <w:i/>
          <w:iCs/>
        </w:rPr>
        <w:t xml:space="preserve">British politics and policy at</w:t>
      </w:r>
      <w:r>
        <w:rPr>
          <w:i/>
          <w:iCs/>
        </w:rPr>
        <w:t xml:space="preserve"> </w:t>
      </w:r>
      <w:r>
        <w:rPr>
          <w:i/>
          <w:iCs/>
        </w:rPr>
        <w:t xml:space="preserve">LSE</w:t>
      </w:r>
      <w:r>
        <w:t xml:space="preserve">.</w:t>
      </w:r>
    </w:p>
    <w:bookmarkEnd w:id="99"/>
    <w:bookmarkStart w:id="101" w:name="ref-mccr12-evaluation"/>
    <w:p>
      <w:pPr>
        <w:pStyle w:val="Bibliography"/>
      </w:pPr>
      <w:r>
        <w:t xml:space="preserve">McCreesh, N., Frost, S. D. W., Seeley, J., Katongole, J., Tarsh, M. N., Ndunguse, R., Jichi, F., Lunel, N. L., Maher, D., Johnston, L. G., Sonnenberg, P., Copas, A. J., Hayes, R. J., &amp; White, R. G. (2012). Evaluation of respondent-driven sampling.</w:t>
      </w:r>
      <w:r>
        <w:t xml:space="preserve"> </w:t>
      </w:r>
      <w:r>
        <w:rPr>
          <w:i/>
          <w:iCs/>
        </w:rPr>
        <w:t xml:space="preserve">Epidemiology</w:t>
      </w:r>
      <w:r>
        <w:t xml:space="preserve">,</w:t>
      </w:r>
      <w:r>
        <w:t xml:space="preserve"> </w:t>
      </w:r>
      <w:r>
        <w:rPr>
          <w:i/>
          <w:iCs/>
        </w:rPr>
        <w:t xml:space="preserve">23</w:t>
      </w:r>
      <w:r>
        <w:t xml:space="preserve">(1), 138–147.</w:t>
      </w:r>
      <w:r>
        <w:t xml:space="preserve"> </w:t>
      </w:r>
      <w:hyperlink r:id="rId100">
        <w:r>
          <w:rPr>
            <w:rStyle w:val="Hyperlink"/>
          </w:rPr>
          <w:t xml:space="preserve">https://doi.org/10.1097/EDE.0b013e31823ac17c</w:t>
        </w:r>
      </w:hyperlink>
    </w:p>
    <w:bookmarkEnd w:id="101"/>
    <w:bookmarkStart w:id="103" w:name="ref-romero_blueprint_2025"/>
    <w:p>
      <w:pPr>
        <w:pStyle w:val="Bibliography"/>
      </w:pPr>
      <w:r>
        <w:t xml:space="preserve">Romero, A., &amp; Fisher, O. (2025).</w:t>
      </w:r>
      <w:r>
        <w:t xml:space="preserve"> </w:t>
      </w:r>
      <w:r>
        <w:rPr>
          <w:i/>
          <w:iCs/>
        </w:rPr>
        <w:t xml:space="preserve">Blueprint for safer and fairer migration for low-paid work</w:t>
      </w:r>
      <w:r>
        <w:t xml:space="preserve">. Focus on Labour Exploitation; Focus on Labour Exploitation.</w:t>
      </w:r>
      <w:r>
        <w:t xml:space="preserve"> </w:t>
      </w:r>
      <w:hyperlink r:id="rId102">
        <w:r>
          <w:rPr>
            <w:rStyle w:val="Hyperlink"/>
          </w:rPr>
          <w:t xml:space="preserve">https://labourexploitation.org/app/uploads/2025/06/Flex-Report-Blueprint-for-safer-and-fairer-migration-for-low-paid-work_final_30_June-.pdf</w:t>
        </w:r>
      </w:hyperlink>
    </w:p>
    <w:bookmarkEnd w:id="103"/>
    <w:bookmarkStart w:id="104" w:name="ref-salg04-sampling"/>
    <w:p>
      <w:pPr>
        <w:pStyle w:val="Bibliography"/>
      </w:pPr>
      <w:r>
        <w:t xml:space="preserve">Salganik, M. J., &amp; Heckathorn, D. D. (2004). Sampling and</w:t>
      </w:r>
      <w:r>
        <w:t xml:space="preserve"> </w:t>
      </w:r>
      <w:r>
        <w:t xml:space="preserve">Estimation</w:t>
      </w:r>
      <w:r>
        <w:t xml:space="preserve"> </w:t>
      </w:r>
      <w:r>
        <w:t xml:space="preserve">in</w:t>
      </w:r>
      <w:r>
        <w:t xml:space="preserve"> </w:t>
      </w:r>
      <w:r>
        <w:t xml:space="preserve">Hidden Populations Using Respondent-Driven Sampling</w:t>
      </w:r>
      <w:r>
        <w:t xml:space="preserve">.</w:t>
      </w:r>
      <w:r>
        <w:t xml:space="preserve"> </w:t>
      </w:r>
      <w:r>
        <w:rPr>
          <w:i/>
          <w:iCs/>
        </w:rPr>
        <w:t xml:space="preserve">Sociological Methodology</w:t>
      </w:r>
      <w:r>
        <w:t xml:space="preserve">,</w:t>
      </w:r>
      <w:r>
        <w:t xml:space="preserve"> </w:t>
      </w:r>
      <w:r>
        <w:rPr>
          <w:i/>
          <w:iCs/>
        </w:rPr>
        <w:t xml:space="preserve">34</w:t>
      </w:r>
      <w:r>
        <w:t xml:space="preserve">, 193–239.</w:t>
      </w:r>
    </w:p>
    <w:bookmarkEnd w:id="104"/>
    <w:bookmarkStart w:id="105" w:name="ref-schw12-prevalence"/>
    <w:p>
      <w:pPr>
        <w:pStyle w:val="Bibliography"/>
      </w:pPr>
      <w:r>
        <w:t xml:space="preserve">Schwitters, A., Swaminathan, M., &amp; Serwadda, D. (2012). Prevalence of rape and client-initiated gender-based violence among female sex workers:</w:t>
      </w:r>
      <w:r>
        <w:t xml:space="preserve"> </w:t>
      </w:r>
      <w:r>
        <w:t xml:space="preserve">Kampala</w:t>
      </w:r>
      <w:r>
        <w:t xml:space="preserve">, uganda.</w:t>
      </w:r>
      <w:r>
        <w:t xml:space="preserve"> </w:t>
      </w:r>
      <w:r>
        <w:rPr>
          <w:i/>
          <w:iCs/>
        </w:rPr>
        <w:t xml:space="preserve">AIDS Behaviour</w:t>
      </w:r>
      <w:r>
        <w:t xml:space="preserve">,</w:t>
      </w:r>
      <w:r>
        <w:t xml:space="preserve"> </w:t>
      </w:r>
      <w:r>
        <w:rPr>
          <w:i/>
          <w:iCs/>
        </w:rPr>
        <w:t xml:space="preserve">19</w:t>
      </w:r>
      <w:r>
        <w:t xml:space="preserve">, 68–76.</w:t>
      </w:r>
    </w:p>
    <w:bookmarkEnd w:id="105"/>
    <w:bookmarkStart w:id="106" w:name="ref-serv23-closed"/>
    <w:p>
      <w:pPr>
        <w:pStyle w:val="Bibliography"/>
      </w:pPr>
      <w:r>
        <w:t xml:space="preserve">Service, L. A. W. R. (2023).</w:t>
      </w:r>
      <w:r>
        <w:t xml:space="preserve"> </w:t>
      </w:r>
      <w:r>
        <w:rPr>
          <w:i/>
          <w:iCs/>
        </w:rPr>
        <w:t xml:space="preserve">Behind closed doors:</w:t>
      </w:r>
      <w:r>
        <w:rPr>
          <w:i/>
          <w:iCs/>
        </w:rPr>
        <w:t xml:space="preserve"> </w:t>
      </w:r>
      <w:r>
        <w:rPr>
          <w:i/>
          <w:iCs/>
        </w:rPr>
        <w:t xml:space="preserve">Experiences</w:t>
      </w:r>
      <w:r>
        <w:rPr>
          <w:i/>
          <w:iCs/>
        </w:rPr>
        <w:t xml:space="preserve"> </w:t>
      </w:r>
      <w:r>
        <w:rPr>
          <w:i/>
          <w:iCs/>
        </w:rPr>
        <w:t xml:space="preserve">of</w:t>
      </w:r>
      <w:r>
        <w:rPr>
          <w:i/>
          <w:iCs/>
        </w:rPr>
        <w:t xml:space="preserve"> </w:t>
      </w:r>
      <w:r>
        <w:rPr>
          <w:i/>
          <w:iCs/>
        </w:rPr>
        <w:t xml:space="preserve">Latin American</w:t>
      </w:r>
      <w:r>
        <w:rPr>
          <w:i/>
          <w:iCs/>
        </w:rPr>
        <w:t xml:space="preserve"> </w:t>
      </w:r>
      <w:r>
        <w:rPr>
          <w:i/>
          <w:iCs/>
        </w:rPr>
        <w:t xml:space="preserve">domestic workers in the</w:t>
      </w:r>
      <w:r>
        <w:rPr>
          <w:i/>
          <w:iCs/>
        </w:rPr>
        <w:t xml:space="preserve"> </w:t>
      </w:r>
      <w:r>
        <w:rPr>
          <w:i/>
          <w:iCs/>
        </w:rPr>
        <w:t xml:space="preserve">UK</w:t>
      </w:r>
      <w:r>
        <w:t xml:space="preserve">.</w:t>
      </w:r>
    </w:p>
    <w:bookmarkEnd w:id="106"/>
    <w:bookmarkStart w:id="107" w:name="ref-thompson_new_2020"/>
    <w:p>
      <w:pPr>
        <w:pStyle w:val="Bibliography"/>
      </w:pPr>
      <w:r>
        <w:t xml:space="preserve">Thompson, S. (2020).</w:t>
      </w:r>
      <w:r>
        <w:t xml:space="preserve"> </w:t>
      </w:r>
      <w:r>
        <w:rPr>
          <w:i/>
          <w:iCs/>
        </w:rPr>
        <w:t xml:space="preserve">New estimates for network sampling</w:t>
      </w:r>
      <w:r>
        <w:t xml:space="preserve">.</w:t>
      </w:r>
    </w:p>
    <w:bookmarkEnd w:id="107"/>
    <w:bookmarkStart w:id="109" w:name="ref-vinc17-estimating"/>
    <w:p>
      <w:pPr>
        <w:pStyle w:val="Bibliography"/>
      </w:pPr>
      <w:r>
        <w:t xml:space="preserve">Vincent, K., &amp; Thompson, S. (2017). Estimating population size with link-tracing sampling.</w:t>
      </w:r>
      <w:r>
        <w:t xml:space="preserve"> </w:t>
      </w:r>
      <w:r>
        <w:rPr>
          <w:i/>
          <w:iCs/>
        </w:rPr>
        <w:t xml:space="preserve">Journal of the American Statistical Association</w:t>
      </w:r>
      <w:r>
        <w:t xml:space="preserve">,</w:t>
      </w:r>
      <w:r>
        <w:t xml:space="preserve"> </w:t>
      </w:r>
      <w:r>
        <w:rPr>
          <w:i/>
          <w:iCs/>
        </w:rPr>
        <w:t xml:space="preserve">112</w:t>
      </w:r>
      <w:r>
        <w:t xml:space="preserve">(519), 1286–1295.</w:t>
      </w:r>
      <w:r>
        <w:t xml:space="preserve"> </w:t>
      </w:r>
      <w:hyperlink r:id="rId108">
        <w:r>
          <w:rPr>
            <w:rStyle w:val="Hyperlink"/>
          </w:rPr>
          <w:t xml:space="preserve">https://doi.org/10.1080/01621459.2016.1212712</w:t>
        </w:r>
      </w:hyperlink>
    </w:p>
    <w:bookmarkEnd w:id="109"/>
    <w:bookmarkStart w:id="110" w:name="ref-volz08-probability"/>
    <w:p>
      <w:pPr>
        <w:pStyle w:val="Bibliography"/>
      </w:pPr>
      <w:r>
        <w:t xml:space="preserve">Volz, E., &amp; Heckathorn, D. D. (2008). Probability</w:t>
      </w:r>
      <w:r>
        <w:t xml:space="preserve"> </w:t>
      </w:r>
      <w:r>
        <w:t xml:space="preserve">Based Estimation Theory</w:t>
      </w:r>
      <w:r>
        <w:t xml:space="preserve"> </w:t>
      </w:r>
      <w:r>
        <w:t xml:space="preserve">for</w:t>
      </w:r>
      <w:r>
        <w:t xml:space="preserve"> </w:t>
      </w:r>
      <w:r>
        <w:t xml:space="preserve">Respondent Driven Sampling</w:t>
      </w:r>
      <w:r>
        <w:t xml:space="preserve">.</w:t>
      </w:r>
      <w:r>
        <w:t xml:space="preserve"> </w:t>
      </w:r>
      <w:r>
        <w:rPr>
          <w:i/>
          <w:iCs/>
        </w:rPr>
        <w:t xml:space="preserve">Journal of Official Statistics</w:t>
      </w:r>
      <w:r>
        <w:t xml:space="preserve">,</w:t>
      </w:r>
      <w:r>
        <w:t xml:space="preserve"> </w:t>
      </w:r>
      <w:r>
        <w:rPr>
          <w:i/>
          <w:iCs/>
        </w:rPr>
        <w:t xml:space="preserve">24</w:t>
      </w:r>
      <w:r>
        <w:t xml:space="preserve">(1), 79.</w:t>
      </w:r>
    </w:p>
    <w:bookmarkEnd w:id="110"/>
    <w:bookmarkStart w:id="111" w:name="ref-wejn08-webbased"/>
    <w:p>
      <w:pPr>
        <w:pStyle w:val="Bibliography"/>
      </w:pPr>
      <w:r>
        <w:t xml:space="preserve">Wejnert, C., &amp; Heckathorn, D. D. (2008). Web-based network sampling: Efficiency and efficacy of respondent-driven sampling for online research.</w:t>
      </w:r>
      <w:r>
        <w:t xml:space="preserve"> </w:t>
      </w:r>
      <w:r>
        <w:rPr>
          <w:i/>
          <w:iCs/>
        </w:rPr>
        <w:t xml:space="preserve">Sociological Methods &amp; Research</w:t>
      </w:r>
      <w:r>
        <w:t xml:space="preserve">,</w:t>
      </w:r>
      <w:r>
        <w:t xml:space="preserve"> </w:t>
      </w:r>
      <w:r>
        <w:rPr>
          <w:i/>
          <w:iCs/>
        </w:rPr>
        <w:t xml:space="preserve">37</w:t>
      </w:r>
      <w:r>
        <w:t xml:space="preserve">(1), 105–134.</w:t>
      </w:r>
    </w:p>
    <w:bookmarkEnd w:id="111"/>
    <w:bookmarkStart w:id="113" w:name="ref-yauc22-neighborhood"/>
    <w:p>
      <w:pPr>
        <w:pStyle w:val="Bibliography"/>
      </w:pPr>
      <w:r>
        <w:t xml:space="preserve">Yauck, M., Moodie, E. E. M., Apelian, H., Fourmigue, A., Grace, D., Hart, T. A., Lambert, G., &amp; Cox, J. (2022). Neighborhood</w:t>
      </w:r>
      <w:r>
        <w:t xml:space="preserve"> </w:t>
      </w:r>
      <w:r>
        <w:t xml:space="preserve">Bootstrap</w:t>
      </w:r>
      <w:r>
        <w:t xml:space="preserve"> </w:t>
      </w:r>
      <w:r>
        <w:t xml:space="preserve">for</w:t>
      </w:r>
      <w:r>
        <w:t xml:space="preserve"> </w:t>
      </w:r>
      <w:r>
        <w:t xml:space="preserve">Respondent-Driven Sampling</w:t>
      </w:r>
      <w:r>
        <w:t xml:space="preserve">.</w:t>
      </w:r>
      <w:r>
        <w:t xml:space="preserve"> </w:t>
      </w:r>
      <w:r>
        <w:rPr>
          <w:i/>
          <w:iCs/>
        </w:rPr>
        <w:t xml:space="preserve">Journal of Survey Statistics and Methodology</w:t>
      </w:r>
      <w:r>
        <w:t xml:space="preserve">,</w:t>
      </w:r>
      <w:r>
        <w:t xml:space="preserve"> </w:t>
      </w:r>
      <w:r>
        <w:rPr>
          <w:i/>
          <w:iCs/>
        </w:rPr>
        <w:t xml:space="preserve">10</w:t>
      </w:r>
      <w:r>
        <w:t xml:space="preserve">(2), 419–438.</w:t>
      </w:r>
      <w:r>
        <w:t xml:space="preserve"> </w:t>
      </w:r>
      <w:hyperlink r:id="rId112">
        <w:r>
          <w:rPr>
            <w:rStyle w:val="Hyperlink"/>
          </w:rPr>
          <w:t xml:space="preserve">https://doi.org/10.1093/jssam/smab057</w:t>
        </w:r>
      </w:hyperlink>
    </w:p>
    <w:bookmarkEnd w:id="113"/>
    <w:bookmarkStart w:id="114" w:name="ref-yilm23-exploring"/>
    <w:p>
      <w:pPr>
        <w:pStyle w:val="Bibliography"/>
      </w:pPr>
      <w:r>
        <w:t xml:space="preserve">Yilmaz, S., &amp; Emberson, C. (2023). Exploring the nature of labour exploitation among domestic workers in the</w:t>
      </w:r>
      <w:r>
        <w:t xml:space="preserve"> </w:t>
      </w:r>
      <w:r>
        <w:t xml:space="preserve">UK</w:t>
      </w:r>
      <w:r>
        <w:t xml:space="preserve">.</w:t>
      </w:r>
      <w:r>
        <w:t xml:space="preserve"> </w:t>
      </w:r>
      <w:r>
        <w:rPr>
          <w:i/>
          <w:iCs/>
        </w:rPr>
        <w:t xml:space="preserve">Rights Lab, University of Nottingham</w:t>
      </w:r>
      <w:r>
        <w:t xml:space="preserve">.</w:t>
      </w:r>
    </w:p>
    <w:bookmarkEnd w:id="114"/>
    <w:bookmarkStart w:id="116" w:name="ref-zhang_measuring_2012"/>
    <w:p>
      <w:pPr>
        <w:pStyle w:val="Bibliography"/>
      </w:pPr>
      <w:r>
        <w:t xml:space="preserve">Zhang, S. X. (2012). Measuring labour trafficking: A research note.</w:t>
      </w:r>
      <w:r>
        <w:t xml:space="preserve"> </w:t>
      </w:r>
      <w:r>
        <w:rPr>
          <w:i/>
          <w:iCs/>
        </w:rPr>
        <w:t xml:space="preserve">Crime, Law and Social Change</w:t>
      </w:r>
      <w:r>
        <w:t xml:space="preserve">,</w:t>
      </w:r>
      <w:r>
        <w:t xml:space="preserve"> </w:t>
      </w:r>
      <w:r>
        <w:rPr>
          <w:i/>
          <w:iCs/>
        </w:rPr>
        <w:t xml:space="preserve">58</w:t>
      </w:r>
      <w:r>
        <w:t xml:space="preserve">(4), 469–482.</w:t>
      </w:r>
      <w:r>
        <w:t xml:space="preserve"> </w:t>
      </w:r>
      <w:hyperlink r:id="rId115">
        <w:r>
          <w:rPr>
            <w:rStyle w:val="Hyperlink"/>
          </w:rPr>
          <w:t xml:space="preserve">https://doi.org/10.1007/s10611-012-9363-y</w:t>
        </w:r>
      </w:hyperlink>
    </w:p>
    <w:bookmarkEnd w:id="116"/>
    <w:bookmarkStart w:id="117" w:name="ref-zhan19-victims"/>
    <w:p>
      <w:pPr>
        <w:pStyle w:val="Bibliography"/>
      </w:pPr>
      <w:r>
        <w:t xml:space="preserve">Zhang, S. X., Dank, M., Vincent, K., Narayanan, P., Bharadwaj, S., &amp; Balasubramaniam, S. M. (2019). Victims without a voice:</w:t>
      </w:r>
      <w:r>
        <w:t xml:space="preserve"> </w:t>
      </w:r>
      <w:r>
        <w:t xml:space="preserve">Measuring</w:t>
      </w:r>
      <w:r>
        <w:t xml:space="preserve"> </w:t>
      </w:r>
      <w:r>
        <w:t xml:space="preserve">worst forms of child labor in the</w:t>
      </w:r>
      <w:r>
        <w:t xml:space="preserve"> </w:t>
      </w:r>
      <w:r>
        <w:t xml:space="preserve">Indian State</w:t>
      </w:r>
      <w:r>
        <w:t xml:space="preserve"> </w:t>
      </w:r>
      <w:r>
        <w:t xml:space="preserve">of</w:t>
      </w:r>
      <w:r>
        <w:t xml:space="preserve"> </w:t>
      </w:r>
      <w:r>
        <w:t xml:space="preserve">Bihar</w:t>
      </w:r>
      <w:r>
        <w:t xml:space="preserve">.</w:t>
      </w:r>
      <w:r>
        <w:t xml:space="preserve"> </w:t>
      </w:r>
      <w:r>
        <w:rPr>
          <w:i/>
          <w:iCs/>
        </w:rPr>
        <w:t xml:space="preserve">Victims &amp; Offenders</w:t>
      </w:r>
      <w:r>
        <w:t xml:space="preserve">,</w:t>
      </w:r>
      <w:r>
        <w:t xml:space="preserve"> </w:t>
      </w:r>
      <w:r>
        <w:rPr>
          <w:i/>
          <w:iCs/>
        </w:rPr>
        <w:t xml:space="preserve">14</w:t>
      </w:r>
      <w:r>
        <w:t xml:space="preserve">(7), 832–858.</w:t>
      </w:r>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41" Target="media/rId41.png" /><Relationship Type="http://schemas.openxmlformats.org/officeDocument/2006/relationships/hyperlink" Id="rId115" Target="https://doi.org/10.1007/s10611-012-9363-y" TargetMode="External" /><Relationship Type="http://schemas.openxmlformats.org/officeDocument/2006/relationships/hyperlink" Id="rId95"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8" Target="https://doi.org/10.1080/01621459.2016.1212712" TargetMode="External" /><Relationship Type="http://schemas.openxmlformats.org/officeDocument/2006/relationships/hyperlink" Id="rId112" Target="https://doi.org/10.1093/jssam/smab057" TargetMode="External" /><Relationship Type="http://schemas.openxmlformats.org/officeDocument/2006/relationships/hyperlink" Id="rId100"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7"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2" Target="https://labourexploitation.org/app/uploads/2025/06/Flex-Report-Blueprint-for-safer-and-fairer-migration-for-low-paid-work_final_30_June-.pdf" TargetMode="External" /><Relationship Type="http://schemas.openxmlformats.org/officeDocument/2006/relationships/hyperlink" Id="rId89" Target="https://www.ilo.org/forcedlabour" TargetMode="External" /><Relationship Type="http://schemas.openxmlformats.org/officeDocument/2006/relationships/hyperlink" Id="rId87"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07/s10611-012-9363-y" TargetMode="External" /><Relationship Type="http://schemas.openxmlformats.org/officeDocument/2006/relationships/hyperlink" Id="rId95"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8" Target="https://doi.org/10.1080/01621459.2016.1212712" TargetMode="External" /><Relationship Type="http://schemas.openxmlformats.org/officeDocument/2006/relationships/hyperlink" Id="rId112" Target="https://doi.org/10.1093/jssam/smab057" TargetMode="External" /><Relationship Type="http://schemas.openxmlformats.org/officeDocument/2006/relationships/hyperlink" Id="rId100"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7"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2" Target="https://labourexploitation.org/app/uploads/2025/06/Flex-Report-Blueprint-for-safer-and-fairer-migration-for-low-paid-work_final_30_June-.pdf" TargetMode="External" /><Relationship Type="http://schemas.openxmlformats.org/officeDocument/2006/relationships/hyperlink" Id="rId89" Target="https://www.ilo.org/forcedlabour" TargetMode="External" /><Relationship Type="http://schemas.openxmlformats.org/officeDocument/2006/relationships/hyperlink" Id="rId87"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[Author(s) anonymised for review]</dc:creator>
  <cp:keywords/>
  <dcterms:created xsi:type="dcterms:W3CDTF">2026-07-12T12:23:38Z</dcterms:created>
  <dcterms:modified xsi:type="dcterms:W3CDTF">2026-07-12T12:23:38Z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11 July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