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Override PartName="/word/media/rId4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25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bookmarkStart w:id="20" w:name="introduction"/>
    <w:p>
      <w:pPr>
        <w:pStyle w:val="Heading1"/>
      </w:pPr>
      <w:r>
        <w:t xml:space="preserve">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 (Kalayaan 2008; Latin American Women’s</w:t>
      </w:r>
      <w:r>
        <w:t xml:space="preserve"> </w:t>
      </w:r>
      <w:r>
        <w:t xml:space="preserve">Rights Service 2023) is qualitatively rich but does not yield population-level prevalence estimates suitable for SDG monitoring or comparison across populations. The International Labour</w:t>
      </w:r>
      <w:r>
        <w:t xml:space="preserve"> </w:t>
      </w:r>
      <w:r>
        <w:t xml:space="preserve">Organization’s eleven indicators of forced labour (ILO 2012, 2017) 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(ILO 2012, 2017) 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 Section 2 conceptualises labour exploitation as a graded latent construct measured by five ILO-aligned indicators arranged hierarchically by</w:t>
      </w:r>
      <w:r>
        <w:t xml:space="preserve"> </w:t>
      </w:r>
      <w:r>
        <w:t xml:space="preserve">severity. Section 3 describes the matched-instrument survey design (Section 3.1) and the dual sampling approach combining RDS and NSUM (Section 3.2). Section 4 presents prevalence estimates by</w:t>
      </w:r>
      <w:r>
        <w:t xml:space="preserve"> </w:t>
      </w:r>
      <w:r>
        <w:t xml:space="preserve">indicator and method, including frequentist RDS-I/RDS-II/RDS-SS estimators (Section 4.1), Bayesian Model-Assisted inference (Section 4.2), and NSUM with continuous-</w:t>
      </w:r>
      <m:oMath>
        <m:r>
          <m:t>τ</m:t>
        </m:r>
      </m:oMath>
      <w:r>
        <w:t xml:space="preserve"> </w:t>
      </w:r>
      <w:r>
        <w:t xml:space="preserve">sensitivity analysis (Section</w:t>
      </w:r>
      <w:r>
        <w:t xml:space="preserve"> </w:t>
      </w:r>
      <w:r>
        <w:t xml:space="preserve">4.3). Section 5 reads the RDS-NSUM divergence as diagnostic evidence about visibility within workers’ personal networks and discusses implications for SDG 8.7 monitoring.</w:t>
      </w:r>
    </w:p>
    <w:bookmarkEnd w:id="20"/>
    <w:bookmarkStart w:id="22" w:name="X0cf81fcba2a7ecc0f61d6001af951449520f140"/>
    <w:p>
      <w:pPr>
        <w:pStyle w:val="Heading1"/>
      </w:pPr>
      <w:r>
        <w:t xml:space="preserve">Conceptualising Labour Exploitation and the Degree of Risk</w:t>
      </w:r>
    </w:p>
    <w:p>
      <w:pPr>
        <w:pStyle w:val="FirstParagraph"/>
      </w:pPr>
      <w:r>
        <w:t xml:space="preserve">The International Labour Organization’s eleven indicators of forced labour (ILO 2012, 2017) 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 Yilmaz and Emberson 2023)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(Section 4.2; ESM_1 Table 1, Categories 1 and 2). Where appropriate we note this scope limitation in the discussion of results.</w:t>
      </w:r>
    </w:p>
    <w:p>
      <w:pPr>
        <w:pStyle w:val="BodyText"/>
      </w:pPr>
      <w:r>
        <w:t xml:space="preserve">The composite risk index we construct is a formative additive composite in the sense of Diamantopoulos and Siguaw (2006) and Mazziotta and Pareto (2013, 2016), aggregating all eleven ILO indicators of forced labour into a single continuous quality-of-life-relevant measure (see Section 3.2, Table 1 for the indicator-to-category mapping; ESM_1 Table 1 for per-category weights). The composite is formative rather than reflective: an individual is exploited if they are subject to any of these conditions, and the conditions are constitutive rather than reflective of an underlying latent severity (Diamantopoulos and Siguaw 2006; Diamantopoulos et al. 2008). Polarity is uniform across categories — each indicator has the same direction with respect to the latent construct of exploitation severity. The choice of aggregation follows the guidance of Maggino (2017) and the SIR editorial team (Bartram et al. 2024): we use a weighted additive index in which weights are anchored on the ILO medium/strong severity gradation (strong-indicator categories receive larger sub-weights than medium-indicator categories), and we conduct robustness assessment by perturbing the weights (Section 5.5). Two further evidentiary markers — NRM-referral history and payment below the national living wage — are reported as separate binary flags and are not part of the composite, as their direct evidentiary status under UK policy makes them more useful read independently of the composite construction.</w:t>
      </w:r>
    </w:p>
    <w:bookmarkStart w:id="21" w:name="evaluating-the-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 Section 4.3) and a continuous formative additive composite risk index capturing gradations of vulnerability across all eleven ILO indicators (Section 4.2; ESM_1 for full construction).</w:t>
      </w:r>
    </w:p>
    <w:bookmarkEnd w:id="21"/>
    <w:bookmarkEnd w:id="22"/>
    <w:bookmarkStart w:id="33" w:name="X70f46fecfc014c6c84d7a2475f9da7a9828c860"/>
    <w:p>
      <w:pPr>
        <w:pStyle w:val="Heading1"/>
      </w:pPr>
      <w:r>
        <w:t xml:space="preserve">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 (Mantouvalou 2016; Kalayaan 2008; Latin American Women’s Rights Service 2023).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 (Romero and Fisher 2025). Civil-society organisations representing migrant domestic workers have documented patterns of wage withholding, document confiscation, restricted movement, excessive working hours, and threats and abuse over more than two decades (Kalayaan 2008; Mantouvalou 2016; Latin American Women’s Rights Service 2023; Yilmaz and Emberson 2023),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tudy-design-and-sampling"/>
    <w:p>
      <w:pPr>
        <w:pStyle w:val="Heading2"/>
      </w:pPr>
      <w:r>
        <w:t xml:space="preserve">3.1 Study Design and Sampling</w:t>
      </w:r>
    </w:p>
    <w:p>
      <w:pPr>
        <w:pStyle w:val="FirstParagraph"/>
      </w:pPr>
      <w:r>
        <w:t xml:space="preserve">Respondent-Driven Sampling (RDS) is a network-based sampling method designed to study hidden or hard-to-reach populations (Heckathorn, 1997, 2011; Gile</w:t>
      </w:r>
      <w:r>
        <w:t xml:space="preserve"> </w:t>
      </w:r>
      <w:r>
        <w:rPr>
          <w:i/>
          <w:iCs/>
        </w:rPr>
        <w:t xml:space="preserve">et al.</w:t>
      </w:r>
      <w:r>
        <w:t xml:space="preserve">, 2018).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 (McCreesh</w:t>
      </w:r>
      <w:r>
        <w:t xml:space="preserve"> </w:t>
      </w:r>
      <w:r>
        <w:rPr>
          <w:i/>
          <w:iCs/>
        </w:rPr>
        <w:t xml:space="preserve">et al.</w:t>
      </w:r>
      <w:r>
        <w:t xml:space="preserve">, 2012; Schwitters, Swaminathan and Serwadda, 2012), and network-based referrals</w:t>
      </w:r>
      <w:r>
        <w:t xml:space="preserve"> </w:t>
      </w:r>
      <w:r>
        <w:t xml:space="preserve">have been described as the only viable method to reach many types of labour trafficking victims (Zhang, 2012). Recent applications include studies of exploitation among low-wage workers in American</w:t>
      </w:r>
      <w:r>
        <w:t xml:space="preserve"> </w:t>
      </w:r>
      <w:r>
        <w:t xml:space="preserve">cities (Bernhardt, Milkman, and N., 2009), labour trafficking in migrant communities (Vincent and Thompson, 2017), child labour in India (Zhang</w:t>
      </w:r>
      <w:r>
        <w:t xml:space="preserve"> </w:t>
      </w:r>
      <w:r>
        <w:rPr>
          <w:i/>
          <w:iCs/>
        </w:rPr>
        <w:t xml:space="preserve">et al.</w:t>
      </w:r>
      <w:r>
        <w:t xml:space="preserve">, 2019), and commercial sexual exploitation in</w:t>
      </w:r>
      <w:r>
        <w:t xml:space="preserve"> </w:t>
      </w:r>
      <w:r>
        <w:t xml:space="preserve">Nepal (Jordan</w:t>
      </w:r>
      <w:r>
        <w:t xml:space="preserve"> </w:t>
      </w:r>
      <w:r>
        <w:rPr>
          <w:i/>
          <w:iCs/>
        </w:rPr>
        <w:t xml:space="preserve">et al.</w:t>
      </w:r>
      <w:r>
        <w:t xml:space="preserve">, 2020).</w:t>
      </w:r>
    </w:p>
    <w:p>
      <w:pPr>
        <w:pStyle w:val="BodyText"/>
      </w:pPr>
      <w:r>
        <w:t xml:space="preserve">Our approach can best be described as Web-based RDS (Wejnert and Heckathorn, 2008).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 (Jordan</w:t>
      </w:r>
      <w:r>
        <w:t xml:space="preserve"> </w:t>
      </w:r>
      <w:r>
        <w:rPr>
          <w:i/>
          <w:iCs/>
        </w:rPr>
        <w:t xml:space="preserve">et al.</w:t>
      </w:r>
      <w:r>
        <w:t xml:space="preserve">, 2020).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 Thompson (2020).</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4" w:name="survey-instrument-and-indicators"/>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 (I.L.O., 2012).</w:t>
      </w:r>
      <w:r>
        <w:t xml:space="preserve"> </w:t>
      </w:r>
      <w:r>
        <w:t xml:space="preserve">The eleven ILO indicators of forced labour (ILO 2012, 2017) provide the operational framework for our measurement strategy. Table 1 (below) maps each ILO indicator to its measurement status in this paper: whether it is measured directly as a binary prevalence indicator (reported in Section 4.3), whether it is included in the formative additive composite risk index (reported in Section 4.2), and which survey questions elicit the ego- and alter-based reports.</w:t>
      </w:r>
    </w:p>
    <w:p>
      <w:pPr>
        <w:pStyle w:val="Tabl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 Table 1. Source: Authors’ construction following ILO (2012, 2017).</w:t>
      </w:r>
    </w:p>
    <w:tbl>
      <w:tblPr>
        <w:tblStyle w:val="Table"/>
        <w:tblW w:type="pct" w:w="5000"/>
        <w:tblLayout w:type="fixed"/>
        <w:tblLook w:firstRow="1" w:lastRow="0" w:firstColumn="0" w:lastColumn="0" w:noHBand="0" w:noVBand="0" w:val="0020"/>
        <w:tblCaption w:val="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 Table 1. Source: Authors’ construction following ILO (2012, 2017)."/>
      </w:tblPr>
      <w:tblGrid>
        <w:gridCol w:w="288"/>
        <w:gridCol w:w="2808"/>
        <w:gridCol w:w="720"/>
        <w:gridCol w:w="1872"/>
        <w:gridCol w:w="792"/>
        <w:gridCol w:w="1440"/>
      </w:tblGrid>
      <w:tr>
        <w:trPr>
          <w:tblHeader w:val="on"/>
        </w:trPr>
        <w:tc>
          <w:tcPr/>
          <w:p>
            <w:pPr>
              <w:pStyle w:val="Compact"/>
              <w:jc w:val="right"/>
            </w:pPr>
            <w:r>
              <w:t xml:space="preserve">#</w:t>
            </w:r>
          </w:p>
        </w:tc>
        <w:tc>
          <w:tcPr/>
          <w:p>
            <w:pPr>
              <w:pStyle w:val="Compact"/>
              <w:jc w:val="left"/>
            </w:pPr>
            <w:r>
              <w:t xml:space="preserve">ILO indicator (2012, 2017)</w:t>
            </w:r>
          </w:p>
        </w:tc>
        <w:tc>
          <w:tcPr/>
          <w:p>
            <w:pPr>
              <w:pStyle w:val="Compact"/>
              <w:jc w:val="center"/>
            </w:pPr>
            <w:r>
              <w:t xml:space="preserve">Severity</w:t>
            </w:r>
          </w:p>
        </w:tc>
        <w:tc>
          <w:tcPr/>
          <w:p>
            <w:pPr>
              <w:pStyle w:val="Compact"/>
              <w:jc w:val="left"/>
            </w:pPr>
            <w:r>
              <w:t xml:space="preserve">Binary indicator</w:t>
            </w:r>
          </w:p>
        </w:tc>
        <w:tc>
          <w:tcPr/>
          <w:p>
            <w:pPr>
              <w:pStyle w:val="Compact"/>
              <w:jc w:val="center"/>
            </w:pPr>
            <w:r>
              <w:t xml:space="preserve">Composite</w:t>
            </w:r>
          </w:p>
        </w:tc>
        <w:tc>
          <w:tcPr/>
          <w:p>
            <w:pPr>
              <w:pStyle w:val="Compact"/>
              <w:jc w:val="left"/>
            </w:pPr>
            <w:r>
              <w:t xml:space="preserve">Survey item(s)</w:t>
            </w:r>
          </w:p>
        </w:tc>
      </w:tr>
      <w:tr>
        <w:tc>
          <w:tcPr/>
          <w:p>
            <w:pPr>
              <w:pStyle w:val="Compact"/>
              <w:jc w:val="right"/>
            </w:pPr>
            <w:r>
              <w:t xml:space="preserve">1</w:t>
            </w:r>
          </w:p>
        </w:tc>
        <w:tc>
          <w:tcPr/>
          <w:p>
            <w:pPr>
              <w:pStyle w:val="Compact"/>
              <w:jc w:val="left"/>
            </w:pPr>
            <w:r>
              <w:t xml:space="preserve">Abuse of vulnerability</w:t>
            </w:r>
          </w:p>
        </w:tc>
        <w:tc>
          <w:tcPr/>
          <w:p>
            <w:pPr>
              <w:pStyle w:val="Compact"/>
              <w:jc w:val="center"/>
            </w:pPr>
            <w:r>
              <w:t xml:space="preserve">Medium</w:t>
            </w:r>
          </w:p>
        </w:tc>
        <w:tc>
          <w:tcPr/>
          <w:p>
            <w:pPr>
              <w:pStyle w:val="Compact"/>
              <w:jc w:val="left"/>
            </w:pPr>
            <w:r>
              <w:t xml:space="preserve">— (composite only)</w:t>
            </w:r>
          </w:p>
        </w:tc>
        <w:tc>
          <w:tcPr/>
          <w:p>
            <w:pPr>
              <w:pStyle w:val="Compact"/>
              <w:jc w:val="center"/>
            </w:pPr>
            <w:r>
              <w:t xml:space="preserve">Cat 1</w:t>
            </w:r>
          </w:p>
        </w:tc>
        <w:tc>
          <w:tcPr/>
          <w:p>
            <w:pPr>
              <w:pStyle w:val="Compact"/>
              <w:jc w:val="left"/>
            </w:pPr>
            <w:r>
              <w:t xml:space="preserve">Q29, Q51</w:t>
            </w:r>
          </w:p>
        </w:tc>
      </w:tr>
      <w:tr>
        <w:tc>
          <w:tcPr/>
          <w:p>
            <w:pPr>
              <w:pStyle w:val="Compact"/>
              <w:jc w:val="right"/>
            </w:pPr>
            <w:r>
              <w:t xml:space="preserve">2</w:t>
            </w:r>
          </w:p>
        </w:tc>
        <w:tc>
          <w:tcPr/>
          <w:p>
            <w:pPr>
              <w:pStyle w:val="Compact"/>
              <w:jc w:val="left"/>
            </w:pPr>
            <w:r>
              <w:t xml:space="preserve">Deception</w:t>
            </w:r>
          </w:p>
        </w:tc>
        <w:tc>
          <w:tcPr/>
          <w:p>
            <w:pPr>
              <w:pStyle w:val="Compact"/>
              <w:jc w:val="center"/>
            </w:pPr>
            <w:r>
              <w:t xml:space="preserve">Medium</w:t>
            </w:r>
          </w:p>
        </w:tc>
        <w:tc>
          <w:tcPr/>
          <w:p>
            <w:pPr>
              <w:pStyle w:val="Compact"/>
              <w:jc w:val="left"/>
            </w:pPr>
            <w:r>
              <w:t xml:space="preserve">— (composite only)</w:t>
            </w:r>
          </w:p>
        </w:tc>
        <w:tc>
          <w:tcPr/>
          <w:p>
            <w:pPr>
              <w:pStyle w:val="Compact"/>
              <w:jc w:val="center"/>
            </w:pPr>
            <w:r>
              <w:t xml:space="preserve">Cat 2</w:t>
            </w:r>
          </w:p>
        </w:tc>
        <w:tc>
          <w:tcPr/>
          <w:p>
            <w:pPr>
              <w:pStyle w:val="Compact"/>
              <w:jc w:val="left"/>
            </w:pPr>
            <w:r>
              <w:t xml:space="preserve">Q45</w:t>
            </w:r>
          </w:p>
        </w:tc>
      </w:tr>
      <w:tr>
        <w:tc>
          <w:tcPr/>
          <w:p>
            <w:pPr>
              <w:pStyle w:val="Compact"/>
              <w:jc w:val="right"/>
            </w:pPr>
            <w:r>
              <w:t xml:space="preserve">3</w:t>
            </w:r>
          </w:p>
        </w:tc>
        <w:tc>
          <w:tcPr/>
          <w:p>
            <w:pPr>
              <w:pStyle w:val="Compact"/>
              <w:jc w:val="left"/>
            </w:pPr>
            <w:r>
              <w:t xml:space="preserve">Restriction of movement</w:t>
            </w:r>
          </w:p>
        </w:tc>
        <w:tc>
          <w:tcPr/>
          <w:p>
            <w:pPr>
              <w:pStyle w:val="Compact"/>
              <w:jc w:val="center"/>
            </w:pPr>
            <w:r>
              <w:t xml:space="preserve">Medium</w:t>
            </w:r>
          </w:p>
        </w:tc>
        <w:tc>
          <w:tcPr/>
          <w:p>
            <w:pPr>
              <w:pStyle w:val="Compact"/>
              <w:jc w:val="left"/>
            </w:pPr>
            <w:r>
              <w:t xml:space="preserve">Limited access to help</w:t>
            </w:r>
          </w:p>
        </w:tc>
        <w:tc>
          <w:tcPr/>
          <w:p>
            <w:pPr>
              <w:pStyle w:val="Compact"/>
              <w:jc w:val="center"/>
            </w:pPr>
            <w:r>
              <w:t xml:space="preserve">Cat 3</w:t>
            </w:r>
          </w:p>
        </w:tc>
        <w:tc>
          <w:tcPr/>
          <w:p>
            <w:pPr>
              <w:pStyle w:val="Compact"/>
              <w:jc w:val="left"/>
            </w:pPr>
            <w:r>
              <w:t xml:space="preserve">Q32, Q46</w:t>
            </w:r>
          </w:p>
        </w:tc>
      </w:tr>
      <w:tr>
        <w:tc>
          <w:tcPr/>
          <w:p>
            <w:pPr>
              <w:pStyle w:val="Compact"/>
              <w:jc w:val="right"/>
            </w:pPr>
            <w:r>
              <w:t xml:space="preserve">4</w:t>
            </w:r>
          </w:p>
        </w:tc>
        <w:tc>
          <w:tcPr/>
          <w:p>
            <w:pPr>
              <w:pStyle w:val="Compact"/>
              <w:jc w:val="left"/>
            </w:pPr>
            <w:r>
              <w:t xml:space="preserve">Isolation</w:t>
            </w:r>
          </w:p>
        </w:tc>
        <w:tc>
          <w:tcPr/>
          <w:p>
            <w:pPr>
              <w:pStyle w:val="Compact"/>
              <w:jc w:val="center"/>
            </w:pPr>
            <w:r>
              <w:t xml:space="preserve">Medium</w:t>
            </w:r>
          </w:p>
        </w:tc>
        <w:tc>
          <w:tcPr/>
          <w:p>
            <w:pPr>
              <w:pStyle w:val="Compact"/>
              <w:jc w:val="left"/>
            </w:pPr>
            <w:r>
              <w:t xml:space="preserve">Limited access to help</w:t>
            </w:r>
          </w:p>
        </w:tc>
        <w:tc>
          <w:tcPr/>
          <w:p>
            <w:pPr>
              <w:pStyle w:val="Compact"/>
              <w:jc w:val="center"/>
            </w:pPr>
            <w:r>
              <w:t xml:space="preserve">Cat 4</w:t>
            </w:r>
          </w:p>
        </w:tc>
        <w:tc>
          <w:tcPr/>
          <w:p>
            <w:pPr>
              <w:pStyle w:val="Compact"/>
              <w:jc w:val="left"/>
            </w:pPr>
            <w:r>
              <w:t xml:space="preserve">Q65</w:t>
            </w:r>
          </w:p>
        </w:tc>
      </w:tr>
      <w:tr>
        <w:tc>
          <w:tcPr/>
          <w:p>
            <w:pPr>
              <w:pStyle w:val="Compact"/>
              <w:jc w:val="right"/>
            </w:pPr>
            <w:r>
              <w:t xml:space="preserve">5</w:t>
            </w:r>
          </w:p>
        </w:tc>
        <w:tc>
          <w:tcPr/>
          <w:p>
            <w:pPr>
              <w:pStyle w:val="Compact"/>
              <w:jc w:val="left"/>
            </w:pPr>
            <w:r>
              <w:t xml:space="preserve">Physical and sexual violence</w:t>
            </w:r>
          </w:p>
        </w:tc>
        <w:tc>
          <w:tcPr/>
          <w:p>
            <w:pPr>
              <w:pStyle w:val="Compact"/>
              <w:jc w:val="center"/>
            </w:pPr>
            <w:r>
              <w:t xml:space="preserve">Strong</w:t>
            </w:r>
          </w:p>
        </w:tc>
        <w:tc>
          <w:tcPr/>
          <w:p>
            <w:pPr>
              <w:pStyle w:val="Compact"/>
              <w:jc w:val="left"/>
            </w:pPr>
            <w:r>
              <w:t xml:space="preserve">Threats and abuse</w:t>
            </w:r>
          </w:p>
        </w:tc>
        <w:tc>
          <w:tcPr/>
          <w:p>
            <w:pPr>
              <w:pStyle w:val="Compact"/>
              <w:jc w:val="center"/>
            </w:pPr>
            <w:r>
              <w:t xml:space="preserve">Cat 5</w:t>
            </w:r>
          </w:p>
        </w:tc>
        <w:tc>
          <w:tcPr/>
          <w:p>
            <w:pPr>
              <w:pStyle w:val="Compact"/>
              <w:jc w:val="left"/>
            </w:pPr>
            <w:r>
              <w:t xml:space="preserve">Q44 (5c1, 5c1-b)</w:t>
            </w:r>
          </w:p>
        </w:tc>
      </w:tr>
      <w:tr>
        <w:tc>
          <w:tcPr/>
          <w:p>
            <w:pPr>
              <w:pStyle w:val="Compact"/>
              <w:jc w:val="right"/>
            </w:pPr>
            <w:r>
              <w:t xml:space="preserve">6</w:t>
            </w:r>
          </w:p>
        </w:tc>
        <w:tc>
          <w:tcPr/>
          <w:p>
            <w:pPr>
              <w:pStyle w:val="Compact"/>
              <w:jc w:val="left"/>
            </w:pPr>
            <w:r>
              <w:t xml:space="preserve">Intimidation and threats</w:t>
            </w:r>
          </w:p>
        </w:tc>
        <w:tc>
          <w:tcPr/>
          <w:p>
            <w:pPr>
              <w:pStyle w:val="Compact"/>
              <w:jc w:val="center"/>
            </w:pPr>
            <w:r>
              <w:t xml:space="preserve">Strong</w:t>
            </w:r>
          </w:p>
        </w:tc>
        <w:tc>
          <w:tcPr/>
          <w:p>
            <w:pPr>
              <w:pStyle w:val="Compact"/>
              <w:jc w:val="left"/>
            </w:pPr>
            <w:r>
              <w:t xml:space="preserve">Threats and abuse</w:t>
            </w:r>
          </w:p>
        </w:tc>
        <w:tc>
          <w:tcPr/>
          <w:p>
            <w:pPr>
              <w:pStyle w:val="Compact"/>
              <w:jc w:val="center"/>
            </w:pPr>
            <w:r>
              <w:t xml:space="preserve">Cat 6</w:t>
            </w:r>
          </w:p>
        </w:tc>
        <w:tc>
          <w:tcPr/>
          <w:p>
            <w:pPr>
              <w:pStyle w:val="Compact"/>
              <w:jc w:val="left"/>
            </w:pPr>
            <w:r>
              <w:t xml:space="preserve">Q47</w:t>
            </w:r>
          </w:p>
        </w:tc>
      </w:tr>
      <w:tr>
        <w:tc>
          <w:tcPr/>
          <w:p>
            <w:pPr>
              <w:pStyle w:val="Compact"/>
              <w:jc w:val="right"/>
            </w:pPr>
            <w:r>
              <w:t xml:space="preserve">7</w:t>
            </w:r>
          </w:p>
        </w:tc>
        <w:tc>
          <w:tcPr/>
          <w:p>
            <w:pPr>
              <w:pStyle w:val="Compact"/>
              <w:jc w:val="left"/>
            </w:pPr>
            <w:r>
              <w:t xml:space="preserve">Retention of identity documents</w:t>
            </w:r>
          </w:p>
        </w:tc>
        <w:tc>
          <w:tcPr/>
          <w:p>
            <w:pPr>
              <w:pStyle w:val="Compact"/>
              <w:jc w:val="center"/>
            </w:pPr>
            <w:r>
              <w:t xml:space="preserve">Strong</w:t>
            </w:r>
          </w:p>
        </w:tc>
        <w:tc>
          <w:tcPr/>
          <w:p>
            <w:pPr>
              <w:pStyle w:val="Compact"/>
              <w:jc w:val="left"/>
            </w:pPr>
            <w:r>
              <w:t xml:space="preserve">Document withholding</w:t>
            </w:r>
          </w:p>
        </w:tc>
        <w:tc>
          <w:tcPr/>
          <w:p>
            <w:pPr>
              <w:pStyle w:val="Compact"/>
              <w:jc w:val="center"/>
            </w:pPr>
            <w:r>
              <w:t xml:space="preserve">Cat 7</w:t>
            </w:r>
          </w:p>
        </w:tc>
        <w:tc>
          <w:tcPr/>
          <w:p>
            <w:pPr>
              <w:pStyle w:val="Compact"/>
              <w:jc w:val="left"/>
            </w:pPr>
            <w:r>
              <w:t xml:space="preserve">Q70</w:t>
            </w:r>
          </w:p>
        </w:tc>
      </w:tr>
      <w:tr>
        <w:tc>
          <w:tcPr/>
          <w:p>
            <w:pPr>
              <w:pStyle w:val="Compact"/>
              <w:jc w:val="right"/>
            </w:pPr>
            <w:r>
              <w:t xml:space="preserve">8</w:t>
            </w:r>
          </w:p>
        </w:tc>
        <w:tc>
          <w:tcPr/>
          <w:p>
            <w:pPr>
              <w:pStyle w:val="Compact"/>
              <w:jc w:val="left"/>
            </w:pPr>
            <w:r>
              <w:t xml:space="preserve">Withholding of wages</w:t>
            </w:r>
          </w:p>
        </w:tc>
        <w:tc>
          <w:tcPr/>
          <w:p>
            <w:pPr>
              <w:pStyle w:val="Compact"/>
              <w:jc w:val="center"/>
            </w:pPr>
            <w:r>
              <w:t xml:space="preserve">Medium</w:t>
            </w:r>
          </w:p>
        </w:tc>
        <w:tc>
          <w:tcPr/>
          <w:p>
            <w:pPr>
              <w:pStyle w:val="Compact"/>
              <w:jc w:val="left"/>
            </w:pPr>
            <w:r>
              <w:t xml:space="preserve">Pay-related issues</w:t>
            </w:r>
          </w:p>
        </w:tc>
        <w:tc>
          <w:tcPr/>
          <w:p>
            <w:pPr>
              <w:pStyle w:val="Compact"/>
              <w:jc w:val="center"/>
            </w:pPr>
            <w:r>
              <w:t xml:space="preserve">Cat 8</w:t>
            </w:r>
          </w:p>
        </w:tc>
        <w:tc>
          <w:tcPr/>
          <w:p>
            <w:pPr>
              <w:pStyle w:val="Compact"/>
              <w:jc w:val="left"/>
            </w:pPr>
            <w:r>
              <w:t xml:space="preserve">Q42</w:t>
            </w:r>
          </w:p>
        </w:tc>
      </w:tr>
      <w:tr>
        <w:tc>
          <w:tcPr/>
          <w:p>
            <w:pPr>
              <w:pStyle w:val="Compact"/>
              <w:jc w:val="right"/>
            </w:pPr>
            <w:r>
              <w:t xml:space="preserve">9</w:t>
            </w:r>
          </w:p>
        </w:tc>
        <w:tc>
          <w:tcPr/>
          <w:p>
            <w:pPr>
              <w:pStyle w:val="Compact"/>
              <w:jc w:val="left"/>
            </w:pPr>
            <w:r>
              <w:t xml:space="preserve">Debt bondage</w:t>
            </w:r>
          </w:p>
        </w:tc>
        <w:tc>
          <w:tcPr/>
          <w:p>
            <w:pPr>
              <w:pStyle w:val="Compact"/>
              <w:jc w:val="center"/>
            </w:pPr>
            <w:r>
              <w:t xml:space="preserve">Medium</w:t>
            </w:r>
          </w:p>
        </w:tc>
        <w:tc>
          <w:tcPr/>
          <w:p>
            <w:pPr>
              <w:pStyle w:val="Compact"/>
              <w:jc w:val="left"/>
            </w:pPr>
            <w:r>
              <w:t xml:space="preserve">Pay-related issues</w:t>
            </w:r>
          </w:p>
        </w:tc>
        <w:tc>
          <w:tcPr/>
          <w:p>
            <w:pPr>
              <w:pStyle w:val="Compact"/>
              <w:jc w:val="center"/>
            </w:pPr>
            <w:r>
              <w:t xml:space="preserve">Cat 9</w:t>
            </w:r>
          </w:p>
        </w:tc>
        <w:tc>
          <w:tcPr/>
          <w:p>
            <w:pPr>
              <w:pStyle w:val="Compact"/>
              <w:jc w:val="left"/>
            </w:pPr>
            <w:r>
              <w:t xml:space="preserve">Q39</w:t>
            </w:r>
          </w:p>
        </w:tc>
      </w:tr>
      <w:tr>
        <w:tc>
          <w:tcPr/>
          <w:p>
            <w:pPr>
              <w:pStyle w:val="Compact"/>
              <w:jc w:val="right"/>
            </w:pPr>
            <w:r>
              <w:t xml:space="preserve">10</w:t>
            </w:r>
          </w:p>
        </w:tc>
        <w:tc>
          <w:tcPr/>
          <w:p>
            <w:pPr>
              <w:pStyle w:val="Compact"/>
              <w:jc w:val="left"/>
            </w:pPr>
            <w:r>
              <w:t xml:space="preserve">Abusive working and living conditions</w:t>
            </w:r>
          </w:p>
        </w:tc>
        <w:tc>
          <w:tcPr/>
          <w:p>
            <w:pPr>
              <w:pStyle w:val="Compact"/>
              <w:jc w:val="center"/>
            </w:pPr>
            <w:r>
              <w:t xml:space="preserve">Medium</w:t>
            </w:r>
          </w:p>
        </w:tc>
        <w:tc>
          <w:tcPr/>
          <w:p>
            <w:pPr>
              <w:pStyle w:val="Compact"/>
              <w:jc w:val="left"/>
            </w:pPr>
            <w:r>
              <w:t xml:space="preserve">Partial (Q48)</w:t>
            </w:r>
          </w:p>
        </w:tc>
        <w:tc>
          <w:tcPr/>
          <w:p>
            <w:pPr>
              <w:pStyle w:val="Compact"/>
              <w:jc w:val="center"/>
            </w:pPr>
            <w:r>
              <w:t xml:space="preserve">Cat 10</w:t>
            </w:r>
          </w:p>
        </w:tc>
        <w:tc>
          <w:tcPr/>
          <w:p>
            <w:pPr>
              <w:pStyle w:val="Compact"/>
              <w:jc w:val="left"/>
            </w:pPr>
            <w:r>
              <w:t xml:space="preserve">Q48, Q63, Q72, Q76</w:t>
            </w:r>
          </w:p>
        </w:tc>
      </w:tr>
      <w:tr>
        <w:tc>
          <w:tcPr/>
          <w:p>
            <w:pPr>
              <w:pStyle w:val="Compact"/>
              <w:jc w:val="right"/>
            </w:pPr>
            <w:r>
              <w:t xml:space="preserve">11</w:t>
            </w:r>
          </w:p>
        </w:tc>
        <w:tc>
          <w:tcPr/>
          <w:p>
            <w:pPr>
              <w:pStyle w:val="Compact"/>
              <w:jc w:val="left"/>
            </w:pPr>
            <w:r>
              <w:t xml:space="preserve">Excessive overtime</w:t>
            </w:r>
          </w:p>
        </w:tc>
        <w:tc>
          <w:tcPr/>
          <w:p>
            <w:pPr>
              <w:pStyle w:val="Compact"/>
              <w:jc w:val="center"/>
            </w:pPr>
            <w:r>
              <w:t xml:space="preserve">Medium</w:t>
            </w:r>
          </w:p>
        </w:tc>
        <w:tc>
          <w:tcPr/>
          <w:p>
            <w:pPr>
              <w:pStyle w:val="Compact"/>
              <w:jc w:val="left"/>
            </w:pPr>
            <w:r>
              <w:t xml:space="preserve">Excessive working hours</w:t>
            </w:r>
          </w:p>
        </w:tc>
        <w:tc>
          <w:tcPr/>
          <w:p>
            <w:pPr>
              <w:pStyle w:val="Compact"/>
              <w:jc w:val="center"/>
            </w:pPr>
            <w:r>
              <w:t xml:space="preserve">Cat 11</w:t>
            </w:r>
          </w:p>
        </w:tc>
        <w:tc>
          <w:tcPr/>
          <w:p>
            <w:pPr>
              <w:pStyle w:val="Compact"/>
              <w:jc w:val="left"/>
            </w:pPr>
            <w:r>
              <w:t xml:space="preserve">Q16, Q61, Q62</w:t>
            </w:r>
          </w:p>
        </w:tc>
      </w:tr>
    </w:tbl>
    <w:p>
      <w:pPr>
        <w:pStyle w:val="BodyText"/>
      </w:pPr>
      <w:r>
        <w:t xml:space="preserve">Based on this mapping, we operationalise exploitation in two ways: (1) five binary prevalence indicators classifying respondents as exploited or not exploited on each dimension based on threshold criteria (Section 4.3), and (2) one continuous formative additive composite risk index designed to capture gradations of vulnerability across the full sample (Section 4.2).</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4"/>
    <w:bookmarkStart w:id="28" w:name="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 (Gile and Handcock, 2010; Goel</w:t>
      </w:r>
      <w:r>
        <w:t xml:space="preserve"> </w:t>
      </w:r>
      <w:r>
        <w:t xml:space="preserve">and Salganik, 2010; Gile, 2011). Statistical inference in these designs depends not on the absolute sample size but on the structure of the recruitment network, degree distribution, and convergence to</w:t>
      </w:r>
      <w:r>
        <w:t xml:space="preserve"> </w:t>
      </w:r>
      <w:r>
        <w:t xml:space="preserve">equilibrium (Salganik and Heckathorn, 2004). Furthermore, model-assisted and Bayesian RDS estimators (Gile, 2011; Gile</w:t>
      </w:r>
      <w:r>
        <w:t xml:space="preserve"> </w:t>
      </w:r>
      <w:r>
        <w:rPr>
          <w:i/>
          <w:iCs/>
        </w:rPr>
        <w:t xml:space="preserve">et al.</w:t>
      </w:r>
      <w:r>
        <w:t xml:space="preserve">, 2018) 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 (Handcock, Gile and Mar, 2014).</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 Table 1).</w:t>
      </w:r>
    </w:p>
    <w:p>
      <w:pPr>
        <w:pStyle w:val="CaptionedFigure"/>
      </w:pPr>
      <w:r>
        <w:drawing>
          <wp:inline>
            <wp:extent cx="5334000" cy="3810000"/>
            <wp:effectExtent b="0" l="0" r="0" t="0"/>
            <wp:docPr descr="Figure 1. RDS Recruitment Network Structure. Recruitment chains showing seed nodes (triangles) and recruit nodes (circles). Node colours represent nationality clusters; node size is proportional to network degree. Lines show recruiter-recruit relationships. Source: Authors’ own work." title="" id="26" name="Picture"/>
            <a:graphic>
              <a:graphicData uri="http://schemas.openxmlformats.org/drawingml/2006/picture">
                <pic:pic>
                  <pic:nvPicPr>
                    <pic:cNvPr descr="figures/image1.png" id="27"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pPr>
        <w:pStyle w:val="Tabl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Caption w:val="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
      </w:tblPr>
      <w:tblGrid>
        <w:gridCol w:w="2457"/>
        <w:gridCol w:w="1001"/>
        <w:gridCol w:w="1001"/>
        <w:gridCol w:w="1001"/>
        <w:gridCol w:w="1001"/>
        <w:gridCol w:w="1092"/>
      </w:tblGrid>
      <w:tr>
        <w:trPr>
          <w:tblHeader w:val="on"/>
        </w:trPr>
        <w:tc>
          <w:tcPr/>
          <w:p>
            <w:pPr>
              <w:pStyle w:val="Compact"/>
              <w:jc w:val="left"/>
            </w:pPr>
            <w:r>
              <w:t xml:space="preserve">Nationality cluster</w:t>
            </w:r>
          </w:p>
        </w:tc>
        <w:tc>
          <w:tcPr/>
          <w:p>
            <w:pPr>
              <w:pStyle w:val="Compact"/>
              <w:jc w:val="center"/>
            </w:pPr>
            <w:r>
              <w:t xml:space="preserve">Wave 0</w:t>
            </w:r>
            <w:r>
              <w:t xml:space="preserve"> </w:t>
            </w:r>
            <w:r>
              <w:t xml:space="preserve">(seeds)</w:t>
            </w:r>
          </w:p>
        </w:tc>
        <w:tc>
          <w:tcPr/>
          <w:p>
            <w:pPr>
              <w:pStyle w:val="Compact"/>
              <w:jc w:val="center"/>
            </w:pPr>
            <w:r>
              <w:t xml:space="preserve">Wave 1</w:t>
            </w:r>
          </w:p>
        </w:tc>
        <w:tc>
          <w:tcPr/>
          <w:p>
            <w:pPr>
              <w:pStyle w:val="Compact"/>
              <w:jc w:val="center"/>
            </w:pPr>
            <w:r>
              <w:t xml:space="preserve">Wave 2</w:t>
            </w:r>
          </w:p>
        </w:tc>
        <w:tc>
          <w:tcPr/>
          <w:p>
            <w:pPr>
              <w:pStyle w:val="Compact"/>
              <w:jc w:val="center"/>
            </w:pPr>
            <w:r>
              <w:t xml:space="preserve">Wave 3+</w:t>
            </w:r>
          </w:p>
        </w:tc>
        <w:tc>
          <w:tcPr/>
          <w:p>
            <w:pPr>
              <w:pStyle w:val="Compact"/>
              <w:jc w:val="center"/>
            </w:pPr>
            <w:r>
              <w:t xml:space="preserve">Total (n)</w:t>
            </w:r>
          </w:p>
        </w:tc>
      </w:tr>
      <w:tr>
        <w:tc>
          <w:tcPr/>
          <w:p>
            <w:pPr>
              <w:pStyle w:val="Compact"/>
              <w:jc w:val="left"/>
            </w:pPr>
            <w:r>
              <w:t xml:space="preserve">Filipino</w:t>
            </w:r>
          </w:p>
        </w:tc>
        <w:tc>
          <w:tcPr/>
          <w:p>
            <w:pPr>
              <w:pStyle w:val="Compact"/>
              <w:jc w:val="center"/>
            </w:pPr>
            <w:r>
              <w:t xml:space="preserve">35</w:t>
            </w:r>
          </w:p>
        </w:tc>
        <w:tc>
          <w:tcPr/>
          <w:p>
            <w:pPr>
              <w:pStyle w:val="Compact"/>
              <w:jc w:val="center"/>
            </w:pPr>
            <w:r>
              <w:t xml:space="preserve">18</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65</w:t>
            </w:r>
          </w:p>
        </w:tc>
      </w:tr>
      <w:tr>
        <w:tc>
          <w:tcPr/>
          <w:p>
            <w:pPr>
              <w:pStyle w:val="Compact"/>
              <w:jc w:val="left"/>
            </w:pPr>
            <w:r>
              <w:t xml:space="preserve">Latinx</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c>
          <w:tcPr/>
          <w:p>
            <w:pPr>
              <w:pStyle w:val="Compact"/>
              <w:jc w:val="left"/>
            </w:pPr>
            <w:r>
              <w:t xml:space="preserve">British</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r>
      <w:tr>
        <w:tc>
          <w:tcPr/>
          <w:p>
            <w:pPr>
              <w:pStyle w:val="Compact"/>
              <w:jc w:val="left"/>
            </w:pPr>
            <w:r>
              <w:t xml:space="preserve">Other</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12</w:t>
            </w:r>
          </w:p>
        </w:tc>
      </w:tr>
      <w:tr>
        <w:tc>
          <w:tcPr/>
          <w:p>
            <w:pPr>
              <w:pStyle w:val="Compact"/>
              <w:jc w:val="left"/>
            </w:pPr>
            <w:r>
              <w:rPr>
                <w:b/>
                <w:bCs/>
              </w:rPr>
              <w:t xml:space="preserve">Total</w:t>
            </w:r>
          </w:p>
        </w:tc>
        <w:tc>
          <w:tcPr/>
          <w:p>
            <w:pPr>
              <w:pStyle w:val="Compact"/>
              <w:jc w:val="center"/>
            </w:pPr>
            <w:r>
              <w:rPr>
                <w:b/>
                <w:bCs/>
              </w:rPr>
              <w:t xml:space="preserve">46</w:t>
            </w:r>
          </w:p>
        </w:tc>
        <w:tc>
          <w:tcPr/>
          <w:p>
            <w:pPr>
              <w:pStyle w:val="Compact"/>
              <w:jc w:val="center"/>
            </w:pPr>
            <w:r>
              <w:rPr>
                <w:b/>
                <w:bCs/>
              </w:rPr>
              <w:t xml:space="preserve">25</w:t>
            </w:r>
          </w:p>
        </w:tc>
        <w:tc>
          <w:tcPr/>
          <w:p>
            <w:pPr>
              <w:pStyle w:val="Compact"/>
              <w:jc w:val="center"/>
            </w:pPr>
            <w:r>
              <w:rPr>
                <w:b/>
                <w:bCs/>
              </w:rPr>
              <w:t xml:space="preserve">11</w:t>
            </w:r>
          </w:p>
        </w:tc>
        <w:tc>
          <w:tcPr/>
          <w:p>
            <w:pPr>
              <w:pStyle w:val="Compact"/>
              <w:jc w:val="center"/>
            </w:pPr>
            <w:r>
              <w:rPr>
                <w:b/>
                <w:bCs/>
              </w:rPr>
              <w:t xml:space="preserve">3</w:t>
            </w:r>
          </w:p>
        </w:tc>
        <w:tc>
          <w:tcPr/>
          <w:p>
            <w:pPr>
              <w:pStyle w:val="Compact"/>
              <w:jc w:val="center"/>
            </w:pPr>
            <w:r>
              <w:rPr>
                <w:b/>
                <w:bCs/>
              </w:rPr>
              <w:t xml:space="preserve">85</w:t>
            </w:r>
          </w:p>
        </w:tc>
      </w:tr>
    </w:tbl>
    <w:bookmarkEnd w:id="28"/>
    <w:bookmarkStart w:id="30" w:name="estimation-framework"/>
    <w:p>
      <w:pPr>
        <w:pStyle w:val="Heading2"/>
      </w:pPr>
      <w:r>
        <w:t xml:space="preserve">3.4 Estimation Framework</w:t>
      </w:r>
    </w:p>
    <w:p>
      <w:pPr>
        <w:pStyle w:val="FirstParagraph"/>
      </w:pPr>
      <w:r>
        <w:t xml:space="preserve">We analysed the survey sample using multiple estimation models to assess robustness and conduct sensitivity analyses (see ESM_2). The dual structure of our survey instrument—capturing both ego-based and alter-based network information—enables two fundamentally different estimation strategies: Respondent-Driven Sampling (RDS) estimators and Network Scale-Up Methods (NSUM). All analysis code is available at an anonymised OSF mirror:</w:t>
      </w:r>
      <w:r>
        <w:t xml:space="preserve"> </w:t>
      </w:r>
      <w:hyperlink r:id="rId29">
        <w:r>
          <w:rPr>
            <w:rStyle w:val="Hyperlink"/>
          </w:rPr>
          <w:t xml:space="preserve">https://osf.io/vf5yb/overview?view_only=becc2db3b49c4b258015b648867bf208</w:t>
        </w:r>
      </w:hyperlink>
      <w:r>
        <w:t xml:space="preserve">.</w:t>
      </w:r>
      <w:r>
        <w:t xml:space="preserve"> </w:t>
      </w:r>
    </w:p>
    <w:p>
      <w:pPr>
        <w:pStyle w:val="BodyText"/>
      </w:pPr>
      <w:r>
        <w:t xml:space="preserve">Before describing each estimator in turn, Table 3 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Reading the headline numbers of Section 4 against this table is essential: the order-of-magnitude RDS–NSUM gap reported there is in large part a difference of estimand, not a disagreement about a single underlying quantity (see Section 5.3 for the diagnostic interpretation).</w:t>
      </w:r>
    </w:p>
    <w:p>
      <w:pPr>
        <w:pStyle w:val="Tabl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4925"/>
        <w:tblLayout w:type="fixed"/>
        <w:tblLook w:firstRow="1" w:lastRow="0" w:firstColumn="0" w:lastColumn="0" w:noHBand="0" w:noVBand="0" w:val="0020"/>
        <w:tblCaption w:val="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
      </w:tblPr>
      <w:tblGrid>
        <w:gridCol w:w="1310"/>
        <w:gridCol w:w="1965"/>
        <w:gridCol w:w="2203"/>
        <w:gridCol w:w="2322"/>
      </w:tblGrid>
      <w:tr>
        <w:trPr>
          <w:tblHeader w:val="on"/>
        </w:trPr>
        <w:tc>
          <w:tcPr/>
          <w:p>
            <w:pPr>
              <w:pStyle w:val="Compact"/>
              <w:jc w:val="left"/>
            </w:pPr>
            <w:r>
              <w:t xml:space="preserve">Method</w:t>
            </w:r>
          </w:p>
        </w:tc>
        <w:tc>
          <w:tcPr/>
          <w:p>
            <w:pPr>
              <w:pStyle w:val="Compact"/>
              <w:jc w:val="left"/>
            </w:pPr>
            <w:r>
              <w:t xml:space="preserve">Information used</w:t>
            </w:r>
          </w:p>
        </w:tc>
        <w:tc>
          <w:tcPr/>
          <w:p>
            <w:pPr>
              <w:pStyle w:val="Compact"/>
              <w:jc w:val="left"/>
            </w:pPr>
            <w:r>
              <w:t xml:space="preserve">Estimand</w:t>
            </w:r>
          </w:p>
        </w:tc>
        <w:tc>
          <w:tcPr/>
          <w:p>
            <w:pPr>
              <w:pStyle w:val="Compact"/>
              <w:jc w:val="left"/>
            </w:pPr>
            <w:r>
              <w:t xml:space="preserve">Main vulnerability</w:t>
            </w:r>
          </w:p>
        </w:tc>
      </w:tr>
      <w:tr>
        <w:tc>
          <w:tcPr/>
          <w:p>
            <w:pPr>
              <w:pStyle w:val="Compact"/>
              <w:jc w:val="left"/>
            </w:pPr>
            <w:r>
              <w:t xml:space="preserve">RDS-SS</w:t>
            </w:r>
            <w:r>
              <w:t xml:space="preserve"> </w:t>
            </w:r>
            <w:r>
              <w:t xml:space="preserve">(Section 4.3)</w:t>
            </w:r>
          </w:p>
        </w:tc>
        <w:tc>
          <w:tcPr/>
          <w:p>
            <w:pPr>
              <w:pStyle w:val="Compact"/>
              <w:jc w:val="left"/>
            </w:pPr>
            <w:r>
              <w:t xml:space="preserve">Respondent’s own experience</w:t>
            </w:r>
            <w:r>
              <w:t xml:space="preserve"> </w:t>
            </w:r>
            <w:r>
              <w:t xml:space="preserve">+ reported degree +</w:t>
            </w:r>
            <w:r>
              <w:t xml:space="preserve"> </w:t>
            </w:r>
            <w:r>
              <w:t xml:space="preserve">recruitment-chain structure</w:t>
            </w:r>
          </w:p>
        </w:tc>
        <w:tc>
          <w:tcPr/>
          <w:p>
            <w:pPr>
              <w:pStyle w:val="Compact"/>
              <w:jc w:val="left"/>
            </w:pPr>
            <w:r>
              <w:t xml:space="preserve">Own-experience prevalence among</w:t>
            </w:r>
            <w:r>
              <w:t xml:space="preserve"> </w:t>
            </w:r>
            <w:r>
              <w:t xml:space="preserve">the RDS-reachable population of</w:t>
            </w:r>
            <w:r>
              <w:t xml:space="preserve"> </w:t>
            </w:r>
            <w:r>
              <w:t xml:space="preserve">UK migrant domestic workers</w:t>
            </w:r>
          </w:p>
        </w:tc>
        <w:tc>
          <w:tcPr/>
          <w:p>
            <w:pPr>
              <w:pStyle w:val="Compact"/>
              <w:jc w:val="left"/>
            </w:pPr>
            <w:r>
              <w:t xml:space="preserve">Seed dependence, shallow</w:t>
            </w:r>
            <w:r>
              <w:t xml:space="preserve"> </w:t>
            </w:r>
            <w:r>
              <w:t xml:space="preserve">recruitment chains, homophily,</w:t>
            </w:r>
            <w:r>
              <w:t xml:space="preserve"> </w:t>
            </w:r>
            <w:r>
              <w:t xml:space="preserve">unobserved degree heterogeneity</w:t>
            </w:r>
          </w:p>
        </w:tc>
      </w:tr>
      <w:tr>
        <w:tc>
          <w:tcPr/>
          <w:p>
            <w:pPr>
              <w:pStyle w:val="Compact"/>
              <w:jc w:val="left"/>
            </w:pPr>
            <w:r>
              <w:t xml:space="preserve">MA-RDS</w:t>
            </w:r>
            <w:r>
              <w:t xml:space="preserve"> </w:t>
            </w:r>
            <w:r>
              <w:t xml:space="preserve">(Section 4.4,</w:t>
            </w:r>
            <w:r>
              <w:t xml:space="preserve"> </w:t>
            </w:r>
            <w:r>
              <w:t xml:space="preserve">supporting)</w:t>
            </w:r>
          </w:p>
        </w:tc>
        <w:tc>
          <w:tcPr/>
          <w:p>
            <w:pPr>
              <w:pStyle w:val="Compact"/>
              <w:jc w:val="left"/>
            </w:pPr>
            <w:r>
              <w:t xml:space="preserve">Same as RDS-SS, plus a working</w:t>
            </w:r>
            <w:r>
              <w:t xml:space="preserve"> </w:t>
            </w:r>
            <w:r>
              <w:t xml:space="preserve">Exponential Random Graph</w:t>
            </w:r>
            <w:r>
              <w:t xml:space="preserve"> </w:t>
            </w:r>
            <w:r>
              <w:t xml:space="preserve">network model conditional on</w:t>
            </w:r>
            <w:r>
              <w:t xml:space="preserve"> </w:t>
            </w:r>
            <w:r>
              <w:t xml:space="preserve">seeds, degree, and homophily</w:t>
            </w:r>
          </w:p>
        </w:tc>
        <w:tc>
          <w:tcPr/>
          <w:p>
            <w:pPr>
              <w:pStyle w:val="Compact"/>
              <w:jc w:val="left"/>
            </w:pPr>
            <w:r>
              <w:t xml:space="preserve">Model-assisted own-experience</w:t>
            </w:r>
            <w:r>
              <w:t xml:space="preserve"> </w:t>
            </w:r>
            <w:r>
              <w:t xml:space="preserve">prevalence (same target as RDS-SS</w:t>
            </w:r>
            <w:r>
              <w:t xml:space="preserve"> </w:t>
            </w:r>
            <w:r>
              <w:t xml:space="preserve">but with explicit network</w:t>
            </w:r>
            <w:r>
              <w:t xml:space="preserve"> </w:t>
            </w:r>
            <w:r>
              <w:t xml:space="preserve">structure adjustment)</w:t>
            </w:r>
          </w:p>
        </w:tc>
        <w:tc>
          <w:tcPr/>
          <w:p>
            <w:pPr>
              <w:pStyle w:val="Compact"/>
              <w:jc w:val="left"/>
            </w:pPr>
            <w:r>
              <w:t xml:space="preserve">Network-model misspecification,</w:t>
            </w:r>
            <w:r>
              <w:t xml:space="preserve"> </w:t>
            </w:r>
            <w:r>
              <w:t xml:space="preserve">convergence limits at small</w:t>
            </w:r>
            <w:r>
              <w:t xml:space="preserve"> </w:t>
            </w:r>
            <m:oMath>
              <m:r>
                <m:t>n</m:t>
              </m:r>
            </m:oMath>
            <w:r>
              <w:t xml:space="preserve">;</w:t>
            </w:r>
            <w:r>
              <w:t xml:space="preserve"> </w:t>
            </w:r>
            <w:r>
              <w:t xml:space="preserve">does not reliably converge for</w:t>
            </w:r>
            <w:r>
              <w:t xml:space="preserve"> </w:t>
            </w:r>
            <w:r>
              <w:t xml:space="preserve">continuous outcomes</w:t>
            </w:r>
          </w:p>
        </w:tc>
      </w:tr>
      <w:tr>
        <w:tc>
          <w:tcPr/>
          <w:p>
            <w:pPr>
              <w:pStyle w:val="Compact"/>
              <w:jc w:val="left"/>
            </w:pPr>
            <w:r>
              <w:t xml:space="preserve">NSUM (MBSU)</w:t>
            </w:r>
            <w:r>
              <w:t xml:space="preserve"> </w:t>
            </w:r>
            <w:r>
              <w:t xml:space="preserve">(Section 4.3,</w:t>
            </w:r>
            <w:r>
              <w:t xml:space="preserve"> </w:t>
            </w:r>
            <w:r>
              <w:t xml:space="preserve">preferred)</w:t>
            </w:r>
          </w:p>
        </w:tc>
        <w:tc>
          <w:tcPr/>
          <w:p>
            <w:pPr>
              <w:pStyle w:val="Compact"/>
              <w:jc w:val="left"/>
            </w:pPr>
            <w:r>
              <w:t xml:space="preserve">Respondent reports about</w:t>
            </w:r>
            <w:r>
              <w:t xml:space="preserve"> </w:t>
            </w:r>
            <w:r>
              <w:t xml:space="preserve">alters in their personal</w:t>
            </w:r>
            <w:r>
              <w:t xml:space="preserve"> </w:t>
            </w:r>
            <w:r>
              <w:t xml:space="preserve">network</w:t>
            </w:r>
          </w:p>
        </w:tc>
        <w:tc>
          <w:tcPr/>
          <w:p>
            <w:pPr>
              <w:pStyle w:val="Compact"/>
              <w:jc w:val="left"/>
            </w:pPr>
            <w:r>
              <w:t xml:space="preserve">Network-visible prevalence among</w:t>
            </w:r>
            <w:r>
              <w:t xml:space="preserve"> </w:t>
            </w:r>
            <w:r>
              <w:t xml:space="preserve">domestic-worker alters in the</w:t>
            </w:r>
            <w:r>
              <w:t xml:space="preserve"> </w:t>
            </w:r>
            <w:r>
              <w:t xml:space="preserve">respondents’ aggregated network</w:t>
            </w:r>
          </w:p>
        </w:tc>
        <w:tc>
          <w:tcPr/>
          <w:p>
            <w:pPr>
              <w:pStyle w:val="Compact"/>
              <w:jc w:val="left"/>
            </w:pPr>
            <w:r>
              <w:t xml:space="preserve">Transmission bias, visibility</w:t>
            </w:r>
            <w:r>
              <w:t xml:space="preserve"> </w:t>
            </w:r>
            <w:r>
              <w:t xml:space="preserve">gradient across exploitation</w:t>
            </w:r>
            <w:r>
              <w:t xml:space="preserve"> </w:t>
            </w:r>
            <w:r>
              <w:t xml:space="preserve">behaviours, alter misclassification,</w:t>
            </w:r>
            <w:r>
              <w:t xml:space="preserve"> </w:t>
            </w:r>
            <w:r>
              <w:t xml:space="preserve">unknown true-positive rate (</w:t>
            </w:r>
            <m:oMath>
              <m:r>
                <m:t>τ</m:t>
              </m:r>
            </m:oMath>
            <w:r>
              <w:t xml:space="preserve">)</w:t>
            </w:r>
          </w:p>
        </w:tc>
      </w:tr>
      <w:tr>
        <w:tc>
          <w:tcPr/>
          <w:p>
            <w:pPr>
              <w:pStyle w:val="Compact"/>
              <w:jc w:val="left"/>
            </w:pPr>
            <w:r>
              <w:t xml:space="preserve">Composite risk</w:t>
            </w:r>
            <w:r>
              <w:t xml:space="preserve"> </w:t>
            </w:r>
            <w:r>
              <w:t xml:space="preserve">index (Section 4.2)</w:t>
            </w:r>
          </w:p>
        </w:tc>
        <w:tc>
          <w:tcPr/>
          <w:p>
            <w:pPr>
              <w:pStyle w:val="Compact"/>
              <w:jc w:val="left"/>
            </w:pPr>
            <w:r>
              <w:t xml:space="preserve">Respondent’s own indicator</w:t>
            </w:r>
            <w:r>
              <w:t xml:space="preserve"> </w:t>
            </w:r>
            <w:r>
              <w:t xml:space="preserve">profile across all eleven</w:t>
            </w:r>
            <w:r>
              <w:t xml:space="preserve"> </w:t>
            </w:r>
            <w:r>
              <w:t xml:space="preserve">ILO indicators</w:t>
            </w:r>
          </w:p>
        </w:tc>
        <w:tc>
          <w:tcPr/>
          <w:p>
            <w:pPr>
              <w:pStyle w:val="Compact"/>
              <w:jc w:val="left"/>
            </w:pPr>
            <w:r>
              <w:t xml:space="preserve">RDS-adjusted population mean of</w:t>
            </w:r>
            <w:r>
              <w:t xml:space="preserve"> </w:t>
            </w:r>
            <w:r>
              <w:t xml:space="preserve">the formative-additive severity</w:t>
            </w:r>
            <w:r>
              <w:t xml:space="preserve"> </w:t>
            </w:r>
            <w:r>
              <w:t xml:space="preserve">score</w:t>
            </w:r>
          </w:p>
        </w:tc>
        <w:tc>
          <w:tcPr/>
          <w:p>
            <w:pPr>
              <w:pStyle w:val="Compact"/>
              <w:jc w:val="left"/>
            </w:pPr>
            <w:r>
              <w:t xml:space="preserve">Weight specification, construct</w:t>
            </w:r>
            <w:r>
              <w:t xml:space="preserve"> </w:t>
            </w:r>
            <w:r>
              <w:t xml:space="preserve">validity, formative-vs-reflective</w:t>
            </w:r>
            <w:r>
              <w:t xml:space="preserve"> </w:t>
            </w:r>
            <w:r>
              <w:t xml:space="preserve">measurement assumptions</w:t>
            </w:r>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 (IST Research and University of California, Los Angeles, 2020; Hickman</w:t>
      </w:r>
      <w:r>
        <w:t xml:space="preserve"> </w:t>
      </w:r>
      <w:r>
        <w:rPr>
          <w:i/>
          <w:iCs/>
        </w:rPr>
        <w:t xml:space="preserve">et al.</w:t>
      </w:r>
      <w:r>
        <w:t xml:space="preserve">, 2025).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 (Salganik and Heckathorn, 2004), the Volz–Heckathorn (VH) estimator (Volz and Heckathorn, 2008), and</w:t>
      </w:r>
      <w:r>
        <w:t xml:space="preserve"> </w:t>
      </w:r>
      <w:r>
        <w:t xml:space="preserve">Gile’s Successive Sampling (RDS-SS) estimator (Gile, 2011).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 (Gile and Handcock, 2015).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 (Gile, 2011).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 Section 4.2 and ESM_4).</w:t>
      </w:r>
    </w:p>
    <w:p>
      <w:pPr>
        <w:pStyle w:val="BodyText"/>
      </w:pPr>
      <w:r>
        <w:rPr>
          <w:i/>
          <w:iCs/>
        </w:rPr>
        <w:t xml:space="preserve">Within-Population Scale-Up Estimation (NSUM):</w:t>
      </w:r>
      <w:r>
        <w:t xml:space="preserve"> </w:t>
      </w:r>
      <w:r>
        <w:t xml:space="preserve">We employ the Modified Basic Scale-Up (MBSU) model of Feehan and Salganik (2016) 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 (Feehan and Salganik 2016, supplementary materials) 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 Table 3 above.</w:t>
      </w:r>
    </w:p>
    <w:p>
      <w:pPr>
        <w:pStyle w:val="BodyText"/>
      </w:pPr>
      <w:r>
        <w:t xml:space="preserve">The unadjusted MBSU estimator is</w:t>
      </w:r>
      <w:r>
        <w:t xml:space="preserve"> </w:t>
      </w:r>
      <m:oMath>
        <m:acc>
          <m:accPr>
            <m:chr m:val="̂"/>
          </m:accPr>
          <m:e>
            <m:r>
              <m:t>p</m:t>
            </m:r>
          </m:e>
        </m:acc>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(alter exploitation count divided by reported network size, averaged over respondents), adjusted multiplicatively by</w:t>
      </w:r>
      <w:r>
        <w:t xml:space="preserve"> </w:t>
      </w:r>
      <m:oMath>
        <m:sSub>
          <m:e>
            <m:r>
              <m:t>δ</m:t>
            </m:r>
          </m:e>
          <m:sub>
            <m:r>
              <m:t>F</m:t>
            </m:r>
          </m:sub>
        </m:sSub>
      </m:oMath>
      <w:r>
        <w:t xml:space="preserve"> </w:t>
      </w:r>
      <w:r>
        <w:t xml:space="preserve">(degree ratio between hidden and frame populations) and</w:t>
      </w:r>
      <w:r>
        <w:t xml:space="preserve"> </w:t>
      </w:r>
      <m:oMath>
        <m:sSub>
          <m:e>
            <m:r>
              <m:t>τ</m:t>
            </m:r>
          </m:e>
          <m:sub>
            <m:r>
              <m:t>F</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(Section 5.3).</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 Figure 1). For comparison with the discrete-tier NSUM literature (Killworth et al. 1998; Maltiel et al. 2015; Feehan and Salganik 2016),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0"/>
    <w:bookmarkStart w:id="31" w:name="Xbb33a2264dfecdfb8b73d4fa48b0776578b4cc2"/>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r>
        <w:t xml:space="preserve"> </w:t>
      </w:r>
      <w:r>
        <w:t xml:space="preserve">Prevalence estimates reported throughout the paper are invariant to the assumed UK domestic-worker population size</w:t>
      </w:r>
      <w:r>
        <w:t xml:space="preserve"> </w:t>
      </w:r>
      <m:oMath>
        <m:r>
          <m:t>N</m:t>
        </m:r>
      </m:oMath>
      <w:r>
        <w:t xml:space="preserve"> </w:t>
      </w:r>
      <w:r>
        <w:t xml:space="preserve">in the asymptotic regime in which</w:t>
      </w:r>
      <w:r>
        <w:t xml:space="preserve"> </w:t>
      </w:r>
      <m:oMath>
        <m:r>
          <m:t>n</m:t>
        </m:r>
        <m:r>
          <m:rPr>
            <m:sty m:val="p"/>
          </m:rPr>
          <m:t>/</m:t>
        </m:r>
        <m:r>
          <m:t>N</m:t>
        </m:r>
      </m:oMath>
      <w:r>
        <w:t xml:space="preserve"> </w:t>
      </w:r>
      <w:r>
        <w:t xml:space="preserve">is small.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1"/>
    <w:bookmarkStart w:id="32" w:name="bootstrap-and-sensitivity-procedures"/>
    <w:p>
      <w:pPr>
        <w:pStyle w:val="Heading2"/>
      </w:pPr>
      <w:r>
        <w:t xml:space="preserve">3.7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 (Gile et al., 2018).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 (Yauck</w:t>
      </w:r>
      <w:r>
        <w:t xml:space="preserve"> </w:t>
      </w:r>
      <w:r>
        <w:rPr>
          <w:i/>
          <w:iCs/>
        </w:rPr>
        <w:t xml:space="preserve">et al.</w:t>
      </w:r>
      <w:r>
        <w:t xml:space="preserve">, 2022). Sensitivity analyses examine robustness to population size</w:t>
      </w:r>
      <w:r>
        <w:t xml:space="preserve"> </w:t>
      </w:r>
      <w:r>
        <w:t xml:space="preserve">assumptions (50K, 100K, 980K, 1.74M) and NSUM adjustment factor values. Full results are reported in Online Resource ESM_4.</w:t>
      </w:r>
    </w:p>
    <w:bookmarkEnd w:id="32"/>
    <w:bookmarkEnd w:id="33"/>
    <w:bookmarkStart w:id="49" w:name="results"/>
    <w:p>
      <w:pPr>
        <w:pStyle w:val="Heading1"/>
      </w:pPr>
      <w:r>
        <w:t xml:space="preserve">Results</w:t>
      </w:r>
    </w:p>
    <w:p>
      <w:pPr>
        <w:pStyle w:val="FirstParagraph"/>
      </w:pPr>
      <w:r>
        <w:t xml:space="preserve">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(Section 3.4; ESM_4 Figure 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pPr>
        <w:pStyle w:val="BodyText"/>
      </w:pPr>
      <w:r>
        <w:t xml:space="preserve">A scope note before the numbers. 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four estimators target different population quantities (Section 3.4, Table 3), so absolute levels also differ by estimator in interpretable ways.</w:t>
      </w:r>
    </w:p>
    <w:bookmarkStart w:id="38" w:name="descriptive-overview"/>
    <w:p>
      <w:pPr>
        <w:pStyle w:val="Heading2"/>
      </w:pPr>
      <w:r>
        <w:t xml:space="preserve">4.1 Descriptive Overview</w:t>
      </w:r>
    </w:p>
    <w:p>
      <w:pPr>
        <w:pStyle w:val="FirstParagraph"/>
      </w:pPr>
      <w:r>
        <w:t xml:space="preserve">Sample characteristics are presented in Table 2 and Figure 1. 97 respondents completed the survey; 85 with non-zero network degree were included in RDS analysis. The analytical sample is 93% transnational migrant, 97% female, 76% Filipino, with over half aged 45+ and 45% self-employed.</w:t>
      </w:r>
    </w:p>
    <w:bookmarkStart w:id="37" w:name="rds-sampling-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 Table 4 and visualised in Figure 2; Figure 1 (above) shows the full recruitment graph.</w:t>
      </w:r>
    </w:p>
    <w:p>
      <w:pPr>
        <w:pStyle w:val="TableCaption"/>
      </w:pPr>
      <w:r>
        <w:t xml:space="preserve">Table 4. RDS sampling diagnostics for the analytical sample (n = 85). Computed directly from</w:t>
      </w:r>
      <w:r>
        <w:t xml:space="preserve"> </w:t>
      </w:r>
      <w:r>
        <w:rPr>
          <w:rStyle w:val="VerbatimChar"/>
        </w:rPr>
        <w:t xml:space="preserve">data/processed/data_nonzero.csv</w:t>
      </w:r>
      <w:r>
        <w:t xml:space="preserve">; see Section 4.1.1 below and ESM_4 (convergence plots per indicator) for the full set. Source: Authors’ construction.</w:t>
      </w:r>
    </w:p>
    <w:tbl>
      <w:tblPr>
        <w:tblStyle w:val="Table"/>
        <w:tblW w:type="pct" w:w="4953"/>
        <w:tblLayout w:type="fixed"/>
        <w:tblLook w:firstRow="1" w:lastRow="0" w:firstColumn="0" w:lastColumn="0" w:noHBand="0" w:noVBand="0" w:val="0020"/>
        <w:tblCaption w:val="Table 4. RDS sampling diagnostics for the analytical sample (n = 85). Computed directly from data/processed/data_nonzero.csv; see Section 4.1.1 below and ESM_4 (convergence plots per indicator) for the full set. Source: Authors’ construction."/>
      </w:tblPr>
      <w:tblGrid>
        <w:gridCol w:w="3511"/>
        <w:gridCol w:w="1120"/>
        <w:gridCol w:w="3212"/>
      </w:tblGrid>
      <w:tr>
        <w:trPr>
          <w:tblHeader w:val="on"/>
        </w:trPr>
        <w:tc>
          <w:tcPr/>
          <w:p>
            <w:pPr>
              <w:pStyle w:val="Compact"/>
              <w:jc w:val="left"/>
            </w:pPr>
            <w:r>
              <w:t xml:space="preserve">Diagnostic</w:t>
            </w:r>
          </w:p>
        </w:tc>
        <w:tc>
          <w:tcPr/>
          <w:p>
            <w:pPr>
              <w:pStyle w:val="Compact"/>
              <w:jc w:val="center"/>
            </w:pPr>
            <w:r>
              <w:t xml:space="preserve">Value</w:t>
            </w:r>
          </w:p>
        </w:tc>
        <w:tc>
          <w:tcPr/>
          <w:p>
            <w:pPr>
              <w:pStyle w:val="Compact"/>
              <w:jc w:val="left"/>
            </w:pPr>
            <w:r>
              <w:t xml:space="preserve">Interpretation</w:t>
            </w:r>
          </w:p>
        </w:tc>
      </w:tr>
      <w:tr>
        <w:tc>
          <w:tcPr/>
          <w:p>
            <w:pPr>
              <w:pStyle w:val="Compact"/>
              <w:jc w:val="left"/>
            </w:pPr>
            <w:r>
              <w:t xml:space="preserve">Total respondents (analytical sample)</w:t>
            </w:r>
          </w:p>
        </w:tc>
        <w:tc>
          <w:tcPr/>
          <w:p>
            <w:pPr>
              <w:pStyle w:val="Compact"/>
              <w:jc w:val="center"/>
            </w:pPr>
            <w:r>
              <w:t xml:space="preserve">85</w:t>
            </w:r>
          </w:p>
        </w:tc>
        <w:tc>
          <w:tcPr/>
          <w:p>
            <w:pPr>
              <w:pStyle w:val="Compact"/>
              <w:jc w:val="left"/>
            </w:pPr>
            <w:r>
              <w:t xml:space="preserve">non-zero network degree</w:t>
            </w:r>
          </w:p>
        </w:tc>
      </w:tr>
      <w:tr>
        <w:tc>
          <w:tcPr/>
          <w:p>
            <w:pPr>
              <w:pStyle w:val="Compact"/>
              <w:jc w:val="left"/>
            </w:pPr>
            <w:r>
              <w:t xml:space="preserve">Seeds (recruiter.id == -1)</w:t>
            </w:r>
          </w:p>
        </w:tc>
        <w:tc>
          <w:tcPr/>
          <w:p>
            <w:pPr>
              <w:pStyle w:val="Compact"/>
              <w:jc w:val="center"/>
            </w:pPr>
            <w:r>
              <w:t xml:space="preserve">46 (54%)</w:t>
            </w:r>
          </w:p>
        </w:tc>
        <w:tc>
          <w:tcPr/>
          <w:p>
            <w:pPr>
              <w:pStyle w:val="Compact"/>
              <w:jc w:val="left"/>
            </w:pPr>
            <w:r>
              <w:t xml:space="preserve">majority of sample is seed-recruited</w:t>
            </w:r>
          </w:p>
        </w:tc>
      </w:tr>
      <w:tr>
        <w:tc>
          <w:tcPr/>
          <w:p>
            <w:pPr>
              <w:pStyle w:val="Compact"/>
              <w:jc w:val="left"/>
            </w:pPr>
            <w:r>
              <w:t xml:space="preserve">Recruits (wave 1+)</w:t>
            </w:r>
          </w:p>
        </w:tc>
        <w:tc>
          <w:tcPr/>
          <w:p>
            <w:pPr>
              <w:pStyle w:val="Compact"/>
              <w:jc w:val="center"/>
            </w:pPr>
            <w:r>
              <w:t xml:space="preserve">39 (46%)</w:t>
            </w:r>
          </w:p>
        </w:tc>
        <w:tc>
          <w:tcPr/>
          <w:p>
            <w:pPr>
              <w:pStyle w:val="Compact"/>
              <w:jc w:val="left"/>
            </w:pPr>
            <w:r>
              <w:t xml:space="preserve">sourced via respondent-driven referral</w:t>
            </w:r>
          </w:p>
        </w:tc>
      </w:tr>
      <w:tr>
        <w:tc>
          <w:tcPr/>
          <w:p>
            <w:pPr>
              <w:pStyle w:val="Compact"/>
              <w:jc w:val="left"/>
            </w:pPr>
            <w:r>
              <w:t xml:space="preserve">Active recruitment chains (length</w:t>
            </w:r>
            <w:r>
              <w:t xml:space="preserve"> </w:t>
            </w:r>
            <m:oMath>
              <m:r>
                <m:rPr>
                  <m:sty m:val="p"/>
                </m:rPr>
                <m:t>≥</m:t>
              </m:r>
              <m:r>
                <m:t>2</m:t>
              </m:r>
            </m:oMath>
            <w:r>
              <w:t xml:space="preserve">)</w:t>
            </w:r>
          </w:p>
        </w:tc>
        <w:tc>
          <w:tcPr/>
          <w:p>
            <w:pPr>
              <w:pStyle w:val="Compact"/>
              <w:jc w:val="center"/>
            </w:pPr>
            <w:r>
              <w:t xml:space="preserve">16</w:t>
            </w:r>
          </w:p>
        </w:tc>
        <w:tc>
          <w:tcPr/>
          <w:p>
            <w:pPr>
              <w:pStyle w:val="Compact"/>
              <w:jc w:val="left"/>
            </w:pPr>
            <w:r>
              <w:t xml:space="preserve">seeds that recruited at least once</w:t>
            </w:r>
          </w:p>
        </w:tc>
      </w:tr>
      <w:tr>
        <w:tc>
          <w:tcPr/>
          <w:p>
            <w:pPr>
              <w:pStyle w:val="Compact"/>
              <w:jc w:val="left"/>
            </w:pPr>
            <w:r>
              <w:t xml:space="preserve">Singleton seeds (chain length = 1)</w:t>
            </w:r>
          </w:p>
        </w:tc>
        <w:tc>
          <w:tcPr/>
          <w:p>
            <w:pPr>
              <w:pStyle w:val="Compact"/>
              <w:jc w:val="center"/>
            </w:pPr>
            <w:r>
              <w:t xml:space="preserve">30</w:t>
            </w:r>
          </w:p>
        </w:tc>
        <w:tc>
          <w:tcPr/>
          <w:p>
            <w:pPr>
              <w:pStyle w:val="Compact"/>
              <w:jc w:val="left"/>
            </w:pPr>
            <w:r>
              <w:t xml:space="preserve">seeds with no successful recruits</w:t>
            </w:r>
          </w:p>
        </w:tc>
      </w:tr>
      <w:tr>
        <w:tc>
          <w:tcPr/>
          <w:p>
            <w:pPr>
              <w:pStyle w:val="Compact"/>
              <w:jc w:val="left"/>
            </w:pPr>
            <w:r>
              <w:t xml:space="preserve">Maximum chain length</w:t>
            </w:r>
          </w:p>
        </w:tc>
        <w:tc>
          <w:tcPr/>
          <w:p>
            <w:pPr>
              <w:pStyle w:val="Compact"/>
              <w:jc w:val="center"/>
            </w:pPr>
            <w:r>
              <w:t xml:space="preserve">12</w:t>
            </w:r>
          </w:p>
        </w:tc>
        <w:tc>
          <w:tcPr/>
          <w:p>
            <w:pPr>
              <w:pStyle w:val="Compact"/>
              <w:jc w:val="left"/>
            </w:pPr>
            <w:r>
              <w:t xml:space="preserve">one dominant chain (seed #55) drives</w:t>
            </w:r>
            <w:r>
              <w:t xml:space="preserve"> </w:t>
            </w:r>
            <w:r>
              <w:t xml:space="preserve">much of the wave depth</w:t>
            </w:r>
          </w:p>
        </w:tc>
      </w:tr>
      <w:tr>
        <w:tc>
          <w:tcPr/>
          <w:p>
            <w:pPr>
              <w:pStyle w:val="Compact"/>
              <w:jc w:val="left"/>
            </w:pPr>
            <w:r>
              <w:t xml:space="preserve">Maximum wave depth</w:t>
            </w:r>
          </w:p>
        </w:tc>
        <w:tc>
          <w:tcPr/>
          <w:p>
            <w:pPr>
              <w:pStyle w:val="Compact"/>
              <w:jc w:val="center"/>
            </w:pPr>
            <w:r>
              <w:t xml:space="preserve">4</w:t>
            </w:r>
          </w:p>
        </w:tc>
        <w:tc>
          <w:tcPr/>
          <w:p>
            <w:pPr>
              <w:pStyle w:val="Compact"/>
              <w:jc w:val="left"/>
            </w:pPr>
            <w:r>
              <w:t xml:space="preserve">shallow relative to RDS conventions</w:t>
            </w:r>
            <w:r>
              <w:t xml:space="preserve"> </w:t>
            </w:r>
            <w:r>
              <w:t xml:space="preserve">(5–6 waves typical for equilibrium)</w:t>
            </w:r>
          </w:p>
        </w:tc>
      </w:tr>
      <w:tr>
        <w:tc>
          <w:tcPr/>
          <w:p>
            <w:pPr>
              <w:pStyle w:val="Compact"/>
              <w:jc w:val="left"/>
            </w:pPr>
            <w:r>
              <w:t xml:space="preserve">Respondents at wave</w:t>
            </w:r>
            <w:r>
              <w:t xml:space="preserve"> </w:t>
            </w:r>
            <m:oMath>
              <m:r>
                <m:rPr>
                  <m:sty m:val="p"/>
                </m:rPr>
                <m:t>≥</m:t>
              </m:r>
              <m:r>
                <m:t>3</m:t>
              </m:r>
            </m:oMath>
          </w:p>
        </w:tc>
        <w:tc>
          <w:tcPr/>
          <w:p>
            <w:pPr>
              <w:pStyle w:val="Compact"/>
              <w:jc w:val="center"/>
            </w:pPr>
            <w:r>
              <w:t xml:space="preserve">6 (7%)</w:t>
            </w:r>
          </w:p>
        </w:tc>
        <w:tc>
          <w:tcPr/>
          <w:p>
            <w:pPr>
              <w:pStyle w:val="Compact"/>
              <w:jc w:val="left"/>
            </w:pPr>
            <w:r>
              <w:t xml:space="preserve">only 7% reached the depth at which</w:t>
            </w:r>
            <w:r>
              <w:t xml:space="preserve"> </w:t>
            </w:r>
            <w:r>
              <w:t xml:space="preserve">RDS equilibrium typically obtains</w:t>
            </w:r>
          </w:p>
        </w:tc>
      </w:tr>
      <w:tr>
        <w:tc>
          <w:tcPr/>
          <w:p>
            <w:pPr>
              <w:pStyle w:val="Compact"/>
              <w:jc w:val="left"/>
            </w:pPr>
            <w:r>
              <w:t xml:space="preserve">Median reported network size (q13)</w:t>
            </w:r>
          </w:p>
        </w:tc>
        <w:tc>
          <w:tcPr/>
          <w:p>
            <w:pPr>
              <w:pStyle w:val="Compact"/>
              <w:jc w:val="center"/>
            </w:pPr>
            <w:r>
              <w:t xml:space="preserve">5</w:t>
            </w:r>
          </w:p>
        </w:tc>
        <w:tc>
          <w:tcPr/>
          <w:p>
            <w:pPr>
              <w:pStyle w:val="Compact"/>
              <w:jc w:val="left"/>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pPr>
            <w:r>
              <w:t xml:space="preserve">Mean reported network size</w:t>
            </w:r>
          </w:p>
        </w:tc>
        <w:tc>
          <w:tcPr/>
          <w:p>
            <w:pPr>
              <w:pStyle w:val="Compact"/>
              <w:jc w:val="center"/>
            </w:pPr>
            <w:r>
              <w:t xml:space="preserve">8.9</w:t>
            </w:r>
          </w:p>
        </w:tc>
        <w:tc>
          <w:tcPr/>
          <w:p>
            <w:pPr>
              <w:pStyle w:val="Compact"/>
              <w:jc w:val="left"/>
            </w:pPr>
            <w:r>
              <w:t xml:space="preserve">mean inflated by a long right tail</w:t>
            </w:r>
            <w:r>
              <w:t xml:space="preserve"> </w:t>
            </w:r>
            <w:r>
              <w:t xml:space="preserve">(max = 105); strong degree skew</w:t>
            </w:r>
          </w:p>
        </w:tc>
      </w:tr>
      <w:tr>
        <w:tc>
          <w:tcPr/>
          <w:p>
            <w:pPr>
              <w:pStyle w:val="Compact"/>
              <w:jc w:val="left"/>
            </w:pPr>
            <w:r>
              <w:t xml:space="preserve">Largest nationality cluster</w:t>
            </w:r>
          </w:p>
        </w:tc>
        <w:tc>
          <w:tcPr/>
          <w:p>
            <w:pPr>
              <w:pStyle w:val="Compact"/>
              <w:jc w:val="center"/>
            </w:pPr>
            <w:r>
              <w:t xml:space="preserve">Filipino</w:t>
            </w:r>
            <w:r>
              <w:t xml:space="preserve"> </w:t>
            </w:r>
            <w:r>
              <w:t xml:space="preserve">(n = 65)</w:t>
            </w:r>
          </w:p>
        </w:tc>
        <w:tc>
          <w:tcPr/>
          <w:p>
            <w:pPr>
              <w:pStyle w:val="Compact"/>
              <w:jc w:val="left"/>
            </w:pPr>
            <w:r>
              <w:t xml:space="preserve">76% of n = 85; homophily by nationality</w:t>
            </w:r>
            <w:r>
              <w:t xml:space="preserve"> </w:t>
            </w:r>
            <w:r>
              <w:t xml:space="preserve">within chains is consequently high</w:t>
            </w:r>
          </w:p>
        </w:tc>
      </w:tr>
    </w:tbl>
    <w:p>
      <w:pPr>
        <w:pStyle w:val="CaptionedFigure"/>
      </w:pPr>
      <w:r>
        <w:drawing>
          <wp:inline>
            <wp:extent cx="5334000" cy="1557645"/>
            <wp:effectExtent b="0" l="0" r="0" t="0"/>
            <wp:docPr descr="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 data/processed/data_nonzero.csv." title="" id="35" name="Picture"/>
            <a:graphic>
              <a:graphicData uri="http://schemas.openxmlformats.org/drawingml/2006/picture">
                <pic:pic>
                  <pic:nvPicPr>
                    <pic:cNvPr descr="figures/rds_diagnostics.png" id="36" name="Picture"/>
                    <pic:cNvPicPr>
                      <a:picLocks noChangeArrowheads="1" noChangeAspect="1"/>
                    </pic:cNvPicPr>
                  </pic:nvPicPr>
                  <pic:blipFill>
                    <a:blip r:embed="rId34"/>
                    <a:stretch>
                      <a:fillRect/>
                    </a:stretch>
                  </pic:blipFill>
                  <pic:spPr bwMode="auto">
                    <a:xfrm>
                      <a:off x="0" y="0"/>
                      <a:ext cx="5334000" cy="1557645"/>
                    </a:xfrm>
                    <a:prstGeom prst="rect">
                      <a:avLst/>
                    </a:prstGeom>
                    <a:noFill/>
                    <a:ln w="9525">
                      <a:noFill/>
                      <a:headEnd/>
                      <a:tailEnd/>
                    </a:ln>
                  </pic:spPr>
                </pic:pic>
              </a:graphicData>
            </a:graphic>
          </wp:inline>
        </w:drawing>
      </w:r>
    </w:p>
    <w:p>
      <w:pPr>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w:t>
      </w:r>
      <w:r>
        <w:t xml:space="preserve"> </w:t>
      </w:r>
      <w:r>
        <w:rPr>
          <w:rStyle w:val="VerbatimChar"/>
        </w:rPr>
        <w:t xml:space="preserve">data/processed/data_nonzero.csv</w:t>
      </w:r>
      <w:r>
        <w:t xml:space="preserve">.</w:t>
      </w:r>
    </w:p>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 Section 4.4 quantifies how much the standard equilibrium assumption matters (RDS-I runs 5–15 percentage points higher, with the gap larger where seed-cluster homophily is strongest).</w:t>
      </w:r>
    </w:p>
    <w:bookmarkEnd w:id="37"/>
    <w:bookmarkEnd w:id="38"/>
    <w:bookmarkStart w:id="42" w:name="continuous-risk-index-rds-ss-estimate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(Section 3.2, Table 1; full per-category weights in ESM_1, Table 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 Section 3.4, MA-RDS does not converge to a useful</w:t>
      </w:r>
      <w:r>
        <w:t xml:space="preserve"> </w:t>
      </w:r>
      <w:r>
        <w:t xml:space="preserve">posterior on continuous traits at this sample size; for completeness Figure 2 shows the MA estimate alongside the RDS-SS and sample estimates, with the wide MA credible interval making the limitation</w:t>
      </w:r>
      <w:r>
        <w:t xml:space="preserve"> </w:t>
      </w:r>
      <w:r>
        <w:t xml:space="preserve">visible.</w:t>
      </w:r>
    </w:p>
    <w:p>
      <w:pPr>
        <w:pStyle w:val="CaptionedFigure"/>
      </w:pPr>
      <w:r>
        <w:drawing>
          <wp:inline>
            <wp:extent cx="5334000" cy="2370666"/>
            <wp:effectExtent b="0" l="0" r="0" t="0"/>
            <wp:docPr descr="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 title="" id="40" name="Picture"/>
            <a:graphic>
              <a:graphicData uri="http://schemas.openxmlformats.org/drawingml/2006/picture">
                <pic:pic>
                  <pic:nvPicPr>
                    <pic:cNvPr descr="figures/image3.png" id="41" name="Picture"/>
                    <pic:cNvPicPr>
                      <a:picLocks noChangeArrowheads="1" noChangeAspect="1"/>
                    </pic:cNvPicPr>
                  </pic:nvPicPr>
                  <pic:blipFill>
                    <a:blip r:embed="rId39"/>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2"/>
    <w:bookmarkStart w:id="46" w:name="X0cc5397e3660ed14af43d084a7177075e7bc749"/>
    <w:p>
      <w:pPr>
        <w:pStyle w:val="Heading2"/>
      </w:pPr>
      <w:r>
        <w:t xml:space="preserve">4.3 Binary Exploitation Indicators: Preferred Prevalence Estimates</w:t>
      </w:r>
    </w:p>
    <w:p>
      <w:pPr>
        <w:pStyle w:val="FirstParagraph"/>
      </w:pPr>
      <w:r>
        <w:t xml:space="preserve">Table 5 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(Section 5.3 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pPr>
            <w:r>
              <w:rPr>
                <w:b/>
                <w:bCs/>
              </w:rPr>
              <w:t xml:space="preserve">Indicator</w:t>
            </w:r>
          </w:p>
        </w:tc>
        <w:tc>
          <w:tcPr/>
          <w:p>
            <w:pPr>
              <w:pStyle w:val="Compact"/>
            </w:pPr>
            <w:r>
              <w:rPr>
                <w:b/>
                <w:bCs/>
              </w:rPr>
              <w:t xml:space="preserve">RDS-SS (95% CI)</w:t>
            </w:r>
          </w:p>
        </w:tc>
        <w:tc>
          <w:tcPr/>
          <w:p>
            <w:pPr>
              <w:pStyle w:val="Compact"/>
            </w:pPr>
            <w:r>
              <w:rPr>
                <w:b/>
                <w:bCs/>
              </w:rPr>
              <w:t xml:space="preserve">MBSU NSUM (Moderate) (95% CI)</w:t>
            </w:r>
          </w:p>
        </w:tc>
      </w:tr>
      <w:tr>
        <w:tc>
          <w:tcPr/>
          <w:p>
            <w:pPr>
              <w:pStyle w:val="Compact"/>
            </w:pPr>
            <w:r>
              <w:t xml:space="preserve">Document withholding</w:t>
            </w:r>
          </w:p>
        </w:tc>
        <w:tc>
          <w:tcPr/>
          <w:p>
            <w:pPr>
              <w:pStyle w:val="Compact"/>
            </w:pPr>
            <w:r>
              <w:t xml:space="preserve">35.4% (21.1–49.8%)</w:t>
            </w:r>
          </w:p>
        </w:tc>
        <w:tc>
          <w:tcPr/>
          <w:p>
            <w:pPr>
              <w:pStyle w:val="Compact"/>
            </w:pPr>
            <w:r>
              <w:t xml:space="preserve">1.08% (0.30–3.13%)</w:t>
            </w:r>
          </w:p>
        </w:tc>
      </w:tr>
      <w:tr>
        <w:tc>
          <w:tcPr/>
          <w:p>
            <w:pPr>
              <w:pStyle w:val="Compact"/>
            </w:pPr>
            <w:r>
              <w:t xml:space="preserve">Threats and abuse</w:t>
            </w:r>
          </w:p>
        </w:tc>
        <w:tc>
          <w:tcPr/>
          <w:p>
            <w:pPr>
              <w:pStyle w:val="Compact"/>
            </w:pPr>
            <w:r>
              <w:t xml:space="preserve">56.9% (42.3–72.1%)</w:t>
            </w:r>
          </w:p>
        </w:tc>
        <w:tc>
          <w:tcPr/>
          <w:p>
            <w:pPr>
              <w:pStyle w:val="Compact"/>
            </w:pPr>
            <w:r>
              <w:t xml:space="preserve">2.69% (1.86–5.86%)</w:t>
            </w:r>
          </w:p>
        </w:tc>
      </w:tr>
      <w:tr>
        <w:tc>
          <w:tcPr/>
          <w:p>
            <w:pPr>
              <w:pStyle w:val="Compact"/>
            </w:pPr>
            <w:r>
              <w:t xml:space="preserve">Pay-related issues</w:t>
            </w:r>
          </w:p>
        </w:tc>
        <w:tc>
          <w:tcPr/>
          <w:p>
            <w:pPr>
              <w:pStyle w:val="Compact"/>
            </w:pPr>
            <w:r>
              <w:t xml:space="preserve">51.6% (36.5–65.5%)</w:t>
            </w:r>
          </w:p>
        </w:tc>
        <w:tc>
          <w:tcPr/>
          <w:p>
            <w:pPr>
              <w:pStyle w:val="Compact"/>
            </w:pPr>
            <w:r>
              <w:t xml:space="preserve">2.88% (1.90–5.68%)</w:t>
            </w:r>
          </w:p>
        </w:tc>
      </w:tr>
      <w:tr>
        <w:tc>
          <w:tcPr/>
          <w:p>
            <w:pPr>
              <w:pStyle w:val="Compact"/>
            </w:pPr>
            <w:r>
              <w:t xml:space="preserve">Excessive working hours</w:t>
            </w:r>
          </w:p>
        </w:tc>
        <w:tc>
          <w:tcPr/>
          <w:p>
            <w:pPr>
              <w:pStyle w:val="Compact"/>
            </w:pPr>
            <w:r>
              <w:t xml:space="preserve">84.2% (72.2–93.6%)</w:t>
            </w:r>
          </w:p>
        </w:tc>
        <w:tc>
          <w:tcPr/>
          <w:p>
            <w:pPr>
              <w:pStyle w:val="Compact"/>
            </w:pPr>
            <w:r>
              <w:t xml:space="preserve">2.98% (1.84–5.51%)</w:t>
            </w:r>
          </w:p>
        </w:tc>
      </w:tr>
      <w:tr>
        <w:tc>
          <w:tcPr/>
          <w:p>
            <w:pPr>
              <w:pStyle w:val="Compact"/>
            </w:pPr>
            <w:r>
              <w:t xml:space="preserve">Limited access to help</w:t>
            </w:r>
          </w:p>
        </w:tc>
        <w:tc>
          <w:tcPr/>
          <w:p>
            <w:pPr>
              <w:pStyle w:val="Compact"/>
            </w:pPr>
            <w:r>
              <w:t xml:space="preserve">60.6% (45.2–74.1%)</w:t>
            </w:r>
          </w:p>
        </w:tc>
        <w:tc>
          <w:tcPr/>
          <w:p>
            <w:pPr>
              <w:pStyle w:val="Compact"/>
            </w:pPr>
            <w:r>
              <w:t xml:space="preserve">2.03% (0.67–4.88%)</w:t>
            </w:r>
          </w:p>
        </w:tc>
      </w:tr>
    </w:tbl>
    <w:p>
      <w:pPr>
        <w:pStyle w:val="CaptionedFigure"/>
      </w:pPr>
      <w:r>
        <w:drawing>
          <wp:inline>
            <wp:extent cx="5334000" cy="3333750"/>
            <wp:effectExtent b="0" l="0" r="0" t="0"/>
            <wp:docPr descr="Figure 4.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 title="" id="44" name="Picture"/>
            <a:graphic>
              <a:graphicData uri="http://schemas.openxmlformats.org/drawingml/2006/picture">
                <pic:pic>
                  <pic:nvPicPr>
                    <pic:cNvPr descr="figures/image4.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w:t>
      </w:r>
      <w:r>
        <w:t xml:space="preserve">‘degree’</w:t>
      </w:r>
      <w:r>
        <w:t xml:space="preserve">. Source: Authors’ own work.</w:t>
      </w:r>
    </w:p>
    <w:bookmarkEnd w:id="46"/>
    <w:bookmarkStart w:id="47" w:name="X1ec5ffc622796ef48ff0870a245bb6ed0538396"/>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Bayesian Model-Assisted estimates (MA-RDS) of the five binary indicators at</w:t>
      </w:r>
      <w:r>
        <w:t xml:space="preserve"> </w:t>
      </w:r>
      <m:oMath>
        <m:r>
          <m:t>N</m:t>
        </m:r>
        <m:r>
          <m:rPr>
            <m:sty m:val="p"/>
          </m:rPr>
          <m:t>=</m:t>
        </m:r>
        <m:r>
          <m:t>50</m:t>
        </m:r>
        <m:r>
          <m:rPr>
            <m:sty m:val="p"/>
          </m:rPr>
          <m:t>,</m:t>
        </m:r>
        <m:r>
          <m:t>000</m:t>
        </m:r>
      </m:oMath>
      <w:r>
        <w:t xml:space="preserve"> </w:t>
      </w:r>
      <w:r>
        <w:t xml:space="preserve">with 95% credible intervals (ESM_4 Table 3); posterior means range from 34.1% (document withholding) to 84.0% (excessive working hours) and substantively replicate the RDS-SS ordering reported in Table 5. (b) Direct comparison of RDS-I and RDS-SS estimators for each indicator with per-method bootstrap 95% CIs (ESM_4 Table 4); RDS-I runs systematically higher than RDS-SS by 5–15 percentage points, consistent with the standard finding that RDS-I is sensitive to seed dependence and performs poorly at the small sample sizes and shallow chain depths characteristic of our design (Section 4.1.1). (c) NSUM under the three discrete adjustment-factor tiers (Unadjusted, Moderate, Conservative; ESM_4 Table 5), presented for direct comparison with the discrete-tier NSUM literature. The substantive headline NSUM result is the continuous-</w:t>
      </w:r>
      <m:oMath>
        <m:r>
          <m:t>τ</m:t>
        </m:r>
      </m:oMath>
      <w:r>
        <w:t xml:space="preserve"> </w:t>
      </w:r>
      <w:r>
        <w:t xml:space="preserve">sweep reported in Section 4.5.</w:t>
      </w:r>
    </w:p>
    <w:bookmarkEnd w:id="47"/>
    <w:bookmarkStart w:id="48" w:name="sensitivity-and-robustness"/>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 Figure 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(Section 4.4) for substantive inference about how visibility assumptions affect estimates.</w:t>
      </w:r>
    </w:p>
    <w:p>
      <w:pPr>
        <w:pStyle w:val="BodyText"/>
      </w:pPr>
      <w:r>
        <w:t xml:space="preserve">Second, the MA-RDS seed-selection sensitivity (ESM_4 Figure 2)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48"/>
    <w:bookmarkEnd w:id="49"/>
    <w:bookmarkStart w:id="56" w:name="discussion"/>
    <w:p>
      <w:pPr>
        <w:pStyle w:val="Heading1"/>
      </w:pPr>
      <w:r>
        <w:t xml:space="preserve">Discussion</w:t>
      </w:r>
    </w:p>
    <w:bookmarkStart w:id="50" w:name="summary-of-findings"/>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0"/>
    <w:bookmarkStart w:id="51" w:name="X2788b92a92d2e36f18c623a6b5a9484c739d36c"/>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(Section 3.4, Table 3). Second, we operationalise modern slavery as a graded latent construct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(Section 4.3) and as a formative additive composite spanning all eleven ILO categories (Section 4.2); (ii) applying RDS and NSUM to the same instrument, exposing the visibility gradient where the two methods diverge (Section 5.3);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(Section 5.6).</w:t>
      </w:r>
    </w:p>
    <w:bookmarkEnd w:id="51"/>
    <w:bookmarkStart w:id="52" w:name="the-rdsnsum-divergence-as-diagnostic"/>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We argue that the apparent</w:t>
      </w:r>
      <w:r>
        <w:t xml:space="preserve"> </w:t>
      </w:r>
      <w:r>
        <w:t xml:space="preserve">“wide range”</w:t>
      </w:r>
      <w:r>
        <w:t xml:space="preserve"> </w:t>
      </w:r>
      <w:r>
        <w:t xml:space="preserve">in fact reflects three conceptually distinct sources of dispersion, each of which carries a different epistemic status; and that on the only one of the three sources where sample size</w:t>
      </w:r>
      <w:r>
        <w:t xml:space="preserve"> </w:t>
      </w:r>
      <w:r>
        <w:t xml:space="preserve">matters, n = 85 is competitive for hidden-population designs and the per-method bootstrap confidence intervals we now report propagate the implied uncertainty honestly.</w:t>
      </w:r>
    </w:p>
    <w:p>
      <w:pPr>
        <w:pStyle w:val="BodyText"/>
      </w:pPr>
      <w:r>
        <w:t xml:space="preserve">The</w:t>
      </w:r>
      <w:r>
        <w:t xml:space="preserve"> </w:t>
      </w:r>
      <w:r>
        <w:t xml:space="preserve">“wide range”</w:t>
      </w:r>
      <w:r>
        <w:t xml:space="preserve"> </w:t>
      </w:r>
      <w:r>
        <w:t xml:space="preserve">concern conflates three distinct sources of dispersion in the reported numbers. We should not treat them as a single undifferentiated band of uncertainty. The first source is</w:t>
      </w:r>
      <w:r>
        <w:t xml:space="preserve"> </w:t>
      </w:r>
      <w:r>
        <w:t xml:space="preserve">across-indicator variation. Within any single method, prevalence varies substantially across the five ILO-aligned indicators — under RDS-SS, from 35.4% for document withholding to 84.2% for</w:t>
      </w:r>
      <w:r>
        <w:t xml:space="preserve"> </w:t>
      </w:r>
      <w:r>
        <w:t xml:space="preserve">excessive working hours, a 49-percentage-point spread. This is a substantive finding, not noise. It tells us that severe forms of coercion (document confiscation, which the ILO classifies as a strong</w:t>
      </w:r>
      <w:r>
        <w:t xml:space="preserve"> </w:t>
      </w:r>
      <w:r>
        <w:t xml:space="preserve">indicator any one of which alone is sufficient to indicate forced labour) are less common in this population than less severe forms of abuse (excessive hours, an ILO medium indicator whose presence</w:t>
      </w:r>
      <w:r>
        <w:t xml:space="preserve"> </w:t>
      </w:r>
      <w:r>
        <w:t xml:space="preserve">individually is suggestive but not definitive). The hierarchy is interpretable, matches the ILO severity gradation, and is reproduced across methods. Collapsing this hierarchy into a single</w:t>
      </w:r>
      <w:r>
        <w:t xml:space="preserve"> </w:t>
      </w:r>
      <w:r>
        <w:t xml:space="preserve">“wide</w:t>
      </w:r>
      <w:r>
        <w:t xml:space="preserve"> </w:t>
      </w:r>
      <w:r>
        <w:t xml:space="preserve">range”</w:t>
      </w:r>
      <w:r>
        <w:t xml:space="preserve"> </w:t>
      </w:r>
      <w:r>
        <w:t xml:space="preserve">headline obscures what is arguably the paper’s most policy-relevant finding: that different exploitation behaviours have meaningfully different population frequencies.</w:t>
      </w:r>
    </w:p>
    <w:p>
      <w:pPr>
        <w:pStyle w:val="BodyText"/>
      </w:pPr>
      <w:r>
        <w:t xml:space="preserve">The second source is across-method variation. For any single indicator, RDS and NSUM estimates differ by roughly an order of magnitude: document withholding sits at 35.4% under RDS-SS but at 1.08%</w:t>
      </w:r>
      <w:r>
        <w:t xml:space="preserve"> </w:t>
      </w:r>
      <w:r>
        <w:t xml:space="preserve">under MBSU Moderate NSUM; excessive hours at 84.2% versus 2.98%. This too is a substantive finding, not noise. It is the visibility gradient diagnostic that lies at the centre of this paper’s</w:t>
      </w:r>
      <w:r>
        <w:t xml:space="preserve"> </w:t>
      </w:r>
      <w:r>
        <w:t xml:space="preserve">contribution: ego-based RDS asks what happened to you, alter-based NSUM asks what you can see happening to others, and the two answer related but different questions for behaviours that occur behind</w:t>
      </w:r>
      <w:r>
        <w:t xml:space="preserve"> </w:t>
      </w:r>
      <w:r>
        <w:t xml:space="preserve">closed doors — almost by definition for domestic work conducted inside a private home. The order-of-magnitude gap between our RDS and NSUM estimates is therefore not a methodological pathology to be reconciled. The gap is consistent with a visibility gradient: some exploitation behaviours are readily observable by peers, whereas others remain concealed within the household. We are cautious not to claim that the gap</w:t>
      </w:r>
      <w:r>
        <w:t xml:space="preserve"> </w:t>
      </w:r>
      <w:r>
        <w:rPr>
          <w:i/>
          <w:iCs/>
        </w:rPr>
        <w:t xml:space="preserve">quantifies</w:t>
      </w:r>
      <w:r>
        <w:t xml:space="preserve"> </w:t>
      </w:r>
      <w:r>
        <w:t xml:space="preserve">visibility, however, because the divergence also reflects differences in estimand (own-experience versus network-visible prevalence, Section 3.4 Table 3), differences in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(Table 5) is the paper’s design choice precisely because the gap is interpretable as diagnostic evidence rather than as a single estimate of a single quantity.</w:t>
      </w:r>
    </w:p>
    <w:p>
      <w:pPr>
        <w:pStyle w:val="BodyText"/>
      </w:pPr>
      <w:r>
        <w:t xml:space="preserve">The third source — and the only one that is irreducibly statistical uncertainty in the conventional sense — is within-method, within-indicator sampling variation. This is what the bootstrap</w:t>
      </w:r>
      <w:r>
        <w:t xml:space="preserve"> </w:t>
      </w:r>
      <w:r>
        <w:t xml:space="preserve">confidence intervals capture, and these are much tighter than the across-indicator and across-method spreads taken together. RDS-SS within-indicator CIs span 21–30 percentage points; MBSU Moderate</w:t>
      </w:r>
      <w:r>
        <w:t xml:space="preserve"> </w:t>
      </w:r>
      <w:r>
        <w:t xml:space="preserve">within-indicator CIs span 1–4 percentage points. A residual component of within-method uncertainty for NSUM specifically comes from the unknown true-positive rate</w:t>
      </w:r>
      <w:r>
        <w:t xml:space="preserve"> </w:t>
      </w:r>
      <m:oMath>
        <m:r>
          <m:t>τ</m:t>
        </m:r>
      </m:oMath>
      <w:r>
        <w:t xml:space="preserve">, which the continuous-</w:t>
      </w:r>
      <m:oMath>
        <m:r>
          <m:t>τ</m:t>
        </m:r>
      </m:oMath>
      <w:r>
        <w:t xml:space="preserve"> </w:t>
      </w:r>
      <w:r>
        <w:t xml:space="preserve">sweep</w:t>
      </w:r>
      <w:r>
        <w:t xml:space="preserve"> </w:t>
      </w:r>
      <w:r>
        <w:t xml:space="preserve">across</w:t>
      </w:r>
      <w:r>
        <w:t xml:space="preserve"> </w:t>
      </w:r>
      <m:oMath>
        <m:r>
          <m:t>τ</m:t>
        </m:r>
        <m:r>
          <m:rPr>
            <m:sty m:val="p"/>
          </m:rPr>
          <m:t>∈</m:t>
        </m:r>
        <m:d>
          <m:dPr>
            <m:begChr m:val="["/>
            <m:sepChr m:val=""/>
            <m:endChr m:val="]"/>
            <m:grow/>
          </m:dPr>
          <m:e>
            <m:r>
              <m:t>0.40</m:t>
            </m:r>
            <m:r>
              <m:rPr>
                <m:sty m:val="p"/>
              </m:rPr>
              <m:t>,</m:t>
            </m:r>
            <m:r>
              <m:t>1.00</m:t>
            </m:r>
          </m:e>
        </m:d>
      </m:oMath>
      <w:r>
        <w:t xml:space="preserve"> </w:t>
      </w:r>
      <w:r>
        <w:t xml:space="preserve">in ESM_4 reports as a sensitivity curve rather than committing to a single point estimate. Sample-size effects operate through this third channel and only this third</w:t>
      </w:r>
      <w:r>
        <w:t xml:space="preserve"> </w:t>
      </w:r>
      <w:r>
        <w:t xml:space="preserve">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concealed by definition: ego/alter ratio 33</w:t>
      </w:r>
      <m:oMath>
        <m:r>
          <m:rPr>
            <m:sty m:val="p"/>
          </m:rPr>
          <m:t>×</m:t>
        </m:r>
      </m:oMath>
      <w:r>
        <w:t xml:space="preserve">) and smaller for more visible indicators (excessive working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 (Feehan and Salganik 2016; Maltiel et al. 2015; Killworth et al. 1998),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survey design also extracts more information per respondent than a household survey, yielding 170 indicator measurements per ILO category once both reports are counted before any network-weighting amplification. Chain depth is shallower than the RDS design envisaged (Section 4.1.1); a longer field period would help in future replications.</w:t>
      </w:r>
    </w:p>
    <w:bookmarkEnd w:id="52"/>
    <w:bookmarkStart w:id="53" w:name="generalisability-and-indicator-coverage"/>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(Section 3.2, Table 1).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Taking the divergence diagnostic, the generalisability qualifications, and the indicator coverage qualifications together, what does this design licence the paper to claim? Not a single point estimate of</w:t>
      </w:r>
      <w:r>
        <w:t xml:space="preserve"> </w:t>
      </w:r>
      <w:r>
        <w:t xml:space="preserve">“the prevalence of forced labour among UK domestic workers”</w:t>
      </w:r>
      <w:r>
        <w:t xml:space="preserve">, because no single point estimate is identified. If RDS over-samples respondents with first-hand experience of exploitation and NSUM systematically under-detects exploitation concealed behind closed doors, then the true population prevalence for any given indicator likely lies somewhere between the two reports — but the location on that interval depends on assumptions about visibility, sampling, and reporting that the data cannot fully pin down. We treat this as an interpretive working hypothesis, not as an identification result. What the design does licence is (a) a credible lower bound for population-level</w:t>
      </w:r>
      <w:r>
        <w:t xml:space="preserve"> </w:t>
      </w:r>
      <w:r>
        <w:t xml:space="preserve">estimates of severe coercion (the MBSU Moderate figures are conservative under any reasonable parameterisation of</w:t>
      </w:r>
      <w:r>
        <w:t xml:space="preserve"> </w:t>
      </w:r>
      <m:oMath>
        <m:r>
          <m:t>τ</m:t>
        </m:r>
      </m:oMath>
      <w:r>
        <w:t xml:space="preserve">); (b) a credible characterisation of relative incidence among respondents from the</w:t>
      </w:r>
      <w:r>
        <w:t xml:space="preserve"> </w:t>
      </w:r>
      <w:r>
        <w:t xml:space="preserve">RDS estimates, and of the indicator severity hierarchy from the cross-method robustness; and (c) a diagnostic of which exploitation behaviours are visible to other workers and which are not — a</w:t>
      </w:r>
      <w:r>
        <w:t xml:space="preserve"> </w:t>
      </w:r>
      <w:r>
        <w:t xml:space="preserve">finding with direct implications for the design of network-mediated outreach interventions (Section 5.6).</w:t>
      </w:r>
    </w:p>
    <w:bookmarkEnd w:id="53"/>
    <w:bookmarkStart w:id="54" w:name="X7cfe89d2c2dbb56e2d8092e5c37d07fcc8f810a"/>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 Section 3.2 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54"/>
    <w:bookmarkStart w:id="55" w:name="X49bc293ded7a49c7a045eef24ecd674881859d7"/>
    <w:p>
      <w:pPr>
        <w:pStyle w:val="Heading2"/>
      </w:pPr>
      <w:r>
        <w:t xml:space="preserve">5.6 Policy Implications and SDG 8.7 Monitoring</w:t>
      </w:r>
    </w:p>
    <w:p>
      <w:pPr>
        <w:pStyle w:val="FirstParagraph"/>
      </w:pPr>
      <w:r>
        <w:t xml:space="preserve">The dual RDS–NSUM design and the visibility-gradient diagnostic developed here are themselves policy-useful outputs for SDG 8.7 monitoring. Target 8.7 of the Sustainable Development Goals commits</w:t>
      </w:r>
      <w:r>
        <w:t xml:space="preserve"> </w:t>
      </w:r>
      <w:r>
        <w:t xml:space="preserve">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population-level prevalence</w:t>
      </w:r>
      <w:r>
        <w:t xml:space="preserve"> </w:t>
      </w:r>
      <w:r>
        <w:t xml:space="preserve">estimation for populations that are largely invisible to official statistics. The methodology demonstrated in this paper — matched ego-alter instruments fielded through civil-society partnerships,</w:t>
      </w:r>
      <w:r>
        <w:t xml:space="preserve"> </w:t>
      </w:r>
      <w:r>
        <w:t xml:space="preserve">estimated with parallel RDS and NSUM frameworks, and reported with explicit visibility-adjustment sensitivity — is replicable for other hidden populations relevant to 8.7 monitoring (undocumented</w:t>
      </w:r>
      <w:r>
        <w:t xml:space="preserve"> </w:t>
      </w:r>
      <w:r>
        <w:t xml:space="preserve">agricultural workers, sex workers, day labourers in informal construction, kafala-system migrants in Gulf-state economies). The specific numerical estimates in this paper apply only to the UK migrant</w:t>
      </w:r>
      <w:r>
        <w:t xml:space="preserve"> </w:t>
      </w:r>
      <w:r>
        <w:t xml:space="preserve">domestic worker case; the design is the contribution to the broader SDG monitoring effort.</w:t>
      </w:r>
    </w:p>
    <w:p>
      <w:pPr>
        <w:pStyle w:val="BodyText"/>
      </w:pPr>
      <w:r>
        <w:t xml:space="preserve">The visibility-gradient diagnostic developed in this paper adds a further policy dimension. Programmes designed to identify and intervene in cases of exploitation typically operate through</w:t>
      </w:r>
      <w:r>
        <w:t xml:space="preserve"> </w:t>
      </w:r>
      <w:r>
        <w:t xml:space="preserve">network-mediated outreach: peer-to-peer referral, civil-society partnership, and warm-handover models. Such programmes can only reach exploitation behaviours that are visible across network ties. Our</w:t>
      </w:r>
      <w:r>
        <w:t xml:space="preserve"> </w:t>
      </w:r>
      <w:r>
        <w:t xml:space="preserve">findings suggest that excessive working hours (with a comparatively small ego–alter gap) is well-suited to network-mediated identification, whereas document withholding (with the largest ego–alter</w:t>
      </w:r>
      <w:r>
        <w:t xml:space="preserve"> </w:t>
      </w:r>
      <w:r>
        <w:t xml:space="preserve">gap in our sample) is largely invisible across network ties and will require different intervention designs — embassy-level or institutional intake screening rather than peer outreach. The</w:t>
      </w:r>
      <w:r>
        <w:t xml:space="preserve"> </w:t>
      </w:r>
      <w:r>
        <w:t xml:space="preserve">dual-method design therefore not only estimates prevalence but also helps programme designers calibrate their identification strategy to the visibility profile of the specific exploitation behaviour</w:t>
      </w:r>
      <w:r>
        <w:t xml:space="preserve"> </w:t>
      </w:r>
      <w:r>
        <w:t xml:space="preserve">they aim to address.</w:t>
      </w:r>
    </w:p>
    <w:p>
      <w:pPr>
        <w:pStyle w:val="BodyText"/>
      </w:pPr>
      <w:r>
        <w:t xml:space="preserve">Future work in this programme of research should extend the methodology to web-RDS implementations capable of reaching larger and more dispersed samples, and explore integration with administrative</w:t>
      </w:r>
      <w:r>
        <w:t xml:space="preserve"> </w:t>
      </w:r>
      <w:r>
        <w:t xml:space="preserve">data sources (NRM referrals, immigration enforcement data subject to firewall safeguards, employment-tribunal records) for triangulating prevalence estimates against complementary data streams. The</w:t>
      </w:r>
      <w:r>
        <w:t xml:space="preserve"> </w:t>
      </w:r>
      <w:r>
        <w:t xml:space="preserve">methodology presented here is one component of a broader monitoring architecture for SDG 8.7 reporting; integration with that broader architecture is left for future work.</w:t>
      </w:r>
    </w:p>
    <w:bookmarkEnd w:id="55"/>
    <w:bookmarkEnd w:id="56"/>
    <w:bookmarkStart w:id="57" w:name="conclusion"/>
    <w:p>
      <w:pPr>
        <w:pStyle w:val="Heading1"/>
      </w:pPr>
      <w:r>
        <w:t xml:space="preserve">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latent construct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(Section 5.3). The policy implication is that network-mediated outreach can credibly reach exploitation behaviours visible across ties but requires complementary designs for those that are not (Section 5.6).</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57"/>
    <w:bookmarkStart w:id="58" w:name="declarations"/>
    <w:p>
      <w:pPr>
        <w:pStyle w:val="Heading1"/>
      </w:pPr>
      <w:r>
        <w:t xml:space="preserve">Declarations</w:t>
      </w:r>
    </w:p>
    <w:p>
      <w:pPr>
        <w:pStyle w:val="FirstParagraph"/>
      </w:pPr>
      <w:r>
        <w:rPr>
          <w:b/>
          <w:bCs/>
        </w:rPr>
        <w:t xml:space="preserve">Funding.</w:t>
      </w:r>
      <w:r>
        <w:t xml:space="preserve"> </w:t>
      </w:r>
      <w:r>
        <w:t xml:space="preserve">[To be completed: funding sources, grant numbers, or</w:t>
      </w:r>
      <w:r>
        <w:t xml:space="preserve"> </w:t>
      </w:r>
      <w:r>
        <w:t xml:space="preserve">“The authors received no specific funding for this work.”</w:t>
      </w:r>
      <w:r>
        <w:t xml:space="preserve">]</w:t>
      </w:r>
    </w:p>
    <w:p>
      <w:pPr>
        <w:pStyle w:val="BodyText"/>
      </w:pPr>
      <w:r>
        <w:rPr>
          <w:b/>
          <w:bCs/>
        </w:rPr>
        <w:t xml:space="preserve">Competing interests.</w:t>
      </w:r>
      <w:r>
        <w:t xml:space="preserve"> </w:t>
      </w:r>
      <w:r>
        <w:t xml:space="preserve">[To be completed: disclose any competing financial or non-financial interests, or</w:t>
      </w:r>
      <w:r>
        <w:t xml:space="preserve"> </w:t>
      </w:r>
      <w:r>
        <w:t xml:space="preserve">“The authors have no competing interests to declare.”</w:t>
      </w:r>
      <w:r>
        <w:t xml:space="preserve">]</w:t>
      </w:r>
    </w:p>
    <w:p>
      <w:pPr>
        <w:pStyle w:val="BodyText"/>
      </w:pPr>
      <w:r>
        <w:rPr>
          <w:b/>
          <w:bCs/>
        </w:rPr>
        <w:t xml:space="preserve">Ethics approval and consent to participate.</w:t>
      </w:r>
      <w:r>
        <w:t xml:space="preserve"> </w:t>
      </w:r>
      <w:r>
        <w:t xml:space="preserve">[To be completed: ethics committee name and reference number, consent procedures. Note: the manuscript currently refers to</w:t>
      </w:r>
      <w:r>
        <w:t xml:space="preserve"> </w:t>
      </w:r>
      <w:r>
        <w:t xml:space="preserve">“the lead author’s School Research Ethics Committee”</w:t>
      </w:r>
      <w:r>
        <w:t xml:space="preserve"> </w:t>
      </w:r>
      <w:r>
        <w:t xml:space="preserve">in Section 3 — this language requires anonymisation for double-anonymous review.]</w:t>
      </w:r>
    </w:p>
    <w:p>
      <w:pPr>
        <w:pStyle w:val="BodyText"/>
      </w:pPr>
      <w:r>
        <w:rPr>
          <w:b/>
          <w:bCs/>
        </w:rPr>
        <w:t xml:space="preserve">Data availability.</w:t>
      </w:r>
      <w:r>
        <w:t xml:space="preserve"> </w:t>
      </w:r>
      <w:r>
        <w:t xml:space="preserve">Anonymised respondent-level data and all analysis code are available at the project’s Open Science Framework mirror: [OSF URL to be inserted on submission].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[To be completed.]</w:t>
      </w:r>
    </w:p>
    <w:bookmarkEnd w:id="58"/>
    <w:bookmarkStart w:id="59" w:name="references"/>
    <w:p>
      <w:pPr>
        <w:pStyle w:val="Heading1"/>
      </w:pPr>
      <w:r>
        <w:t xml:space="preserve">References</w:t>
      </w:r>
    </w:p>
    <w:bookmarkEnd w:id="59"/>
    <w:bookmarkStart w:id="60" w:name="X814277dd75f70850bccf9de736a13664d4469f9"/>
    <w:p>
      <w:pPr>
        <w:pStyle w:val="Heading1"/>
      </w:pPr>
      <w:r>
        <w:t xml:space="preserve">Abdul-Quader, A.S.</w:t>
      </w:r>
      <w:r>
        <w:t xml:space="preserve"> </w:t>
      </w:r>
      <w:r>
        <w:rPr>
          <w:i/>
          <w:iCs/>
        </w:rPr>
        <w:t xml:space="preserve">et al.</w:t>
      </w:r>
      <w:r>
        <w:t xml:space="preserve"> </w:t>
      </w:r>
      <w:r>
        <w:t xml:space="preserve">(2006)</w:t>
      </w:r>
      <w:r>
        <w:t xml:space="preserve"> </w:t>
      </w:r>
      <w:r>
        <w:t xml:space="preserve">‘Effectiveness of respondent-driven sampling for recruiting drug users in New York City: findings from a pilot study’</w:t>
      </w:r>
      <w:r>
        <w:t xml:space="preserve">,</w:t>
      </w:r>
      <w:r>
        <w:t xml:space="preserve"> </w:t>
      </w:r>
      <w:r>
        <w:rPr>
          <w:i/>
          <w:iCs/>
        </w:rPr>
        <w:t xml:space="preserve">Journal of Urban Health</w:t>
      </w:r>
      <w:r>
        <w:t xml:space="preserve">, 83(3), pp. 459–76.Alberti, G. and Cutter, J. (2022)</w:t>
      </w:r>
      <w:r>
        <w:t xml:space="preserve"> </w:t>
      </w:r>
      <w:r>
        <w:t xml:space="preserve">‘Labour migration policy post-Brexit: The contested meaning of regulation by old and new actors’</w:t>
      </w:r>
      <w:r>
        <w:t xml:space="preserve">,</w:t>
      </w:r>
      <w:r>
        <w:t xml:space="preserve"> </w:t>
      </w:r>
      <w:r>
        <w:rPr>
          <w:i/>
          <w:iCs/>
        </w:rPr>
        <w:t xml:space="preserve">Industrial Relations Journal</w:t>
      </w:r>
      <w:r>
        <w:t xml:space="preserve">, 53(5), pp. 430–445. Available at: https://doi.org/10.1111/irj.12382.Alberti, G. and Però, D. (2018)</w:t>
      </w:r>
      <w:r>
        <w:t xml:space="preserve"> </w:t>
      </w:r>
      <w:r>
        <w:t xml:space="preserve">‘Migrating Industrial Relations: Migrant Workers’</w:t>
      </w:r>
      <w:r>
        <w:t xml:space="preserve"> </w:t>
      </w:r>
      <w:r>
        <w:t xml:space="preserve">Initiative Within and Outside Trade Unions’,</w:t>
      </w:r>
      <w:r>
        <w:t xml:space="preserve"> </w:t>
      </w:r>
      <w:r>
        <w:rPr>
          <w:i/>
          <w:iCs/>
        </w:rPr>
        <w:t xml:space="preserve">British Journal of Industrial Relations</w:t>
      </w:r>
      <w:r>
        <w:t xml:space="preserve">, 56(4), pp. 693–715. Available at: https://doi.org/10.1111/bjir.12308.Benstead, A.V., Hendry, L.C. and Stevenson, M. (2018)</w:t>
      </w:r>
      <w:r>
        <w:t xml:space="preserve"> </w:t>
      </w:r>
      <w:r>
        <w:t xml:space="preserve">‘Horizontal collaboration in response to modern slavery legislation: An action research project’</w:t>
      </w:r>
      <w:r>
        <w:t xml:space="preserve">,</w:t>
      </w:r>
      <w:r>
        <w:t xml:space="preserve"> </w:t>
      </w:r>
      <w:r>
        <w:rPr>
          <w:i/>
          <w:iCs/>
        </w:rPr>
        <w:t xml:space="preserve">International Journal of Operations &amp; Production Management</w:t>
      </w:r>
      <w:r>
        <w:t xml:space="preserve">, 38(12), pp. 2286–2312. Available at: https://doi.org/10.1108/IJOPM-10-2017-0611.Bernhardt, A., Milkman, R.T., and N. (2009)</w:t>
      </w:r>
      <w:r>
        <w:t xml:space="preserve"> </w:t>
      </w:r>
      <w:r>
        <w:rPr>
          <w:i/>
          <w:iCs/>
        </w:rPr>
        <w:t xml:space="preserve">Broken laws, unprotected workers: Violations of employment and labor laws in america’s cities</w:t>
      </w:r>
      <w:r>
        <w:t xml:space="preserve">. UCLA IRLE Report.Brown, J.S., Schonfeld, T.L. and Gordon, B.G. (2006)</w:t>
      </w:r>
      <w:r>
        <w:t xml:space="preserve"> </w:t>
      </w:r>
      <w:r>
        <w:t xml:space="preserve">‘You may have already won…“: An examination of the use of lottery payments in research’</w:t>
      </w:r>
      <w:r>
        <w:t xml:space="preserve">,</w:t>
      </w:r>
      <w:r>
        <w:t xml:space="preserve"> </w:t>
      </w:r>
      <w:r>
        <w:rPr>
          <w:i/>
          <w:iCs/>
        </w:rPr>
        <w:t xml:space="preserve">IRB: Ethics &amp; Human Research</w:t>
      </w:r>
      <w:r>
        <w:t xml:space="preserve">, 28(1), pp. 12–16.Brunovskis, A. and Surtees, R. (2010)</w:t>
      </w:r>
      <w:r>
        <w:t xml:space="preserve"> </w:t>
      </w:r>
      <w:r>
        <w:t xml:space="preserve">‘Untold stories: biases and selection effects in research with victims of trafficking for sexual exploitation’</w:t>
      </w:r>
      <w:r>
        <w:t xml:space="preserve">,</w:t>
      </w:r>
      <w:r>
        <w:t xml:space="preserve"> </w:t>
      </w:r>
      <w:r>
        <w:rPr>
          <w:i/>
          <w:iCs/>
        </w:rPr>
        <w:t xml:space="preserve">International Migration</w:t>
      </w:r>
      <w:r>
        <w:t xml:space="preserve">, 48(4), pp. 1–37.Cobanoglu, C. and Cobanoglu, N. (2003)</w:t>
      </w:r>
      <w:r>
        <w:t xml:space="preserve"> </w:t>
      </w:r>
      <w:r>
        <w:t xml:space="preserve">‘The effect of incentives in web surveys: application and ethical considerations’</w:t>
      </w:r>
      <w:r>
        <w:t xml:space="preserve">,</w:t>
      </w:r>
      <w:r>
        <w:t xml:space="preserve"> </w:t>
      </w:r>
      <w:r>
        <w:rPr>
          <w:i/>
          <w:iCs/>
        </w:rPr>
        <w:t xml:space="preserve">International Journal of Market Research</w:t>
      </w:r>
      <w:r>
        <w:t xml:space="preserve">, 45(4), pp. 1–13.DeJong, J.</w:t>
      </w:r>
      <w:r>
        <w:t xml:space="preserve"> </w:t>
      </w:r>
      <w:r>
        <w:rPr>
          <w:i/>
          <w:iCs/>
        </w:rPr>
        <w:t xml:space="preserve">et al.</w:t>
      </w:r>
      <w:r>
        <w:t xml:space="preserve"> </w:t>
      </w:r>
      <w:r>
        <w:t xml:space="preserve">(2009)</w:t>
      </w:r>
      <w:r>
        <w:t xml:space="preserve"> </w:t>
      </w:r>
      <w:r>
        <w:t xml:space="preserve">‘Ethical considerations in HIV/AIDS biobehavioral surveys that use respondent-driven sampling: illustrations from Lebanon’</w:t>
      </w:r>
      <w:r>
        <w:t xml:space="preserve">,</w:t>
      </w:r>
      <w:r>
        <w:t xml:space="preserve"> </w:t>
      </w:r>
      <w:r>
        <w:rPr>
          <w:i/>
          <w:iCs/>
        </w:rPr>
        <w:t xml:space="preserve">American Journal of Public Health</w:t>
      </w:r>
      <w:r>
        <w:t xml:space="preserve">, 99(9), pp. 1562–1567.European Commission (2012)</w:t>
      </w:r>
      <w:r>
        <w:t xml:space="preserve"> </w:t>
      </w:r>
      <w:r>
        <w:t xml:space="preserve">‘Staff Working Docuemnt on exploitating the employment potential of the personal and household services, SWD (2012) final’</w:t>
      </w:r>
      <w:r>
        <w:t xml:space="preserve">.European Union for Fundamental Rights (2015)</w:t>
      </w:r>
      <w:r>
        <w:t xml:space="preserve"> </w:t>
      </w:r>
      <w:r>
        <w:t xml:space="preserve">‘Severe labour exploitation: workers moving within or into the European Union’</w:t>
      </w:r>
      <w:r>
        <w:t xml:space="preserve">. Available at: https://doi.org/10.1163/2210-7975_HRD-9992-2016018.Feehan, D.M. and Salganick, M.J. (2016)</w:t>
      </w:r>
      <w:r>
        <w:t xml:space="preserve"> </w:t>
      </w:r>
      <w:r>
        <w:rPr>
          <w:i/>
          <w:iCs/>
        </w:rPr>
        <w:t xml:space="preserve">Generalizing the Network Scale-up Method: A New Estimator for the Size of Hidden Populations - Dennis M. Feehan, Matthew J. Salganik, 2016</w:t>
      </w:r>
      <w:r>
        <w:t xml:space="preserve">. Available at: https://journals.sagepub.com/doi/10.1177/0081175016665425 (Accessed: 12 March 2024).Gajic, A., Cameron, D. and Hurley, J. (2012)</w:t>
      </w:r>
      <w:r>
        <w:t xml:space="preserve"> </w:t>
      </w:r>
      <w:r>
        <w:t xml:space="preserve">‘The cost-effectiveness of cash versus lottery incentives for a web-based, stated-preference community survey’</w:t>
      </w:r>
      <w:r>
        <w:t xml:space="preserve">,</w:t>
      </w:r>
      <w:r>
        <w:t xml:space="preserve"> </w:t>
      </w:r>
      <w:r>
        <w:rPr>
          <w:i/>
          <w:iCs/>
        </w:rPr>
        <w:t xml:space="preserve">The European Journal of Health Economics</w:t>
      </w:r>
      <w:r>
        <w:t xml:space="preserve">, 13(6), pp. 789–799.Gile, K.J. (2011)</w:t>
      </w:r>
      <w:r>
        <w:t xml:space="preserve"> </w:t>
      </w:r>
      <w:r>
        <w:t xml:space="preserve">‘Improved Inference for Respondent-Driven Sampling Data With Application to HIV Prevalence Estimation’</w:t>
      </w:r>
      <w:r>
        <w:t xml:space="preserve">,</w:t>
      </w:r>
      <w:r>
        <w:t xml:space="preserve"> </w:t>
      </w:r>
      <w:r>
        <w:rPr>
          <w:i/>
          <w:iCs/>
        </w:rPr>
        <w:t xml:space="preserve">Journal of the American Statistical Association</w:t>
      </w:r>
      <w:r>
        <w:t xml:space="preserve">, 106(493), pp. 135–146. Available at: https://doi.org/10.1198/jasa.2011.ap09475.Gile, K.J.</w:t>
      </w:r>
      <w:r>
        <w:t xml:space="preserve"> </w:t>
      </w:r>
      <w:r>
        <w:rPr>
          <w:i/>
          <w:iCs/>
        </w:rPr>
        <w:t xml:space="preserve">et al.</w:t>
      </w:r>
      <w:r>
        <w:t xml:space="preserve"> </w:t>
      </w:r>
      <w:r>
        <w:t xml:space="preserve">(2018)</w:t>
      </w:r>
      <w:r>
        <w:t xml:space="preserve"> </w:t>
      </w:r>
      <w:r>
        <w:t xml:space="preserve">‘Methods for inference from respondent-driven sampling data’</w:t>
      </w:r>
      <w:r>
        <w:t xml:space="preserve">,</w:t>
      </w:r>
      <w:r>
        <w:t xml:space="preserve"> </w:t>
      </w:r>
      <w:r>
        <w:rPr>
          <w:i/>
          <w:iCs/>
        </w:rPr>
        <w:t xml:space="preserve">Annual Review of Statistics and Its Application</w:t>
      </w:r>
      <w:r>
        <w:t xml:space="preserve">, 5(1), pp. 65–93. Available at: https://doi.org/10.1146/annurev-statistics-031017-100704.Gile, K.J. and Handcock, M.S. (2010)</w:t>
      </w:r>
      <w:r>
        <w:t xml:space="preserve"> </w:t>
      </w:r>
      <w:r>
        <w:t xml:space="preserve">‘Respondent-Driven Sampling: An Assessment of Current Methodology’</w:t>
      </w:r>
      <w:r>
        <w:t xml:space="preserve">,</w:t>
      </w:r>
      <w:r>
        <w:t xml:space="preserve"> </w:t>
      </w:r>
      <w:r>
        <w:rPr>
          <w:i/>
          <w:iCs/>
        </w:rPr>
        <w:t xml:space="preserve">Sociological Methodology</w:t>
      </w:r>
      <w:r>
        <w:t xml:space="preserve">, 40(1), pp. 285–327. Available at: https://doi.org/10.1111/j.1467-9531.2010.01223.x.Gile, K.J. and Handcock, M.S. (2015)</w:t>
      </w:r>
      <w:r>
        <w:t xml:space="preserve"> </w:t>
      </w:r>
      <w:r>
        <w:t xml:space="preserve">‘Network Model-Assisted Inference from Respondent-Driven Sampling Data’</w:t>
      </w:r>
      <w:r>
        <w:t xml:space="preserve">,</w:t>
      </w:r>
      <w:r>
        <w:t xml:space="preserve"> </w:t>
      </w:r>
      <w:r>
        <w:rPr>
          <w:i/>
          <w:iCs/>
        </w:rPr>
        <w:t xml:space="preserve">Journal of the Royal Statistical Society. Series A, (Statistics in Society)</w:t>
      </w:r>
      <w:r>
        <w:t xml:space="preserve">, 178(3), pp. 619–639. Available at: https://doi.org/10.1111/rssa.12091.Goel, S. and Salganik, M.J. (2010)</w:t>
      </w:r>
      <w:r>
        <w:t xml:space="preserve"> </w:t>
      </w:r>
      <w:r>
        <w:t xml:space="preserve">‘Assessing respondent-driven sampling’</w:t>
      </w:r>
      <w:r>
        <w:t xml:space="preserve">,</w:t>
      </w:r>
      <w:r>
        <w:t xml:space="preserve"> </w:t>
      </w:r>
      <w:r>
        <w:rPr>
          <w:i/>
          <w:iCs/>
        </w:rPr>
        <w:t xml:space="preserve">Proceedings of the National Academy of Sciences</w:t>
      </w:r>
      <w:r>
        <w:t xml:space="preserve">, 107(15), pp. 6743–6747. Available at: https://doi.org/10.1073/pnas.1000261107.Gold, S., Trautrims, A. and Trodd, Z. (2015)</w:t>
      </w:r>
      <w:r>
        <w:t xml:space="preserve"> </w:t>
      </w:r>
      <w:r>
        <w:t xml:space="preserve">‘Modern slavery challenges to supply chain management’</w:t>
      </w:r>
      <w:r>
        <w:t xml:space="preserve">,</w:t>
      </w:r>
      <w:r>
        <w:t xml:space="preserve"> </w:t>
      </w:r>
      <w:r>
        <w:rPr>
          <w:i/>
          <w:iCs/>
        </w:rPr>
        <w:t xml:space="preserve">Supply Chain Management: An International Journal</w:t>
      </w:r>
      <w:r>
        <w:t xml:space="preserve">, 20(5), pp. 485–494. Available at: https://doi.org/10.1108/SCM-02-2015-0046.Gower, M. (2016)</w:t>
      </w:r>
      <w:r>
        <w:t xml:space="preserve"> </w:t>
      </w:r>
      <w:r>
        <w:t xml:space="preserve">‘Calls to change overseas domestic worker visa conditions’</w:t>
      </w:r>
      <w:r>
        <w:t xml:space="preserve">. Available at: https://researchbriefings.files.parliament.uk/documents/SN04786/SN04786.pdf.Handcock, M.S., Gile, K.J. and Mar, C.M. (2014)</w:t>
      </w:r>
      <w:r>
        <w:t xml:space="preserve"> </w:t>
      </w:r>
      <w:r>
        <w:t xml:space="preserve">‘Estimating hidden population size using Respondent-Driven Sampling data’</w:t>
      </w:r>
      <w:r>
        <w:t xml:space="preserve">,</w:t>
      </w:r>
      <w:r>
        <w:t xml:space="preserve"> </w:t>
      </w:r>
      <w:r>
        <w:rPr>
          <w:i/>
          <w:iCs/>
        </w:rPr>
        <w:t xml:space="preserve">Electronic Journal of Statistics</w:t>
      </w:r>
      <w:r>
        <w:t xml:space="preserve">, 8(1), pp. 1491–1521. Available at: https://doi.org/10.1214/14-EJS923.Heckathorn, D.D. (1997)</w:t>
      </w:r>
      <w:r>
        <w:t xml:space="preserve"> </w:t>
      </w:r>
      <w:r>
        <w:t xml:space="preserve">‘Respondent-Driven Sampling: A New Approach to the Study of Hidden Populations’</w:t>
      </w:r>
      <w:r>
        <w:t xml:space="preserve">,</w:t>
      </w:r>
      <w:r>
        <w:t xml:space="preserve"> </w:t>
      </w:r>
      <w:r>
        <w:rPr>
          <w:i/>
          <w:iCs/>
        </w:rPr>
        <w:t xml:space="preserve">Social Problems</w:t>
      </w:r>
      <w:r>
        <w:t xml:space="preserve">, 44(2), pp. 174–199. Available at: https://doi.org/10.2307/3096941.Heckathorn, D.D. (2011)</w:t>
      </w:r>
      <w:r>
        <w:t xml:space="preserve"> </w:t>
      </w:r>
      <w:r>
        <w:t xml:space="preserve">‘Comment: Snowball versus respondent-driven sampling’</w:t>
      </w:r>
      <w:r>
        <w:t xml:space="preserve">,</w:t>
      </w:r>
      <w:r>
        <w:t xml:space="preserve"> </w:t>
      </w:r>
      <w:r>
        <w:rPr>
          <w:i/>
          <w:iCs/>
        </w:rPr>
        <w:t xml:space="preserve">Sociological Methodology</w:t>
      </w:r>
      <w:r>
        <w:t xml:space="preserve">, 41(1), pp. 355–366.Hickman, S.</w:t>
      </w:r>
      <w:r>
        <w:t xml:space="preserve"> </w:t>
      </w:r>
      <w:r>
        <w:rPr>
          <w:i/>
          <w:iCs/>
        </w:rPr>
        <w:t xml:space="preserve">et al.</w:t>
      </w:r>
      <w:r>
        <w:t xml:space="preserve"> </w:t>
      </w:r>
      <w:r>
        <w:t xml:space="preserve">(2025)</w:t>
      </w:r>
      <w:r>
        <w:t xml:space="preserve"> </w:t>
      </w:r>
      <w:r>
        <w:rPr>
          <w:i/>
          <w:iCs/>
        </w:rPr>
        <w:t xml:space="preserve">Human Trafficking Prevalence Estimation Feasibility Study | Bureau of Justice Statistics</w:t>
      </w:r>
      <w:r>
        <w:t xml:space="preserve">. Available at: https://bjs.ojp.gov/library/publications/human-trafficking-prevalence-estimation-feasibility-study (Accessed: 19 December 2025).Home Office (2023)</w:t>
      </w:r>
      <w:r>
        <w:t xml:space="preserve"> </w:t>
      </w:r>
      <w:r>
        <w:t xml:space="preserve">‘Why do people come to the UK to work?’</w:t>
      </w:r>
      <w:r>
        <w:t xml:space="preserve"> </w:t>
      </w:r>
      <w:r>
        <w:t xml:space="preserve">Available at: https://www.gov.uk/government/statistics/immigration-system-statistics-year-ending-june-2023/why-do-people-come-to-the-uk-to-work.ILO (2011)</w:t>
      </w:r>
      <w:r>
        <w:t xml:space="preserve"> </w:t>
      </w:r>
      <w:r>
        <w:rPr>
          <w:i/>
          <w:iCs/>
        </w:rPr>
        <w:t xml:space="preserve">C189 - Domestic Workers Convention, 2011 (No. 189)</w:t>
      </w:r>
      <w:r>
        <w:t xml:space="preserve">. Available at: https://normlex.ilo.org/dyn/nrmlx_en/f?p=NORMLEXPUB:55:0::NO::P55_TYPE%2CP55_LANG%2CP55_DOCUMENT%2CP55_NODE:SUP%2Cen%2CC189%2C%2FDocument (Accessed: 19 December 2025).I.L.O. (2012)</w:t>
      </w:r>
      <w:r>
        <w:t xml:space="preserve"> </w:t>
      </w:r>
      <w:r>
        <w:t xml:space="preserve">‘ILO indicators of forced labour’</w:t>
      </w:r>
      <w:r>
        <w:t xml:space="preserve">. Available at: https://www.ilo.org/global/topics/forced-labour/publications/WCMS_203832/lang--en/index.htm.IST Research and University of California, Los Angeles (2020)</w:t>
      </w:r>
      <w:r>
        <w:t xml:space="preserve"> </w:t>
      </w:r>
      <w:r>
        <w:rPr>
          <w:i/>
          <w:iCs/>
        </w:rPr>
        <w:t xml:space="preserve">Estimating the Prevalence of Child Sex Trafficking in Mahashtra, India</w:t>
      </w:r>
      <w:r>
        <w:t xml:space="preserve">. Technical Report. Global Fund to End Modern Slavery.Jordan, L.</w:t>
      </w:r>
      <w:r>
        <w:t xml:space="preserve"> </w:t>
      </w:r>
      <w:r>
        <w:rPr>
          <w:i/>
          <w:iCs/>
        </w:rPr>
        <w:t xml:space="preserve">et al.</w:t>
      </w:r>
      <w:r>
        <w:t xml:space="preserve"> </w:t>
      </w:r>
      <w:r>
        <w:t xml:space="preserve">(2020)</w:t>
      </w:r>
      <w:r>
        <w:t xml:space="preserve"> </w:t>
      </w:r>
      <w:r>
        <w:t xml:space="preserve">‘Overcoming methodological challenges in prevalence studies in developing contexts with vulnerable children’</w:t>
      </w:r>
      <w:r>
        <w:t xml:space="preserve">,</w:t>
      </w:r>
      <w:r>
        <w:t xml:space="preserve"> </w:t>
      </w:r>
      <w:r>
        <w:rPr>
          <w:i/>
          <w:iCs/>
        </w:rPr>
        <w:t xml:space="preserve">International Social Work</w:t>
      </w:r>
      <w:r>
        <w:t xml:space="preserve">, 63(3), pp. 371–385.Kalayaan (2008)</w:t>
      </w:r>
      <w:r>
        <w:t xml:space="preserve"> </w:t>
      </w:r>
      <w:r>
        <w:t xml:space="preserve">‘The new bonded labour?’</w:t>
      </w:r>
      <w:r>
        <w:t xml:space="preserve"> </w:t>
      </w:r>
      <w:r>
        <w:t xml:space="preserve">Available at: http://www.kalayaan.org.uk/documents/Kalayaan%20Oxfam%20report.pdf.Laguilles, J.S., Williams, E.A. and Saunders, D.B. (2011)</w:t>
      </w:r>
      <w:r>
        <w:t xml:space="preserve"> </w:t>
      </w:r>
      <w:r>
        <w:t xml:space="preserve">‘Can lottery incentives boost web survey response rates? Findings from four experiments’</w:t>
      </w:r>
      <w:r>
        <w:t xml:space="preserve">,</w:t>
      </w:r>
      <w:r>
        <w:t xml:space="preserve"> </w:t>
      </w:r>
      <w:r>
        <w:rPr>
          <w:i/>
          <w:iCs/>
        </w:rPr>
        <w:t xml:space="preserve">Research in Higher Education</w:t>
      </w:r>
      <w:r>
        <w:t xml:space="preserve">, 52(5), pp. 537–553.Latin American Women’s Rights Service (2023)</w:t>
      </w:r>
      <w:r>
        <w:t xml:space="preserve"> </w:t>
      </w:r>
      <w:r>
        <w:t xml:space="preserve">‘Behind closed doors: Experiences of Latin American domestic workers in the UK’</w:t>
      </w:r>
      <w:r>
        <w:t xml:space="preserve">. Available at: https://lawrs.org.uk/wp-content/uploads/2023/08/Behind-closed-doors_domestic_work.pdf.Manoudi, A.</w:t>
      </w:r>
      <w:r>
        <w:t xml:space="preserve"> </w:t>
      </w:r>
      <w:r>
        <w:rPr>
          <w:i/>
          <w:iCs/>
        </w:rPr>
        <w:t xml:space="preserve">et al.</w:t>
      </w:r>
      <w:r>
        <w:t xml:space="preserve"> </w:t>
      </w:r>
      <w:r>
        <w:t xml:space="preserve">(2018)</w:t>
      </w:r>
      <w:r>
        <w:t xml:space="preserve"> </w:t>
      </w:r>
      <w:r>
        <w:rPr>
          <w:i/>
          <w:iCs/>
        </w:rPr>
        <w:t xml:space="preserve">An analysis of Personal and Household Services to support work life balance for working parents and carers - Google Search</w:t>
      </w:r>
      <w:r>
        <w:t xml:space="preserve">.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2024).Mantouvalou, V. (2016)</w:t>
      </w:r>
      <w:r>
        <w:t xml:space="preserve"> </w:t>
      </w:r>
      <w:r>
        <w:t xml:space="preserve">‘Modern slavery? The UK visa system and the exploitation of migrant domestic workers’</w:t>
      </w:r>
      <w:r>
        <w:t xml:space="preserve">, in</w:t>
      </w:r>
      <w:r>
        <w:t xml:space="preserve"> </w:t>
      </w:r>
      <w:r>
        <w:rPr>
          <w:i/>
          <w:iCs/>
        </w:rPr>
        <w:t xml:space="preserve">British politics and policy at LSE</w:t>
      </w:r>
      <w:r>
        <w:t xml:space="preserve">. Available at: https://blogs.lse.ac.uk/politicsandpolicy/exploitation-of-migrant-domestic-workers-in-the-uk/.McCreesh, N.</w:t>
      </w:r>
      <w:r>
        <w:t xml:space="preserve"> </w:t>
      </w:r>
      <w:r>
        <w:rPr>
          <w:i/>
          <w:iCs/>
        </w:rPr>
        <w:t xml:space="preserve">et al.</w:t>
      </w:r>
      <w:r>
        <w:t xml:space="preserve"> </w:t>
      </w:r>
      <w:r>
        <w:t xml:space="preserve">(2012)</w:t>
      </w:r>
      <w:r>
        <w:t xml:space="preserve"> </w:t>
      </w:r>
      <w:r>
        <w:t xml:space="preserve">‘Evaluation of respondent-driven sampling’</w:t>
      </w:r>
      <w:r>
        <w:t xml:space="preserve">,</w:t>
      </w:r>
      <w:r>
        <w:t xml:space="preserve"> </w:t>
      </w:r>
      <w:r>
        <w:rPr>
          <w:i/>
          <w:iCs/>
        </w:rPr>
        <w:t xml:space="preserve">Epidemiology</w:t>
      </w:r>
      <w:r>
        <w:t xml:space="preserve">, 23(1), pp. 138–147. Available at: https://www.jstor.org/stable/23214188 (Accessed: 25 April 2023).New, S.J. (2015)</w:t>
      </w:r>
      <w:r>
        <w:t xml:space="preserve"> </w:t>
      </w:r>
      <w:r>
        <w:t xml:space="preserve">‘modern slavery and the supply chain: the limits of corporate social responsibility?’</w:t>
      </w:r>
      <w:r>
        <w:t xml:space="preserve">,</w:t>
      </w:r>
      <w:r>
        <w:t xml:space="preserve"> </w:t>
      </w:r>
      <w:r>
        <w:rPr>
          <w:i/>
          <w:iCs/>
        </w:rPr>
        <w:t xml:space="preserve">Supply Chain Management</w:t>
      </w:r>
      <w:r>
        <w:t xml:space="preserve">, 20(6), pp. 697–707. Available at: https://doi.org/10.1108/SCM-06-2015-0201.Platt, L., Luthra, R. and Frere-Smith, T. (2015)</w:t>
      </w:r>
      <w:r>
        <w:t xml:space="preserve"> </w:t>
      </w:r>
      <w:r>
        <w:t xml:space="preserve">‘Adapting chain referral methods to sample new migrants: Possibilities and limitations’</w:t>
      </w:r>
      <w:r>
        <w:t xml:space="preserve">,</w:t>
      </w:r>
      <w:r>
        <w:t xml:space="preserve"> </w:t>
      </w:r>
      <w:r>
        <w:rPr>
          <w:i/>
          <w:iCs/>
        </w:rPr>
        <w:t xml:space="preserve">Demographic Research</w:t>
      </w:r>
      <w:r>
        <w:t xml:space="preserve">, 33, pp. 665–700.Robinson, O.C. (2014)</w:t>
      </w:r>
      <w:r>
        <w:t xml:space="preserve"> </w:t>
      </w:r>
      <w:r>
        <w:t xml:space="preserve">‘Sampling in interview-based qualitative research: A theoretical and practical guide’</w:t>
      </w:r>
      <w:r>
        <w:t xml:space="preserve">,</w:t>
      </w:r>
      <w:r>
        <w:t xml:space="preserve"> </w:t>
      </w:r>
      <w:r>
        <w:rPr>
          <w:i/>
          <w:iCs/>
        </w:rPr>
        <w:t xml:space="preserve">Qualitative research in psychology</w:t>
      </w:r>
      <w:r>
        <w:t xml:space="preserve">, 11(1), pp. 25–41.Romero, A. and Fisher, O. (2025)</w:t>
      </w:r>
      <w:r>
        <w:t xml:space="preserve"> </w:t>
      </w:r>
      <w:r>
        <w:t xml:space="preserve">‘Blueprint for safer and fairer migration for low-paid work’</w:t>
      </w:r>
      <w:r>
        <w:t xml:space="preserve">. Focus on Labour Exploitation. Available at: https://labourexploitation.org/app/uploads/2025/06/Flex-Report-Blueprint-for-safer-and-fairer-migration-for-low-paid-work_final_30_June-.pdf (Accessed: 11 July 2025).Salganik, M.J. and Heckathorn, D.D. (2004)</w:t>
      </w:r>
      <w:r>
        <w:t xml:space="preserve"> </w:t>
      </w:r>
      <w:r>
        <w:t xml:space="preserve">‘5. Sampling and Estimation in Hidden Populations Using Respondent-Driven Sampling’</w:t>
      </w:r>
      <w:r>
        <w:t xml:space="preserve">,</w:t>
      </w:r>
      <w:r>
        <w:t xml:space="preserve"> </w:t>
      </w:r>
      <w:r>
        <w:rPr>
          <w:i/>
          <w:iCs/>
        </w:rPr>
        <w:t xml:space="preserve">Sociological Methodology</w:t>
      </w:r>
      <w:r>
        <w:t xml:space="preserve">, 34(1), pp. 193–240. Available at: https://doi.org/10.1111/j.0081-1750.2004.00152.x.Schwitters, A., Swaminathan, M. and Serwadda, D. (2012)</w:t>
      </w:r>
      <w:r>
        <w:t xml:space="preserve"> </w:t>
      </w:r>
      <w:r>
        <w:t xml:space="preserve">‘Prevalence of rape and client-initiated gender-based violence among female sex workers: Kampala, uganda’</w:t>
      </w:r>
      <w:r>
        <w:t xml:space="preserve">,</w:t>
      </w:r>
      <w:r>
        <w:t xml:space="preserve"> </w:t>
      </w:r>
      <w:r>
        <w:rPr>
          <w:i/>
          <w:iCs/>
        </w:rPr>
        <w:t xml:space="preserve">AIDS Behaviour</w:t>
      </w:r>
      <w:r>
        <w:t xml:space="preserve">, 19(Supply Nr 1), pp. 68–76.Semaan, S.</w:t>
      </w:r>
      <w:r>
        <w:t xml:space="preserve"> </w:t>
      </w:r>
      <w:r>
        <w:rPr>
          <w:i/>
          <w:iCs/>
        </w:rPr>
        <w:t xml:space="preserve">et al.</w:t>
      </w:r>
      <w:r>
        <w:t xml:space="preserve"> </w:t>
      </w:r>
      <w:r>
        <w:t xml:space="preserve">(2009)</w:t>
      </w:r>
      <w:r>
        <w:t xml:space="preserve"> </w:t>
      </w:r>
      <w:r>
        <w:t xml:space="preserve">‘Ethical and regulatory considerations in HIV prevention studies employing respondent-driven sampling’</w:t>
      </w:r>
      <w:r>
        <w:t xml:space="preserve">,</w:t>
      </w:r>
      <w:r>
        <w:t xml:space="preserve"> </w:t>
      </w:r>
      <w:r>
        <w:rPr>
          <w:i/>
          <w:iCs/>
        </w:rPr>
        <w:t xml:space="preserve">International Journal of Drug Policy</w:t>
      </w:r>
      <w:r>
        <w:t xml:space="preserve">, 20(1), pp. 14–27.Semaan, S. (2010)</w:t>
      </w:r>
      <w:r>
        <w:t xml:space="preserve"> </w:t>
      </w:r>
      <w:r>
        <w:t xml:space="preserve">‘Time-space sampling and respondent-driven sampling with hard-to-reach populations’</w:t>
      </w:r>
      <w:r>
        <w:t xml:space="preserve">,</w:t>
      </w:r>
      <w:r>
        <w:t xml:space="preserve"> </w:t>
      </w:r>
      <w:r>
        <w:rPr>
          <w:i/>
          <w:iCs/>
        </w:rPr>
        <w:t xml:space="preserve">Methodological Innovations Online</w:t>
      </w:r>
      <w:r>
        <w:t xml:space="preserve">, 5(2), pp. 60–75.Singer, E. and Bossarte, R.M. (2006)</w:t>
      </w:r>
      <w:r>
        <w:t xml:space="preserve"> </w:t>
      </w:r>
      <w:r>
        <w:t xml:space="preserve">‘Incentives for survey participation: when are they</w:t>
      </w:r>
      <w:r>
        <w:t xml:space="preserve"> </w:t>
      </w:r>
      <w:r>
        <w:t xml:space="preserve">“coercive”</w:t>
      </w:r>
      <w:r>
        <w:t xml:space="preserve">?’</w:t>
      </w:r>
      <w:r>
        <w:t xml:space="preserve">,</w:t>
      </w:r>
      <w:r>
        <w:t xml:space="preserve"> </w:t>
      </w:r>
      <w:r>
        <w:rPr>
          <w:i/>
          <w:iCs/>
        </w:rPr>
        <w:t xml:space="preserve">American journal of preventive medicine</w:t>
      </w:r>
      <w:r>
        <w:t xml:space="preserve">, 31(5), pp. 411–418.Stevenson, M. and Cole, R. (2018)</w:t>
      </w:r>
      <w:r>
        <w:t xml:space="preserve"> </w:t>
      </w:r>
      <w:r>
        <w:t xml:space="preserve">‘Modern slavery in supply chains: a secondary data analysis of detection, remediation and disclosure’</w:t>
      </w:r>
      <w:r>
        <w:t xml:space="preserve">,</w:t>
      </w:r>
      <w:r>
        <w:t xml:space="preserve"> </w:t>
      </w:r>
      <w:r>
        <w:rPr>
          <w:i/>
          <w:iCs/>
        </w:rPr>
        <w:t xml:space="preserve">Supply Chain Management: An International Journal</w:t>
      </w:r>
      <w:r>
        <w:t xml:space="preserve">, 23. Available at: https://doi.org/10.1108/SCM-11-2017-0382.Thompson, S. (2020)</w:t>
      </w:r>
      <w:r>
        <w:t xml:space="preserve"> </w:t>
      </w:r>
      <w:r>
        <w:t xml:space="preserve">‘New estimates for network sampling’</w:t>
      </w:r>
      <w:r>
        <w:t xml:space="preserve">.Varman, R.</w:t>
      </w:r>
      <w:r>
        <w:t xml:space="preserve"> </w:t>
      </w:r>
      <w:r>
        <w:rPr>
          <w:i/>
          <w:iCs/>
        </w:rPr>
        <w:t xml:space="preserve">et al.</w:t>
      </w:r>
      <w:r>
        <w:t xml:space="preserve"> </w:t>
      </w:r>
      <w:r>
        <w:t xml:space="preserve">(2021)</w:t>
      </w:r>
      <w:r>
        <w:t xml:space="preserve"> </w:t>
      </w:r>
      <w:r>
        <w:t xml:space="preserve">‘Normative Violence in Domestic Service: A Study of Exploitation, Status, and Grievability’</w:t>
      </w:r>
      <w:r>
        <w:t xml:space="preserve">,</w:t>
      </w:r>
      <w:r>
        <w:t xml:space="preserve"> </w:t>
      </w:r>
      <w:r>
        <w:rPr>
          <w:i/>
          <w:iCs/>
        </w:rPr>
        <w:t xml:space="preserve">Journal of Business Ethics</w:t>
      </w:r>
      <w:r>
        <w:t xml:space="preserve">, 171(4), pp. 645–665. Available at: https://www.jstor.org/stable/45390479 (Accessed: 3 November 2025).Vincent, K. and Thompson, S. (2017)</w:t>
      </w:r>
      <w:r>
        <w:t xml:space="preserve"> </w:t>
      </w:r>
      <w:r>
        <w:t xml:space="preserve">‘Estimating population size with link-tracing sampling’</w:t>
      </w:r>
      <w:r>
        <w:t xml:space="preserve">,</w:t>
      </w:r>
      <w:r>
        <w:t xml:space="preserve"> </w:t>
      </w:r>
      <w:r>
        <w:rPr>
          <w:i/>
          <w:iCs/>
        </w:rPr>
        <w:t xml:space="preserve">Journal of the American Statistical Association</w:t>
      </w:r>
      <w:r>
        <w:t xml:space="preserve">, 112(519), pp. 1286–1295. Available at: https://doi.org/10.1080/01621459.2016.1212712.Volz, E. and Heckathorn, D. (2008)</w:t>
      </w:r>
      <w:r>
        <w:t xml:space="preserve"> </w:t>
      </w:r>
      <w:r>
        <w:t xml:space="preserve">‘Probability Based Estimation Theory for Respondent Driven Sampling’</w:t>
      </w:r>
      <w:r>
        <w:t xml:space="preserve">,</w:t>
      </w:r>
      <w:r>
        <w:t xml:space="preserve"> </w:t>
      </w:r>
      <w:r>
        <w:rPr>
          <w:i/>
          <w:iCs/>
        </w:rPr>
        <w:t xml:space="preserve">Journal of Official Statistics</w:t>
      </w:r>
      <w:r>
        <w:t xml:space="preserve">, 24, pp. 79–97.Wang, J.</w:t>
      </w:r>
      <w:r>
        <w:t xml:space="preserve"> </w:t>
      </w:r>
      <w:r>
        <w:rPr>
          <w:i/>
          <w:iCs/>
        </w:rPr>
        <w:t xml:space="preserve">et al.</w:t>
      </w:r>
      <w:r>
        <w:t xml:space="preserve"> </w:t>
      </w:r>
      <w:r>
        <w:t xml:space="preserve">(2005)</w:t>
      </w:r>
      <w:r>
        <w:t xml:space="preserve"> </w:t>
      </w:r>
      <w:r>
        <w:t xml:space="preserve">‘Respondent-driven sampling to recruit MDMA users: a methodological assessment’</w:t>
      </w:r>
      <w:r>
        <w:t xml:space="preserve">,</w:t>
      </w:r>
      <w:r>
        <w:t xml:space="preserve"> </w:t>
      </w:r>
      <w:r>
        <w:rPr>
          <w:i/>
          <w:iCs/>
        </w:rPr>
        <w:t xml:space="preserve">Drug and alcohol dependence</w:t>
      </w:r>
      <w:r>
        <w:t xml:space="preserve">, 78(2), pp. 147–157.Wejnert, C. and Heckathorn, D.D. (2008)</w:t>
      </w:r>
      <w:r>
        <w:t xml:space="preserve"> </w:t>
      </w:r>
      <w:r>
        <w:t xml:space="preserve">‘Web-based network sampling: efficiency and efficacy of respondent-driven sampling for online research’</w:t>
      </w:r>
      <w:r>
        <w:t xml:space="preserve">,</w:t>
      </w:r>
      <w:r>
        <w:t xml:space="preserve"> </w:t>
      </w:r>
      <w:r>
        <w:rPr>
          <w:i/>
          <w:iCs/>
        </w:rPr>
        <w:t xml:space="preserve">Sociological Methods &amp; Research</w:t>
      </w:r>
      <w:r>
        <w:t xml:space="preserve">, 37(1), pp. 105–134.Yauck, M.</w:t>
      </w:r>
      <w:r>
        <w:t xml:space="preserve"> </w:t>
      </w:r>
      <w:r>
        <w:rPr>
          <w:i/>
          <w:iCs/>
        </w:rPr>
        <w:t xml:space="preserve">et al.</w:t>
      </w:r>
      <w:r>
        <w:t xml:space="preserve"> </w:t>
      </w:r>
      <w:r>
        <w:t xml:space="preserve">(2022)</w:t>
      </w:r>
      <w:r>
        <w:t xml:space="preserve"> </w:t>
      </w:r>
      <w:r>
        <w:t xml:space="preserve">‘Neighborhood Bootstrap for Respondent-Driven Sampling’</w:t>
      </w:r>
      <w:r>
        <w:t xml:space="preserve">,</w:t>
      </w:r>
      <w:r>
        <w:t xml:space="preserve"> </w:t>
      </w:r>
      <w:r>
        <w:rPr>
          <w:i/>
          <w:iCs/>
        </w:rPr>
        <w:t xml:space="preserve">Journal of Survey Statistics and Methodology</w:t>
      </w:r>
      <w:r>
        <w:t xml:space="preserve">, 10(2), pp. 419–438. Available at: https://doi.org/10.1093/jssam/smab057.Zhang, S.X. (2012)</w:t>
      </w:r>
      <w:r>
        <w:t xml:space="preserve"> </w:t>
      </w:r>
      <w:r>
        <w:t xml:space="preserve">‘Measuring labour trafficking: a research note’</w:t>
      </w:r>
      <w:r>
        <w:t xml:space="preserve">,</w:t>
      </w:r>
      <w:r>
        <w:t xml:space="preserve"> </w:t>
      </w:r>
      <w:r>
        <w:rPr>
          <w:i/>
          <w:iCs/>
        </w:rPr>
        <w:t xml:space="preserve">Crime, Law and Social Change</w:t>
      </w:r>
      <w:r>
        <w:t xml:space="preserve">, 58, pp. 469–482.Zhang, S.X.</w:t>
      </w:r>
      <w:r>
        <w:t xml:space="preserve"> </w:t>
      </w:r>
      <w:r>
        <w:rPr>
          <w:i/>
          <w:iCs/>
        </w:rPr>
        <w:t xml:space="preserve">et al.</w:t>
      </w:r>
      <w:r>
        <w:t xml:space="preserve"> </w:t>
      </w:r>
      <w:r>
        <w:t xml:space="preserve">(2019)</w:t>
      </w:r>
      <w:r>
        <w:t xml:space="preserve"> </w:t>
      </w:r>
      <w:r>
        <w:t xml:space="preserve">‘Victims without a voice: Measuring worst forms of child labor in the Indian State of Bihar’</w:t>
      </w:r>
      <w:r>
        <w:t xml:space="preserve">,</w:t>
      </w:r>
      <w:r>
        <w:t xml:space="preserve"> </w:t>
      </w:r>
      <w:r>
        <w:rPr>
          <w:i/>
          <w:iCs/>
        </w:rPr>
        <w:t xml:space="preserve">Victims &amp; Offenders</w:t>
      </w:r>
      <w:r>
        <w:t xml:space="preserve">, 14(7), pp. 832–858.</w:t>
      </w:r>
    </w:p>
    <w:p>
      <w:pPr>
        <w:pStyle w:val="FirstParagraph"/>
      </w:pPr>
      <w:r>
        <w:t xml:space="preserve">: Table 5. Preferred Prevalence Estimates for the Five Binary ILO-Aligned Indicators (UK Domestic Workers, N = 980,000). RDS-SS columns from neighbourhood-bootstrap 95% CIs (B = 1000); MBSU NSUM (Moderate:</w:t>
      </w:r>
      <w:r>
        <w:t xml:space="preserve"> </w:t>
      </w:r>
      <m:oMath>
        <m:r>
          <m:t>δ</m:t>
        </m:r>
        <m:r>
          <m:rPr>
            <m:sty m:val="p"/>
          </m:rPr>
          <m:t>=</m:t>
        </m:r>
        <m:r>
          <m:t>0.9</m:t>
        </m:r>
      </m:oMath>
      <w:r>
        <w:t xml:space="preserve">,</w:t>
      </w:r>
      <w:r>
        <w:t xml:space="preserve"> </w:t>
      </w:r>
      <m:oMath>
        <m:r>
          <m:t>τ</m:t>
        </m:r>
        <m:r>
          <m:rPr>
            <m:sty m:val="p"/>
          </m:rPr>
          <m:t>=</m:t>
        </m:r>
        <m:r>
          <m:t>0.85</m:t>
        </m:r>
      </m:oMath>
      <w:r>
        <w:t xml:space="preserve">) columns from neighbourhood-bootstrap 95% CIs. Indicators ordered from highest to lowest ILO severity (strong</w:t>
      </w:r>
      <w:r>
        <w:t xml:space="preserve"> </w:t>
      </w:r>
      <m:oMath>
        <m:r>
          <m:rPr>
            <m:sty m:val="p"/>
          </m:rPr>
          <m:t>→</m:t>
        </m:r>
      </m:oMath>
      <w:r>
        <w:t xml:space="preserve"> </w:t>
      </w:r>
      <w:r>
        <w:t xml:space="preserve">medium). Source: Authors’ own work.</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hyperlink" Id="rId29" Target="https://osf.io/vf5yb/overview?view_only=becc2db3b49c4b258015b648867bf208" TargetMode="External" /></Relationships>
</file>

<file path=word/_rels/footnotes.xml.rels><?xml version="1.0" encoding="UTF-8"?><Relationships xmlns="http://schemas.openxmlformats.org/package/2006/relationships"><Relationship Type="http://schemas.openxmlformats.org/officeDocument/2006/relationships/hyperlink" Id="rId29" Target="https://osf.io/vf5yb/overview?view_only=becc2db3b49c4b258015b648867bf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social indicators, SDG 8.7, labour exploitation, migrant domestic work, respondent-driven sampling, network scale-up method</cp:keywords>
  <dcterms:created xsi:type="dcterms:W3CDTF">2026-06-25T17:28:02Z</dcterms:created>
  <dcterms:modified xsi:type="dcterms:W3CDTF">2026-06-25T17:28:02Z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../references/apa.csl</vt:lpwstr>
  </property>
  <property fmtid="{D5CDD505-2E9C-101B-9397-08002B2CF9AE}" pid="10" name="date">
    <vt:lpwstr>25 June 2026</vt:lpwstr>
  </property>
  <property fmtid="{D5CDD505-2E9C-101B-9397-08002B2CF9AE}" pid="11" name="date-format">
    <vt:lpwstr>DD MMMM YYYY</vt:lpwstr>
  </property>
  <property fmtid="{D5CDD505-2E9C-101B-9397-08002B2CF9AE}" pid="12" name="fig-cap-location">
    <vt:lpwstr>bottom</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tbl-cap-location">
    <vt:lpwstr>top</vt:lpwstr>
  </property>
  <property fmtid="{D5CDD505-2E9C-101B-9397-08002B2CF9AE}" pid="21" name="toc-title">
    <vt:lpwstr>Table of contents</vt:lpwstr>
  </property>
</Properties>
</file>