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04 July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defined in UK law as an umbrella term which includes slavery, servitude, forced labour, and human trafficking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2025)</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 prior study of modern-slavery prevalence, to our knowledge, applies both RDS and NSUM to a single matched survey instrument. Such a design would enable direct triangulation of ego- and alter-based estimates on identical indicators and, where they diverge, diagnostic inference about which exploitation behaviours are visible across personal networks.</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itself is diagnostic evidence about the visibility gradient of different exploitation behaviours within workers’ personal networks. Second, we treat modern slavery as a graded phenomenon rather than a binary condition. The ILO’s eleven indicators of forced labour</w:t>
      </w:r>
      <w:r>
        <w:t xml:space="preserve"> </w:t>
      </w:r>
      <w:r>
        <w:t xml:space="preserve">(International Labour Organization, 2012, 2025)</w:t>
      </w:r>
      <w:r>
        <w:t xml:space="preserve"> </w:t>
      </w:r>
      <w:r>
        <w:t xml:space="preserve">anchor the operational framework, and the ILO’s survey-guidelines handbook</w:t>
      </w:r>
      <w:r>
        <w:t xml:space="preserve"> </w:t>
      </w:r>
      <w:r>
        <w:t xml:space="preserve">(International Labour Organization, 2024)</w:t>
      </w:r>
      <w:r>
        <w:t xml:space="preserve"> </w:t>
      </w:r>
      <w:r>
        <w:t xml:space="preserve">distinguishes three</w:t>
      </w:r>
      <w:r>
        <w:t xml:space="preserve"> </w:t>
      </w:r>
      <w:r>
        <w:t xml:space="preserve">‘strong’</w:t>
      </w:r>
      <w:r>
        <w:t xml:space="preserve"> </w:t>
      </w:r>
      <w:r>
        <w:t xml:space="preserve">indicators (retention of identity documents, intimidation and threats, and physical and sexual violence) — any one of which is generally sufficient to identify forced labour in survey settings — from eight</w:t>
      </w:r>
      <w:r>
        <w:t xml:space="preserve"> </w:t>
      </w:r>
      <w:r>
        <w:t xml:space="preserve">‘medium’</w:t>
      </w:r>
      <w:r>
        <w:t xml:space="preserve"> </w:t>
      </w:r>
      <w:r>
        <w:t xml:space="preserve">indicators, several of which typically need to co-occur. The ordering supports both indicator-level prevalence estimates and a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2025)</w:t>
      </w:r>
      <w:r>
        <w:t xml:space="preserve"> </w:t>
      </w:r>
      <w:r>
        <w:t xml:space="preserve">provide the canonical operational framework for measuring modern slavery. The ILO’s own survey-guidelines handbook</w:t>
      </w:r>
      <w:r>
        <w:t xml:space="preserve"> </w:t>
      </w:r>
      <w:r>
        <w:t xml:space="preserve">(International Labour Organization, 2024)</w:t>
      </w:r>
      <w:r>
        <w:t xml:space="preserve"> </w:t>
      </w:r>
      <w:r>
        <w:t xml:space="preserve">distinguishes two operational categories for use in forced-labour surveys:</w:t>
      </w:r>
      <w:r>
        <w:t xml:space="preserve"> </w:t>
      </w:r>
      <w:r>
        <w:t xml:space="preserve">‘strong’</w:t>
      </w:r>
      <w:r>
        <w:t xml:space="preserve"> </w:t>
      </w:r>
      <w:r>
        <w:t xml:space="preserve">indicators (intimidation and threats, physical and sexual violence, retention of identity documents) any one of which is generally sufficient on its own to identify a survey respondent as in forced labour, and</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 whose evidentiary weight for survey-based identification typically requires more than one to be present. We adopt this severity ordering — as it appears in the ILO survey-guidelines handbook rather than the shorter operational-indicators publications</w:t>
      </w:r>
      <w:r>
        <w:t xml:space="preserve"> </w:t>
      </w:r>
      <w:r>
        <w:t xml:space="preserve">(International Labour Organization, 2012, 2025)</w:t>
      </w:r>
      <w:r>
        <w:t xml:space="preserve">, which list the eleven without ranking them — to organise the reporting of the five binary indicators below and to structure the reporting of the composite risk index. We measure five indicators across the ordering,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specific bundling of ILO indicators into these five binary measures (e.g., combining intimidation/threats with physical and sexual violence into a single</w:t>
      </w:r>
      <w:r>
        <w:t xml:space="preserve"> </w:t>
      </w:r>
      <w:r>
        <w:t xml:space="preserve">‘threats and abuse’</w:t>
      </w:r>
      <w:r>
        <w:t xml:space="preserve"> </w:t>
      </w:r>
      <w:r>
        <w:t xml:space="preserve">indicator) is our analytical choice, informed by the qualitative and civil-society literature on UK migrant domestic workers</w:t>
      </w:r>
      <w:r>
        <w:t xml:space="preserve"> </w:t>
      </w:r>
      <w:r>
        <w:t xml:space="preserve">(Kalayaan, 2008; Mantouvalou, 2016; Service, 2023; Yilmaz &amp; Emberson, 2023)</w:t>
      </w:r>
      <w:r>
        <w:t xml:space="preserve">, not a mapping the ILO itself publishes.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Appendix Table A1,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the Appendix, Section A, for full construction).</w:t>
      </w:r>
    </w:p>
    <w:bookmarkEnd w:id="21"/>
    <w:bookmarkEnd w:id="22"/>
    <w:bookmarkStart w:id="38"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However, qualitative and case-based evidence have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The number of each participant’s recruits implicitly proxies for their network degree (the number of eligible 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the Appendix, Section D.7).</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 2025)</w:t>
      </w:r>
      <w:r>
        <w:t xml:space="preserve"> </w:t>
      </w:r>
      <w:r>
        <w:t xml:space="preserve">and the associated survey-guidelines handbook</w:t>
      </w:r>
      <w:r>
        <w:t xml:space="preserve"> </w:t>
      </w:r>
      <w:r>
        <w:t xml:space="preserve">(International Labour Organization, 2024)</w:t>
      </w:r>
      <w:r>
        <w:t xml:space="preserve">.</w:t>
      </w:r>
      <w:r>
        <w:t xml:space="preserve"> </w:t>
      </w:r>
      <w:r>
        <w:t xml:space="preserve">The eleven ILO indicators of forced labour</w:t>
      </w:r>
      <w:r>
        <w:t xml:space="preserve"> </w:t>
      </w:r>
      <w:r>
        <w:t xml:space="preserve">(International Labour Organization, 2012, 2025)</w:t>
      </w:r>
      <w:r>
        <w:t xml:space="preserve"> </w:t>
      </w:r>
      <w:r>
        <w:t xml:space="preserve">provide the operational framework for our measurement strategy; the medium/strong severity ordering used to organise the indicators follows the ILO handbook on forced-labour surveys</w:t>
      </w:r>
      <w:r>
        <w:t xml:space="preserve"> </w:t>
      </w:r>
      <w:r>
        <w:t xml:space="preserve">(International Labour Organization, 2024)</w:t>
      </w:r>
      <w:r>
        <w:t xml:space="preserve">.</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The medium/strong severity classification in column 2 follows the ILO handbook on forced-labour surveys</w:t>
            </w:r>
            <w:r>
              <w:t xml:space="preserve"> </w:t>
            </w:r>
            <w:r>
              <w:t xml:space="preserve">(International Labour Organization, 2024)</w:t>
            </w:r>
            <w:r>
              <w:t xml:space="preserve">; the shorter operational-indicators publications</w:t>
            </w:r>
            <w:r>
              <w:t xml:space="preserve"> </w:t>
            </w:r>
            <w:r>
              <w:t xml:space="preserve">(International Labour Organization, 2012, 2025)</w:t>
            </w:r>
            <w:r>
              <w:t xml:space="preserve"> </w:t>
            </w:r>
            <w:r>
              <w:t xml:space="preserve">list the eleven indicators without publishing this severity ranking. Full per-category weight values are given in Appendix Table A1. Source: Authors’ construction following ILO</w:t>
            </w:r>
            <w:r>
              <w:t xml:space="preserve"> </w:t>
            </w:r>
            <w:r>
              <w:t xml:space="preserve">(2012, 2024, 2025)</w:t>
            </w:r>
            <w:r>
              <w:t xml:space="preserve">.</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the Appendix (Sections A and B)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 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fig1_recruitment_network.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5"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w:t>
      </w:r>
      <w:r>
        <w:t xml:space="preserve"> </w:t>
      </w:r>
      <w:r>
        <w:rPr>
          <w:rStyle w:val="VerbatimChar"/>
        </w:rPr>
        <w:t xml:space="preserve">RDS</w:t>
      </w:r>
      <w:r>
        <w:t xml:space="preserve"> </w:t>
      </w:r>
      <w:r>
        <w:t xml:space="preserve">package (</w:t>
      </w:r>
      <w:r>
        <w:rPr>
          <w:rStyle w:val="VerbatimChar"/>
        </w:rPr>
        <w:t xml:space="preserve">MA.estimates()</w:t>
      </w:r>
      <w:r>
        <w:t xml:space="preserve">) is designed primarily for binary traits, and we find that for the continuous composite risk index it does not converge to a useful posterior at our</w:t>
      </w:r>
      <w:r>
        <w:t xml:space="preserve"> </w:t>
      </w:r>
      <w:r>
        <w:t xml:space="preserve">sample size (</w:t>
      </w:r>
      <m:oMath>
        <m:r>
          <m:t>n</m:t>
        </m:r>
        <m:r>
          <m:rPr>
            <m:sty m:val="p"/>
          </m:rPr>
          <m:t>=</m:t>
        </m:r>
        <m:r>
          <m:t>85</m:t>
        </m:r>
      </m:oMath>
      <w:r>
        <w:t xml:space="preserve">);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the Appendix D.2).</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3"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3"/>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4"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4"/>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(Appendix Figure A1).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5"/>
    <w:bookmarkStart w:id="36"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the Appendix, Section D.1 (Population Size and the Invariance of Prevalence).</w:t>
      </w:r>
    </w:p>
    <w:bookmarkEnd w:id="36"/>
    <w:bookmarkStart w:id="37"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the Appendix, Section C.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the Appendix.</w:t>
      </w:r>
    </w:p>
    <w:bookmarkEnd w:id="37"/>
    <w:bookmarkEnd w:id="38"/>
    <w:bookmarkStart w:id="59"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Appendix Figure A1);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the Appendix.</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5"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4"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9"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the Appendix (Section D)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rds-diagnostics"/>
          <w:p>
            <w:pPr>
              <w:pStyle w:val="Compact"/>
              <w:jc w:val="center"/>
            </w:pPr>
            <w:r>
              <w:drawing>
                <wp:inline>
                  <wp:extent cx="5334000" cy="1557645"/>
                  <wp:effectExtent b="0" l="0" r="0" t="0"/>
                  <wp:docPr descr="" title="" id="41" name="Picture"/>
                  <a:graphic>
                    <a:graphicData uri="http://schemas.openxmlformats.org/drawingml/2006/picture">
                      <pic:pic>
                        <pic:nvPicPr>
                          <pic:cNvPr descr="figures/rds_diagnostics.png" id="42" name="Picture"/>
                          <pic:cNvPicPr>
                            <a:picLocks noChangeArrowheads="1" noChangeAspect="1"/>
                          </pic:cNvPicPr>
                        </pic:nvPicPr>
                        <pic:blipFill>
                          <a:blip r:embed="rId40"/>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3"/>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4"/>
    <w:bookmarkEnd w:id="45"/>
    <w:bookmarkStart w:id="50"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Each of the eleven ILO indicator categories contributes equally to the composite (maximum 0.09 per category, giving a total maximum score of 0.99); within a category, weight is distributed evenly across the sub-questions used to code it. The composite is therefore uniform-weighted at the ILO-category level and does not itself impose the medium/strong severity ordering, though we use that ordering (Section 2) to organise reporting and interpretation. The weight-perturbation robustness check reported in</w:t>
      </w:r>
      <w:r>
        <w:t xml:space="preserve"> </w:t>
      </w:r>
      <w:hyperlink w:anchor="sec-weights-sensitivity">
        <w:r>
          <w:rPr>
            <w:rStyle w:val="Hyperlink"/>
          </w:rPr>
          <w:t xml:space="preserve">Section 5.5</w:t>
        </w:r>
      </w:hyperlink>
      <w:r>
        <w:t xml:space="preserve"> </w:t>
      </w:r>
      <w:r>
        <w:t xml:space="preserve">confirms that the ranking of respondents by composite risk is essentially invariant to the specific weight choice.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Appendix Table A1).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composite">
        <w:r>
          <w:rPr>
            <w:rStyle w:val="Hyperlink"/>
          </w:rPr>
          <w:t xml:space="preserve">Figure 3</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9" w:name="fig-composite"/>
          <w:p>
            <w:pPr>
              <w:pStyle w:val="Compact"/>
              <w:jc w:val="center"/>
            </w:pPr>
            <w:r>
              <w:drawing>
                <wp:inline>
                  <wp:extent cx="5334000" cy="2370666"/>
                  <wp:effectExtent b="0" l="0" r="0" t="0"/>
                  <wp:docPr descr="" title="" id="47" name="Picture"/>
                  <a:graphic>
                    <a:graphicData uri="http://schemas.openxmlformats.org/drawingml/2006/picture">
                      <pic:pic>
                        <pic:nvPicPr>
                          <pic:cNvPr descr="figures/fig3_composite_risk.png" id="48" name="Picture"/>
                          <pic:cNvPicPr>
                            <a:picLocks noChangeArrowheads="1" noChangeAspect="1"/>
                          </pic:cNvPicPr>
                        </pic:nvPicPr>
                        <pic:blipFill>
                          <a:blip r:embed="rId4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9"/>
        </w:tc>
      </w:tr>
    </w:tbl>
    <w:bookmarkEnd w:id="50"/>
    <w:bookmarkStart w:id="56"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Appendix Figure A2 shows the RDS-SS and RDS-I estimates with per-method bootstrap CIs for visual comparison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ordering of the indicators.</w:t>
      </w:r>
    </w:p>
    <w:tbl>
      <w:tblPr>
        <w:tblStyle w:val="Table"/>
        <w:tblW w:type="pct" w:w="5000"/>
        <w:tblLayout w:type="fixed"/>
        <w:tblLook w:firstRow="0" w:lastRow="0" w:firstColumn="0" w:lastColumn="0" w:noHBand="0" w:noVBand="0" w:val="0000"/>
      </w:tblPr>
      <w:tblGrid>
        <w:gridCol w:w="7920"/>
      </w:tblGrid>
      <w:tr>
        <w:tc>
          <w:tcPr/>
          <w:bookmarkStart w:id="51"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binary"/>
          <w:p>
            <w:pPr>
              <w:pStyle w:val="Compact"/>
              <w:jc w:val="center"/>
            </w:pPr>
            <w:r>
              <w:drawing>
                <wp:inline>
                  <wp:extent cx="5334000" cy="3333750"/>
                  <wp:effectExtent b="0" l="0" r="0" t="0"/>
                  <wp:docPr descr="" title="" id="53" name="Picture"/>
                  <a:graphic>
                    <a:graphicData uri="http://schemas.openxmlformats.org/drawingml/2006/picture">
                      <pic:pic>
                        <pic:nvPicPr>
                          <pic:cNvPr descr="figures/fig4_ma_binary.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5"/>
        </w:tc>
      </w:tr>
    </w:tbl>
    <w:bookmarkEnd w:id="56"/>
    <w:bookmarkStart w:id="57" w:name="sec-supporting-estimates"/>
    <w:p>
      <w:pPr>
        <w:pStyle w:val="Heading2"/>
      </w:pPr>
      <w:r>
        <w:t xml:space="preserve">4.4 Supporting Estimates and Method Comparison</w:t>
      </w:r>
    </w:p>
    <w:p>
      <w:pPr>
        <w:pStyle w:val="FirstParagraph"/>
      </w:pPr>
      <w:r>
        <w:t xml:space="preserve">Three additional families of estimates are reported in full in the Appendix (Section D) for transparency and robustness: (a) The five Bayesian Model-Assisted (MA-RDS) posterior means (Appendix Table A6) range from 34.1% for document withholding to 84.0% for excessive working hours, reproducing the RDS-SS ordering in Table 5. (b) Direct comparison of RDS-I and RDS-SS estimators for each indicator with per-method bootstrap 95% CIs (Appendix Table A4);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Appendix Table A10),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7"/>
    <w:bookmarkStart w:id="58" w:name="sec-sensitivity"/>
    <w:p>
      <w:pPr>
        <w:pStyle w:val="Heading2"/>
      </w:pPr>
      <w:r>
        <w:t xml:space="preserve">4.5 Sensitivity and Robustness</w:t>
      </w:r>
    </w:p>
    <w:p>
      <w:pPr>
        <w:pStyle w:val="FirstParagraph"/>
      </w:pPr>
      <w:r>
        <w:t xml:space="preserve">Three sensitivity analyses are reported in full in the Appendix. First, the continuous-</w:t>
      </w:r>
      <m:oMath>
        <m:r>
          <m:t>τ</m:t>
        </m:r>
      </m:oMath>
      <w:r>
        <w:t xml:space="preserve"> </w:t>
      </w:r>
      <w:r>
        <w:t xml:space="preserve">NSUM sweep (Appendix Figure A1)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(Appendix Figure A4)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8"/>
    <w:bookmarkEnd w:id="59"/>
    <w:bookmarkStart w:id="66" w:name="sec-discussion"/>
    <w:p>
      <w:pPr>
        <w:pStyle w:val="Heading1"/>
      </w:pPr>
      <w:r>
        <w:t xml:space="preserve">5. Discussion</w:t>
      </w:r>
    </w:p>
    <w:bookmarkStart w:id="60"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0"/>
    <w:bookmarkStart w:id="61"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(2012, 2024, 2025)</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the Appendix (Section A). (2)</w:t>
      </w:r>
      <w:r>
        <w:t xml:space="preserve"> </w:t>
      </w:r>
      <w:r>
        <w:rPr>
          <w:i/>
          <w:iCs/>
        </w:rPr>
        <w:t xml:space="preserve">Face validity:</w:t>
      </w:r>
      <w:r>
        <w:t xml:space="preserve"> </w:t>
      </w:r>
      <w:r>
        <w:t xml:space="preserve">the survey instrument was co-developed with the participating civil-society organisations (Kalayaan, Voice of Domestic Workers,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61"/>
    <w:bookmarkStart w:id="62"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in</w:t>
      </w:r>
      <w:r>
        <w:t xml:space="preserve"> </w:t>
      </w:r>
      <w:r>
        <w:t xml:space="preserve">(International Labour Organization, 2024)</w:t>
      </w:r>
      <w:r>
        <w:t xml:space="preserve">) are less common in this population than less severe forms of abuse (excessive hours, an ILO medium indicator). The ordering is interpretable, matches the ILO severity ordering documented in the ILO survey-guidelines handbook</w:t>
      </w:r>
      <w:r>
        <w:t xml:space="preserve"> </w:t>
      </w:r>
      <w:r>
        <w:t xml:space="preserve">(International Labour Organization, 2024)</w:t>
      </w:r>
      <w:r>
        <w:t xml:space="preserve">, and is reproduced across methods. Collapsing this ordering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the Appendix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the Appendix (Section D.5, Figure A1)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2"/>
    <w:bookmarkStart w:id="63"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(Appendix Table A1,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3"/>
    <w:bookmarkStart w:id="64"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the Appendix, Section A).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the Appendix.</w:t>
      </w:r>
    </w:p>
    <w:bookmarkEnd w:id="64"/>
    <w:bookmarkStart w:id="65"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5"/>
    <w:bookmarkEnd w:id="66"/>
    <w:bookmarkStart w:id="67"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three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that gives equal weight to each of the ILO’s eleven indicators of forced labour and is organised for reporting by the ILO’s medium/strong severity ordering</w:t>
      </w:r>
      <w:r>
        <w:t xml:space="preserve"> </w:t>
      </w:r>
      <w:r>
        <w:t xml:space="preserve">(International Labour Organization, 2024)</w:t>
      </w:r>
      <w:r>
        <w:t xml:space="preserve">.</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7"/>
    <w:bookmarkStart w:id="69" w:name="sec-declarations"/>
    <w:p>
      <w:pPr>
        <w:pStyle w:val="Heading1"/>
      </w:pPr>
      <w:r>
        <w:t xml:space="preserve">7. Declarations</w:t>
      </w:r>
    </w:p>
    <w:p>
      <w:pPr>
        <w:pStyle w:val="FirstParagraph"/>
      </w:pPr>
      <w:r>
        <w:rPr>
          <w:b/>
          <w:bCs/>
        </w:rPr>
        <w:t xml:space="preserve">Funding.</w:t>
      </w:r>
      <w:r>
        <w:t xml:space="preserve"> </w:t>
      </w:r>
      <w:r>
        <w:t xml:space="preserve">CE received funding from the University of Nottingham under its Nottingham Research Fellowship scheme.</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(Ethics Review Application number 202223021).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8">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9" w:name="references"/>
    <w:p>
      <w:pPr>
        <w:pStyle w:val="Heading1"/>
      </w:pPr>
      <w:r>
        <w:t xml:space="preserve">References</w:t>
      </w:r>
    </w:p>
    <w:bookmarkStart w:id="118"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9">
        <w:r>
          <w:rPr>
            <w:rStyle w:val="Hyperlink"/>
          </w:rPr>
          <w:t xml:space="preserve">https://www.ilo.org/forcedlabour</w:t>
        </w:r>
      </w:hyperlink>
    </w:p>
    <w:bookmarkEnd w:id="90"/>
    <w:bookmarkStart w:id="91"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9">
        <w:r>
          <w:rPr>
            <w:rStyle w:val="Hyperlink"/>
          </w:rPr>
          <w:t xml:space="preserve">https://www.ilo.org/forcedlabour</w:t>
        </w:r>
      </w:hyperlink>
    </w:p>
    <w:bookmarkEnd w:id="91"/>
    <w:bookmarkStart w:id="92"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2"/>
    <w:bookmarkStart w:id="93"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3"/>
    <w:bookmarkStart w:id="94" w:name="ref-kala08-new"/>
    <w:p>
      <w:pPr>
        <w:pStyle w:val="Bibliography"/>
      </w:pPr>
      <w:r>
        <w:t xml:space="preserve">Kalayaan. (2008).</w:t>
      </w:r>
      <w:r>
        <w:t xml:space="preserve"> </w:t>
      </w:r>
      <w:r>
        <w:rPr>
          <w:i/>
          <w:iCs/>
        </w:rPr>
        <w:t xml:space="preserve">The new bonded labour?</w:t>
      </w:r>
    </w:p>
    <w:bookmarkEnd w:id="94"/>
    <w:bookmarkStart w:id="96"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5">
        <w:r>
          <w:rPr>
            <w:rStyle w:val="Hyperlink"/>
          </w:rPr>
          <w:t xml:space="preserve">https://doi.org/10.1016/S0378-8733(96)00305-X</w:t>
        </w:r>
      </w:hyperlink>
    </w:p>
    <w:bookmarkEnd w:id="96"/>
    <w:bookmarkStart w:id="98"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7">
        <w:r>
          <w:rPr>
            <w:rStyle w:val="Hyperlink"/>
          </w:rPr>
          <w:t xml:space="preserve">https://doi.org/10.1214/15-AOAS827</w:t>
        </w:r>
      </w:hyperlink>
    </w:p>
    <w:bookmarkEnd w:id="98"/>
    <w:bookmarkStart w:id="99"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9"/>
    <w:bookmarkStart w:id="101"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100">
        <w:r>
          <w:rPr>
            <w:rStyle w:val="Hyperlink"/>
          </w:rPr>
          <w:t xml:space="preserve">https://doi.org/10.1097/EDE.0b013e31823ac17c</w:t>
        </w:r>
      </w:hyperlink>
    </w:p>
    <w:bookmarkEnd w:id="101"/>
    <w:bookmarkStart w:id="103"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2">
        <w:r>
          <w:rPr>
            <w:rStyle w:val="Hyperlink"/>
          </w:rPr>
          <w:t xml:space="preserve">https://labourexploitation.org/app/uploads/2025/06/Flex-Report-Blueprint-for-safer-and-fairer-migration-for-low-paid-work_final_30_June-.pdf</w:t>
        </w:r>
      </w:hyperlink>
    </w:p>
    <w:bookmarkEnd w:id="103"/>
    <w:bookmarkStart w:id="104"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4"/>
    <w:bookmarkStart w:id="105"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5"/>
    <w:bookmarkStart w:id="106"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6"/>
    <w:bookmarkStart w:id="107" w:name="ref-thompson_new_2020"/>
    <w:p>
      <w:pPr>
        <w:pStyle w:val="Bibliography"/>
      </w:pPr>
      <w:r>
        <w:t xml:space="preserve">Thompson, S. (2020).</w:t>
      </w:r>
      <w:r>
        <w:t xml:space="preserve"> </w:t>
      </w:r>
      <w:r>
        <w:rPr>
          <w:i/>
          <w:iCs/>
        </w:rPr>
        <w:t xml:space="preserve">New estimates for network sampling</w:t>
      </w:r>
      <w:r>
        <w:t xml:space="preserve">.</w:t>
      </w:r>
    </w:p>
    <w:bookmarkEnd w:id="107"/>
    <w:bookmarkStart w:id="109"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8">
        <w:r>
          <w:rPr>
            <w:rStyle w:val="Hyperlink"/>
          </w:rPr>
          <w:t xml:space="preserve">https://doi.org/10.1080/01621459.2016.1212712</w:t>
        </w:r>
      </w:hyperlink>
    </w:p>
    <w:bookmarkEnd w:id="109"/>
    <w:bookmarkStart w:id="110"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10"/>
    <w:bookmarkStart w:id="111"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1"/>
    <w:bookmarkStart w:id="113"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2">
        <w:r>
          <w:rPr>
            <w:rStyle w:val="Hyperlink"/>
          </w:rPr>
          <w:t xml:space="preserve">https://doi.org/10.1093/jssam/smab057</w:t>
        </w:r>
      </w:hyperlink>
    </w:p>
    <w:bookmarkEnd w:id="113"/>
    <w:bookmarkStart w:id="114"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4"/>
    <w:bookmarkStart w:id="116"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5">
        <w:r>
          <w:rPr>
            <w:rStyle w:val="Hyperlink"/>
          </w:rPr>
          <w:t xml:space="preserve">https://doi.org/10.1007/s10611-012-9363-y</w:t>
        </w:r>
      </w:hyperlink>
    </w:p>
    <w:bookmarkEnd w:id="116"/>
    <w:bookmarkStart w:id="117"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2026-07-10T14:41:04Z</dcterms:created>
  <dcterms:modified xsi:type="dcterms:W3CDTF">2026-07-10T14:41:04Z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04 July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