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makes two contributions to the measurement of modern slavery among hidden vulnerable populations. First, we apply respondent-driven sampling (RDS) and the network scale-up method (NSUM) to the same survey instrument, eliciting both ego-based reports (what respondents say about themselves) and alter-based reports (what respondents say about people they know) for an identical set of indicators on the same respondents. This dual-method design lets the two estimators triangulate prevalence and, where they diverge, exposes how the visibility of different exploitation behaviours within personal networks shapes what each method 'sees'. Second, we operationalise modern slavery as a graded hierarchy of five ILO-aligned indicators, using the ILO's own operational distinction between 'medium' indicators (multiple needed to indicate forced labour: excessive working hours, pay-related issues, limited access to help) and 'strong' indicators (any one alone sufficient: threats and abuse, document and passport withholding). This hierarchy treats exploitation as a spectrum of severity rather than a binary condition. We apply the approach to UK domestic workers, the hardest realistic case in a developed-economy setting, and report per-indicator prevalence estimates with bootstrap and Bayesian uncertainty intervals. The methodology generalises to other hidden populations relevant to SDG 8.7 monitoring.</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Modern slavery — forced labour, debt bondage, document and identity-document withholding, and related coercive practices — is named under Sustainable Development Goal Target 8.7 as a priority for elimination by 2030. Reliable prevalence measurement is a precondition for monitoring that target, yet the populations most affected are largely invisible to the household and labour-force surveys on which official social indicators rely. Conventional household surveys underestimate prevalence in this domain by an order of magnitude or more, both because the populations affected (undocumented migrants, live-in domestic workers, sex workers, agricultural day labourers) are excluded from sampling frames, and because exploitation behaviours — especially those at the more severe end of the spectrum — are typically not self-reported even when the respondent is contacted. The civil-society and grey-literature evidence base on UK domestic workers (Kalayaan 2008; Latin American Women's Rights Service 2023) is qualitatively rich but does not yield population-level prevalence estimates suitable for SDG monitoring or comparison across populations. The International Labour Organization's eleven indicators of forced labour (ILO 2012, 2017) provide an operational framework for measuring modern slavery, but the empirical question of which indicators are observable through which survey design remains open. Studies typically apply one design — household survey, respondent-driven sampling (RDS), or the network scale-up method (NSUM) — and report prevalence accordingly. None to our knowledge applies both RDS and NSUM to the same survey instrument for the same indicators, the design that would allow direct triangulation of ego-based against alter-based estimates and, where the two diverge, diagnostic inference about which exploitation behaviours are visible within personal networks and which are not.</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r>
        <w:t>This paper makes two contributions. First, we apply RDS and NSUM to the same survey instrument with the same respondents, eliciting ego-based and alter-based estimates of an identical set of five ILO-aligned indicators. This dual-method design lets the two estimators triangulate prevalence, and where they diverge, exposes the visibility gradient of different exploitation behaviours within workers' personal networks. Second, we operationalise modern slavery as a graded hierarchy of indicators rather than a binary condition, organised around the ILO's operational distinction (ILO 2012, 2017) between 'medium' indicators (multiple required to indicate forced labour: excessive working hours, pay-related issues, limited access to help) and 'strong' indicators (any one alone sufficient: threats and abuse, document and passport withholding). This hierarchy lets a single survey instrument capture exploitation across the full spectrum of severity and supports a continuous risk index for analyses that need one. We demonstrate the approach with a respondent-driven sample of 85 UK migrant domestic workers, the hardest realistic case for measurement in a developed-economy setting; the methodology generalises to other hidden populations relevant to SDG 8.7 monitoring.</w:t>
      </w:r>
    </w:p>
    <w:p>
      <w:r>
        <w:t>The remainder of the paper is organised as follows. Section 2 conceptualises labour exploitation as a graded latent construct measured by five ILO-aligned indicators arranged hierarchically by severity. Section 3 describes the matched-instrument survey design (Section 3.1) and the dual sampling approach combining RDS and NSUM (Section 3.2). Section 4 presents prevalence estimates by indicator and method, including frequentist RDS-I/RDS-II/RDS-SS estimators (Section 4.1), Bayesian Model-Assisted inference (Section 4.2), and NSUM with continuous-τ sensitivity analysis (Section 4.3). Section 5 reads the RDS-NSUM divergence as diagnostic evidence about visibility within workers' personal networks and discusses implications for SDG 8.7 monitoring.</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r>
        <w:t>The International Labour Organization's eleven indicators of forced labour (ILO 2012, 2017) provide the canonical operational framework for measuring modern slavery. The ILO distinguishes two grades of indicator: 'medium' indicators (excessive overtime, wage withholding, debt bondage, restriction of movement, isolation, abusive working and living conditions, abuse of vulnerability, deception) whose presence individually is suggestive but not definitive of forced labour, and 'strong' indicators (intimidation and threats, physical and sexual violence, retention of identity documents) any one of which alone is sufficient to indicate forced labour. This medium/strong distinction is itself a graded hierarchy of evidentiary weight, not a binary. We measure five indicators across that hierarchy, chosen to span the ILO conceptual space efficiently within the constraints of a matched-instrument ego/alter survey design. Three are medium indicators — excessive working hours, pay-related issues (combining wage withholding with elements of debt bondage), and limited access to help (combining restriction of movement with isolation, as both manifest in the same observable behaviour in the domestic-work context). Two are strong indicators — threats and abuse (combining intimidation/threats with physical and sexual violence, which prior qualitative work suggests co-occur in this population: Yilmaz and Emberson 2023) and document and passport withholding. The remaining four ILO indicators — abuse of vulnerability, deception, induced addiction, and sale of a person — were not measured: the first two are too retrospective and judgemental to elicit reliably through a brief survey, and the last two are too rare in the UK domestic-work context to estimate meaningfully at our sample size (n=85). Where appropriate we note this scope limitation in the discussion of results.</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r>
        <w:t xml:space="preserve"> All analysis code is available at an anonymised OSF mirror: [OSF URL TO BE INSERTED]. The repository (currently private on GitHub at https://github.com/smoser11/DWeMSinUK) will be made public on acceptance.</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r>
        <w:t xml:space="preserve"> We note one important limitation: the MA-RDS implementation in the RDS package (MA.estimates) is designed primarily for binary traits, and we find that for the continuous composite risk index it does not converge to a useful posterior at our sample size (n=85); the credible interval covers essentially the full support of the variable. We therefore report frequentist RDS-SS estimates as the headline for the composite index and reserve MA-RDS estimates for the five binary indicators (see Section 4.2 and ESM_4).</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r>
        <w:t xml:space="preserve"> Modified Basic Scale-Up (MBSU; Feehan and Salganik, 2016) addresses these failures through two multiplicative adjustment factors applied to the unadjusted scale-up estimate: δ_F, the ratio of the average hidden-population network size to the average frame-population network size (values &lt; 1 indicate the hidden population has smaller networks, biasing the unadjusted estimate downward); and τ_F, the true-positive rate of respondents' reports about hidden-population alters (values &lt; 1 indicate underreporting due to stigma, lack of awareness, or social distance). The adjusted estimate is N_H = N_H_basic × (1/δ_F) × (1/τ_F).</w:t>
      </w:r>
    </w:p>
    <w:p w14:paraId="15FA7BE4" w14:textId="29DFB17D" w:rsidR="00AA7A35" w:rsidRDefault="20623E89" w:rsidP="004C516E">
      <w:pPr>
        <w:spacing w:line="480" w:lineRule="auto"/>
        <w:divId w:val="1975518704"/>
        <w:rPr>
          <w:rFonts w:ascii="var(--bs-body-font-family)" w:hAnsi="var(--bs-body-font-family)" w:hint="eastAsia"/>
          <w:lang w:val="en-US"/>
        </w:rPr>
      </w:pPr>
      <w: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two complementary sensitivity analyses. First, three discrete (δ, τ) tiers — Unadjusted (δ=1.0, τ=1.0), Moderate (δ=0.9, τ=0.85), and Conservative (δ=0.8, τ=0.70) — reported in ESM_4 Tables 4–7 for direct comparison with the literature. Second, a continuous-τ sweep across τ ∈ [0.40, 1.00] in 0.05 increments with δ fixed at 0.9, producing per-indicator prevalence as a function of τ with bootstrap 95% confidence intervals (full results in ESM_4). The continuous sweep responds to the observation that any single (δ, τ) choice is a point assumption; reporting prevalence as a function of τ lets readers locate their own preferred assumption on the curve.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pPr/>
      <w:r>
        <w:rPr>
          <w:b/>
        </w:rPr>
        <w:t>3.6</w:t>
        <w:tab/>
        <w:t>Choice of population size and the invariance of prevalence</w:t>
      </w:r>
    </w:p>
    <w:p>
      <w: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r>
        <w:t>For prevalence specifically, every estimator we use is either exactly invariant to N or essentially invariant to N at our sample size. RDS-I (Salganik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ȳ_FH / d̄_FF (alter reports divided by average network size) has no N in it; only when we multiply through by N to get an absolute count does N matter at all.</w:t>
      </w:r>
    </w:p>
    <w:p>
      <w: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n=85, this fraction is vanishingly small across every plausible UK domestic-worker population: 0.17% at N=50,000, 0.087% at N=100,000, 0.009% at N=980,000, and 0.005% at N=1,740,000.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(ESM_4 Table 6 for NSUM; equivalent invariance documented for RDS-SS).</w:t>
      </w:r>
    </w:p>
    <w:p>
      <w:r>
        <w:t>Why, then, are different N values used in different parts of the analysis? RDS and NSUM headline estimates use N = 980,000, the EU baseline estimate for UK domestic workers; this is the value most readers will expect to see and against which any absolute-count reporting should be benchmarked. The MA-RDS Bayesian analysis (ESM_4)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stories and the choice is one of computation rather than substance. Where the paper reports absolute counts (rather than prevalence), the count is computed by multiplying the prevalence by the headline N = 980,000 regardless of which N was used to compute the prevalence.</w:t>
      </w:r>
    </w:p>
    <w:p w14:paraId="76354635" w14:textId="4FC29429" w:rsidR="00AA7A35" w:rsidRPr="00E063D0" w:rsidRDefault="65DF30FE" w:rsidP="00E669D5">
      <w:pPr>
        <w:spacing w:line="480" w:lineRule="auto"/>
        <w:divId w:val="1975518704"/>
        <w:rPr>
          <w:rFonts w:eastAsia="Times New Roman"/>
          <w:u w:val="single"/>
          <w:lang w:val="en"/>
        </w:rPr>
      </w:pPr>
      <w:r>
        <w:t>3.7</w:t>
        <w:tab/>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gramStart"/>
      <w:proofErr w:type="gramEnd"/>
      <w:r>
        <w:t xml:space="preserve">To appropriately characterise uncertainty in NSUM estimates, we implement a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Online Resource ESM_3. Several of the estimation procedures implemented here adopt Bayesian or model-assisted frameworks, which are particularly appropriate for modest sample sizes because they incorporate uncertainty directly into the estimation process (Gile et al., 2018). Our custom neighbourhood bootstrap procedure similarly quantifies uncertainty by repeatedly resampling ego and alter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t>3.8 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t>The authors used a Large Language Model assistant (Anthropic Claude) for textual editing and for code-review support during R script development; all final analysis decisions, statistical interpretations, and prose are the authors' own. No generative models were used to simulate or augment data.</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pPr>
        <w:pStyle w:val="Heading1"/>
      </w:pPr>
      <w:r>
        <w:t>We present results in five subsections. Section 4.1 describes the analytical sample. Sections 4.2 and 4.3 report the preferred prevalence estimates for the continuous composite risk index and the five binary ILO-aligned indicators respectively. For binary indicators, the preferred estimator is RDS-SS (Gile's Successive Sampling) with neighbourhood-bootstrap 95% confidence intervals; for the composite risk index, also RDS-SS, because the Bayesian Model-Assisted estimator does not converge to a useful posterior on continuous outcomes at our sample size (Section 3.4). The preferred NSUM estimator is the Modified Basic Scale-Up with Moderate adjustment (δ=0.9, τ=0.85). Section 4.4 reports supporting estimates — Bayesian Model-Assisted estimates for the five binary indicators, alternative RDS estimators (RDS-I, RDS-II), and NSUM under alternative adjustment-factor scenarios — included for comparison and to support the robustness claims in Section 4.5. Section 4.5 summarises the sensitivity analyses, with full details in ESM_4.</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t>4.2</w:t>
        <w:tab/>
        <w:t>Continuous Risk Index: RDS-SS Estimates</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proofErr w:type="spellStart"/>
      <w:proofErr w:type="spellEnd"/>
      <w:proofErr w:type="spellStart"/>
      <w:proofErr w:type="spellEnd"/>
      <w:r>
        <w:t>One of the central contributions of this study is the introduction of a continuous risk index measuring degree of exposure to labour exploitation. The index is constructed from the five binary ILO-aligned indicators (Section 2), weighted equally with an additional 0.35 weight for NRM referral reflecting its diagnostic priority in UK policy practice. Rather than treating exploitation as a dichotomy, the risk index conceptualises every domestic worker as facing some degree of potential exploitation, varying continuously in intensity from low to high.</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t>The preferred population-adjusted estimate uses Gile's Successive Sampling (RDS-SS) Horvitz-Thompson estimator with neighbourhood bootstrap. The estimated mean risk index in the UK domestic-worker population is 37.0% of the theoretical maximum (95% CI 30.9–44.0%), very close to the observed sample mean of 37.5% — indicating that the RDS-SS finite-population adjustment makes only a small correction at our sampling fraction. We report RDS-SS rather than the Bayesian Model-Assisted estimator for the composite index because, as noted in Section 3.4, MA-RDS does not converge to a useful posterior on continuous traits at this sample size; for completeness Figure 2 shows the MA estimate alongside the RDS-SS and sample estimates, with the wide MA credible interval making the limitation visible.</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p>
    <w:p w14:paraId="18C8B7B1" w14:textId="0DE1D542" w:rsidR="00AA7A35" w:rsidRPr="006C4698" w:rsidRDefault="00ED6819" w:rsidP="00E669D5">
      <w:pPr>
        <w:spacing w:line="480" w:lineRule="auto"/>
        <w:divId w:val="1975518704"/>
        <w:rPr>
          <w:rFonts w:eastAsia="Times New Roman"/>
          <w:u w:val="single"/>
          <w:lang w:val="en"/>
        </w:rPr>
      </w:pPr>
      <w:r>
        <w:t>4.3</w:t>
        <w:tab/>
        <w:t>Binary Exploitation Indicators: Preferred Prevalence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proofErr w:type="spellStart"/>
      <w:proofErr w:type="spellEnd"/>
      <w:r>
        <w:t>Table 2 reports the preferred prevalence estimates for each of the five binary ILO-aligned indicators in the UK domestic-worker population, presenting both RDS-SS (ego-based; Salganik-Heckathorn and Gile's Successive Sampling lineage) and MBSU NSUM (alter-based; Feehan and Salganik 2016) estimates side by side. Figure 4 shows the RDS-SS estimates with per-method bootstrap confidence intervals for visual comparison with the RDS-I estimator.</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proofErr w:type="gramStart"/>
      <w:proofErr w:type="gramEnd"/>
      <w:r>
        <w:t>Prevalence is high for most indicators in this hidden population. RDS-SS estimates range from 35.4% for document withholding to 84.2% for excessive working hours; MBSU Moderate NSUM estimates range from 1.08% (document withholding) to 2.98% (excessive hours). The order-of-magnitude difference between RDS and NSUM is itself a substantive finding (Section 4.4), reflecting the difference between ego-based reports (the respondent's own experience) and alter-based reports (what the respondent observes in their network). Within methods, the ordering of indicators by prevalence is remarkably stable: excessive working hours consistently the highest, followed by threats and abuse and pay-related issues, with document withholding the lowest. This consistency across methods, even where absolute levels differ, is a robustness signal for the indicator hierarchy itself.</w:t>
      </w:r>
    </w:p>
    <w:p>
      <w:pPr>
        <w:pStyle w:val="NormalWeb"/>
      </w:pPr>
      <w:r>
        <w:rPr>
          <w:i/>
          <w:sz w:val="20"/>
        </w:rPr>
        <w:t>Table 2. Preferred Prevalence Estimates for the Five Binary ILO-Aligned Indicators (UK Domestic Workers, N = 980,000). RDS-SS columns from neighbourhood-bootstrap 95% CIs (B = 1000); MBSU NSUM (Moderate: δ = 0.9, τ = 0.85) columns from neighbourhood-bootstrap 95% CIs. Indicators ordered from highest to lowest ILO severity (strong → medium). Source: Authors' own work.</w:t>
      </w:r>
    </w:p>
    <w:tbl>
      <w:tblPr>
        <w:tblW w:type="auto" w:w="0"/>
        <w:tblLook w:firstColumn="1" w:firstRow="1" w:lastColumn="0" w:lastRow="0" w:noHBand="0" w:noVBand="1" w:val="04A0"/>
      </w:tblPr>
      <w:tblGrid>
        <w:gridCol w:w="3009"/>
        <w:gridCol w:w="3009"/>
        <w:gridCol w:w="3009"/>
      </w:tblGrid>
      <w:tr>
        <w:tc>
          <w:tcPr>
            <w:tcW w:type="dxa" w:w="3009"/>
            <w:tcBorders>
              <w:top w:val="single" w:sz="4" w:color="000000"/>
              <w:left w:val="single" w:sz="4" w:color="000000"/>
              <w:bottom w:val="single" w:sz="4" w:color="000000"/>
              <w:right w:val="single" w:sz="4" w:color="000000"/>
            </w:tcBorders>
          </w:tcPr>
          <w:p>
            <w:r>
              <w:rPr>
                <w:b/>
              </w:rPr>
              <w:t>Indicator</w:t>
            </w:r>
          </w:p>
        </w:tc>
        <w:tc>
          <w:tcPr>
            <w:tcW w:type="dxa" w:w="3009"/>
            <w:tcBorders>
              <w:top w:val="single" w:sz="4" w:color="000000"/>
              <w:left w:val="single" w:sz="4" w:color="000000"/>
              <w:bottom w:val="single" w:sz="4" w:color="000000"/>
              <w:right w:val="single" w:sz="4" w:color="000000"/>
            </w:tcBorders>
          </w:tcPr>
          <w:p>
            <w:r>
              <w:rPr>
                <w:b/>
              </w:rPr>
              <w:t>RDS-SS (95% CI)</w:t>
            </w:r>
          </w:p>
        </w:tc>
        <w:tc>
          <w:tcPr>
            <w:tcW w:type="dxa" w:w="3009"/>
            <w:tcBorders>
              <w:top w:val="single" w:sz="4" w:color="000000"/>
              <w:left w:val="single" w:sz="4" w:color="000000"/>
              <w:bottom w:val="single" w:sz="4" w:color="000000"/>
              <w:right w:val="single" w:sz="4" w:color="000000"/>
            </w:tcBorders>
          </w:tcPr>
          <w:p>
            <w:r>
              <w:rPr>
                <w:b/>
              </w:rPr>
              <w:t>MBSU NSUM (Moderate) (95% CI)</w:t>
            </w:r>
          </w:p>
        </w:tc>
      </w:tr>
      <w:tr>
        <w:tc>
          <w:tcPr>
            <w:tcW w:type="dxa" w:w="3009"/>
            <w:tcBorders>
              <w:top w:val="single" w:sz="4" w:color="000000"/>
              <w:left w:val="single" w:sz="4" w:color="000000"/>
              <w:bottom w:val="single" w:sz="4" w:color="000000"/>
              <w:right w:val="single" w:sz="4" w:color="000000"/>
            </w:tcBorders>
          </w:tcPr>
          <w:p>
            <w:r>
              <w:t>Document withholding</w:t>
            </w:r>
          </w:p>
        </w:tc>
        <w:tc>
          <w:tcPr>
            <w:tcW w:type="dxa" w:w="3009"/>
            <w:tcBorders>
              <w:top w:val="single" w:sz="4" w:color="000000"/>
              <w:left w:val="single" w:sz="4" w:color="000000"/>
              <w:bottom w:val="single" w:sz="4" w:color="000000"/>
              <w:right w:val="single" w:sz="4" w:color="000000"/>
            </w:tcBorders>
          </w:tcPr>
          <w:p>
            <w:r>
              <w:t>35.4% (21.1–49.8%)</w:t>
            </w:r>
          </w:p>
        </w:tc>
        <w:tc>
          <w:tcPr>
            <w:tcW w:type="dxa" w:w="3009"/>
            <w:tcBorders>
              <w:top w:val="single" w:sz="4" w:color="000000"/>
              <w:left w:val="single" w:sz="4" w:color="000000"/>
              <w:bottom w:val="single" w:sz="4" w:color="000000"/>
              <w:right w:val="single" w:sz="4" w:color="000000"/>
            </w:tcBorders>
          </w:tcPr>
          <w:p>
            <w:r>
              <w:t>1.08% (0.30–3.13%)</w:t>
            </w:r>
          </w:p>
        </w:tc>
      </w:tr>
      <w:tr>
        <w:tc>
          <w:tcPr>
            <w:tcW w:type="dxa" w:w="3009"/>
            <w:tcBorders>
              <w:top w:val="single" w:sz="4" w:color="000000"/>
              <w:left w:val="single" w:sz="4" w:color="000000"/>
              <w:bottom w:val="single" w:sz="4" w:color="000000"/>
              <w:right w:val="single" w:sz="4" w:color="000000"/>
            </w:tcBorders>
          </w:tcPr>
          <w:p>
            <w:r>
              <w:t>Threats and abuse</w:t>
            </w:r>
          </w:p>
        </w:tc>
        <w:tc>
          <w:tcPr>
            <w:tcW w:type="dxa" w:w="3009"/>
            <w:tcBorders>
              <w:top w:val="single" w:sz="4" w:color="000000"/>
              <w:left w:val="single" w:sz="4" w:color="000000"/>
              <w:bottom w:val="single" w:sz="4" w:color="000000"/>
              <w:right w:val="single" w:sz="4" w:color="000000"/>
            </w:tcBorders>
          </w:tcPr>
          <w:p>
            <w:r>
              <w:t>56.9% (42.3–72.1%)</w:t>
            </w:r>
          </w:p>
        </w:tc>
        <w:tc>
          <w:tcPr>
            <w:tcW w:type="dxa" w:w="3009"/>
            <w:tcBorders>
              <w:top w:val="single" w:sz="4" w:color="000000"/>
              <w:left w:val="single" w:sz="4" w:color="000000"/>
              <w:bottom w:val="single" w:sz="4" w:color="000000"/>
              <w:right w:val="single" w:sz="4" w:color="000000"/>
            </w:tcBorders>
          </w:tcPr>
          <w:p>
            <w:r>
              <w:t>2.69% (1.86–5.86%)</w:t>
            </w:r>
          </w:p>
        </w:tc>
      </w:tr>
      <w:tr>
        <w:tc>
          <w:tcPr>
            <w:tcW w:type="dxa" w:w="3009"/>
            <w:tcBorders>
              <w:top w:val="single" w:sz="4" w:color="000000"/>
              <w:left w:val="single" w:sz="4" w:color="000000"/>
              <w:bottom w:val="single" w:sz="4" w:color="000000"/>
              <w:right w:val="single" w:sz="4" w:color="000000"/>
            </w:tcBorders>
          </w:tcPr>
          <w:p>
            <w:r>
              <w:t>Pay-related issues</w:t>
            </w:r>
          </w:p>
        </w:tc>
        <w:tc>
          <w:tcPr>
            <w:tcW w:type="dxa" w:w="3009"/>
            <w:tcBorders>
              <w:top w:val="single" w:sz="4" w:color="000000"/>
              <w:left w:val="single" w:sz="4" w:color="000000"/>
              <w:bottom w:val="single" w:sz="4" w:color="000000"/>
              <w:right w:val="single" w:sz="4" w:color="000000"/>
            </w:tcBorders>
          </w:tcPr>
          <w:p>
            <w:r>
              <w:t>51.6% (36.5–65.5%)</w:t>
            </w:r>
          </w:p>
        </w:tc>
        <w:tc>
          <w:tcPr>
            <w:tcW w:type="dxa" w:w="3009"/>
            <w:tcBorders>
              <w:top w:val="single" w:sz="4" w:color="000000"/>
              <w:left w:val="single" w:sz="4" w:color="000000"/>
              <w:bottom w:val="single" w:sz="4" w:color="000000"/>
              <w:right w:val="single" w:sz="4" w:color="000000"/>
            </w:tcBorders>
          </w:tcPr>
          <w:p>
            <w:r>
              <w:t>2.88% (1.90–5.68%)</w:t>
            </w:r>
          </w:p>
        </w:tc>
      </w:tr>
      <w:tr>
        <w:tc>
          <w:tcPr>
            <w:tcW w:type="dxa" w:w="3009"/>
            <w:tcBorders>
              <w:top w:val="single" w:sz="4" w:color="000000"/>
              <w:left w:val="single" w:sz="4" w:color="000000"/>
              <w:bottom w:val="single" w:sz="4" w:color="000000"/>
              <w:right w:val="single" w:sz="4" w:color="000000"/>
            </w:tcBorders>
          </w:tcPr>
          <w:p>
            <w:r>
              <w:t>Excessive working hours</w:t>
            </w:r>
          </w:p>
        </w:tc>
        <w:tc>
          <w:tcPr>
            <w:tcW w:type="dxa" w:w="3009"/>
            <w:tcBorders>
              <w:top w:val="single" w:sz="4" w:color="000000"/>
              <w:left w:val="single" w:sz="4" w:color="000000"/>
              <w:bottom w:val="single" w:sz="4" w:color="000000"/>
              <w:right w:val="single" w:sz="4" w:color="000000"/>
            </w:tcBorders>
          </w:tcPr>
          <w:p>
            <w:r>
              <w:t>84.2% (72.2–93.6%)</w:t>
            </w:r>
          </w:p>
        </w:tc>
        <w:tc>
          <w:tcPr>
            <w:tcW w:type="dxa" w:w="3009"/>
            <w:tcBorders>
              <w:top w:val="single" w:sz="4" w:color="000000"/>
              <w:left w:val="single" w:sz="4" w:color="000000"/>
              <w:bottom w:val="single" w:sz="4" w:color="000000"/>
              <w:right w:val="single" w:sz="4" w:color="000000"/>
            </w:tcBorders>
          </w:tcPr>
          <w:p>
            <w:r>
              <w:t>2.98% (1.84–5.51%)</w:t>
            </w:r>
          </w:p>
        </w:tc>
      </w:tr>
      <w:tr>
        <w:tc>
          <w:tcPr>
            <w:tcW w:type="dxa" w:w="3009"/>
            <w:tcBorders>
              <w:top w:val="single" w:sz="4" w:color="000000"/>
              <w:left w:val="single" w:sz="4" w:color="000000"/>
              <w:bottom w:val="single" w:sz="4" w:color="000000"/>
              <w:right w:val="single" w:sz="4" w:color="000000"/>
            </w:tcBorders>
          </w:tcPr>
          <w:p>
            <w:r>
              <w:t>Limited access to help</w:t>
            </w:r>
          </w:p>
        </w:tc>
        <w:tc>
          <w:tcPr>
            <w:tcW w:type="dxa" w:w="3009"/>
            <w:tcBorders>
              <w:top w:val="single" w:sz="4" w:color="000000"/>
              <w:left w:val="single" w:sz="4" w:color="000000"/>
              <w:bottom w:val="single" w:sz="4" w:color="000000"/>
              <w:right w:val="single" w:sz="4" w:color="000000"/>
            </w:tcBorders>
          </w:tcPr>
          <w:p>
            <w:r>
              <w:t>60.6% (45.2–74.1%)</w:t>
            </w:r>
          </w:p>
        </w:tc>
        <w:tc>
          <w:tcPr>
            <w:tcW w:type="dxa" w:w="3009"/>
            <w:tcBorders>
              <w:top w:val="single" w:sz="4" w:color="000000"/>
              <w:left w:val="single" w:sz="4" w:color="000000"/>
              <w:bottom w:val="single" w:sz="4" w:color="000000"/>
              <w:right w:val="single" w:sz="4" w:color="000000"/>
            </w:tcBorders>
          </w:tcPr>
          <w:p>
            <w:r>
              <w:t>2.03% (0.67–4.88%)</w:t>
            </w:r>
          </w:p>
        </w:tc>
      </w:tr>
    </w:tbl>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r>
        <w:t xml:space="preserve"> Reported as a supporting Bayesian comparison; the preferred binary-indicator estimator is RDS-SS (see Section 4.3, Figure 4, and Table 2).</w:t>
      </w:r>
    </w:p>
    <w:p w14:paraId="6DE10CE7" w14:textId="0749FFD3" w:rsidR="00AA7A35" w:rsidRPr="006C4698" w:rsidRDefault="00ED6819" w:rsidP="00E669D5">
      <w:pPr>
        <w:spacing w:line="480" w:lineRule="auto"/>
        <w:divId w:val="1975518704"/>
        <w:rPr>
          <w:rFonts w:eastAsia="Times New Roman"/>
          <w:u w:val="single"/>
          <w:lang w:val="en"/>
        </w:rPr>
      </w:pPr>
      <w:r>
        <w:t>4.4</w:t>
        <w:tab/>
        <w:t>Supporting Estimates and Method Comparison</w:t>
      </w:r>
    </w:p>
    <w:p>
      <w:pPr/>
      <w:r>
        <w:t>For each of the five binary indicators, three additional families of estimates are reported in the appendices for transparency and robustness.</w:t>
      </w:r>
    </w:p>
    <w:p>
      <w:pPr/>
      <w:r>
        <w:t>Bayesian Model-Assisted (MA-RDS). Table 3 reports the Gile-Handcock (2015) MA-RDS Bayesian estimates at N = 50,000 with 95% credible intervals. Posterior means range from 34.1% (document withholding) to 84.0% (excessive working hours), broadly tracking the RDS-SS preferred estimates with slightly wider credible intervals — appropriate uncertainty quantification at n = 85. Figure 3 plots these as a forest.</w:t>
      </w:r>
    </w:p>
    <w:p>
      <w:pPr/>
      <w:r>
        <w:t>Frequentist RDS-I and RDS-II. Table 4 compares RDS-I (Salganik-Heckathorn) and RDS-SS estimates for each indicator with per-method bootstrap 95% CIs. RDS-I estimates run systematically higher than RDS-SS — for document withholding, 50.7% versus 35.4% — reflecting the known downward bias of RDS-I relative to the Successive Sampling estimator in this regime. Figure 4 visualises the comparison; we treat RDS-SS as the preferred binary estimator on standard methodological grounds (Gile 2011; Goel and Salganik 2010).</w:t>
      </w:r>
    </w:p>
    <w:p>
      <w:pPr/>
      <w:r>
        <w:t>NSUM under alternative adjustment-factor tiers. Table 5 reports MBSU NSUM estimates under three (δ, τ) tiers — Unadjusted, Moderate, Conservative. Conservative adjustments produce estimates approximately 1.8 times higher than Unadjusted; Moderate adjustments produce estimates approximately 1.3 times higher. Figure 5 shows the Moderate-tier NSUM forest plot. The continuous-τ sensitivity analysis (Section 4.5) supersedes this discrete-tier comparison for the substantive inference, but the tier comparison is retained here for direct comparability with the existing NSUM literature.</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t>Table 3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t>Table 4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r>
        <w:t xml:space="preserve"> Reported here at the Moderate (δ=0.9, τ=0.85) adjustment tier; for the continuous-τ sensitivity analysis see Section 4.5 and ESM_4 Figure 1.</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t>Table 5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t>4.5</w:t>
        <w:tab/>
        <w:t>Sensitivity and Robustness</w:t>
      </w:r>
    </w:p>
    <w:p>
      <w:pPr/>
      <w:r>
        <w:t>Three sensitivity analyses are reported in full in ESM_4. First, the continuous-τ NSUM sweep (Section 3.5; ESM_4 Figure 1) shows MBSU prevalence as a continuous function of the visibility/true-positive-rate adjustment τ for each of the five indicators, with δ fixed at 0.9. Prevalence estimates increase monotonically as τ decreases (as expected algebraically); the increase is modest in absolute terms across the plausible range τ ∈ [0.7, 1.0] and substantial only at low τ ≤ 0.5. This continuous picture supersedes the discrete-tier comparison (Section 4.4) for substantive inference about how visibility assumptions affect estimates.</w:t>
      </w:r>
    </w:p>
    <w:p>
      <w:pPr/>
      <w:r>
        <w:t>Second, the MA-RDS seed-selection sensitivity (ESM_4 Figure 2) shows that the Bayesian MA posterior estimates are insensitive to the choice of seed-selection method (degree, random, sample) at our sample size — different chains converge to the same posterior, confirming model robustness to initialisation.</w:t>
      </w:r>
    </w:p>
    <w:p>
      <w:pPr/>
      <w:r>
        <w:t>Third, cross-indicator and cross-method consistency: across the five indicators and the four main estimators (RDS-I, RDS-SS, MA-RDS, MBSU NSUM Moderate), the rank-ordering of indicators by prevalence is stable. Excessive working hours is consistently highest, followed by threats and abuse and pay-related issues, with document withholding the lowest. Absolute prevalence levels vary by method but the substantive picture — which exploitation behaviours are most common, which least — does not.</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pPr/>
      <w:r>
        <w:t>5.1</w:t>
        <w:tab/>
        <w:t>Summary of Findings</w:t>
      </w:r>
    </w:p>
    <w:p>
      <w:pPr>
        <w:pStyle w:val="NormalWeb"/>
      </w:pPr>
      <w:r>
        <w:t>Across five ILO-aligned binary indicators measured on a respondent-driven sample of 85 UK migrant domestic workers, RDS-SS Horvitz-Thompson prevalence estimates range from 35.4% for document withholding (95% CI 21.1–49.8%) to 84.2% for excessive working hours (95% CI 72.2–93.6%); a composite continuous risk index covering all eleven indicator dimensions gives an estimated mean exploitation intensity of 37.0% (95% CI 30.9–44.0%). MBSU Moderate NSUM estimates of the same five binary indicators range from 1.08% (document withholding) to 2.98% (excessive hours), an order-of-magnitude lower than the RDS-SS figures. The within-method ordering of indicators is consistent across methods: excessive working hours always highest, followed by threats and abuse and pay-related issues, with document withholding always lowest. This consistency, alongside the order-of-magnitude gap between ego-based (RDS) and alter-based (NSUM) estimates, is the central empirical finding of the paper. The remainder of this section interprets both the absolute estimates and the inter-method divergence.</w:t>
      </w:r>
    </w:p>
    <w:p>
      <w:pPr/>
      <w:r>
        <w:t>5.2</w:t>
        <w:tab/>
        <w:t>Methodological Reflections and Contributions</w:t>
      </w:r>
    </w:p>
    <w:p>
      <w:pPr>
        <w:pStyle w:val="NormalWeb"/>
      </w:pPr>
      <w:r>
        <w:t>This paper makes two contributions to the measurement of modern slavery and related forms of severe labour exploitation among hidden vulnerable populations. First, we develop and apply a dual-method design that elicits respondent-driven sampling (RDS) and network scale-up method (NSUM) estimates for the same set of ILO-aligned indicators from the same matched survey instrument. To our knowledge, this is the first application of RDS and NSUM to a single matched survey instrument for the measurement of forced-labour and modern-slavery indicators in any developed-economy setting, allowing direct triangulation of ego-based and alter-based prevalence estimates on a like-for-like indicator set. Second, we operationalise modern slavery as a graded latent construct rather than a binary condition, supporting both indicator-level prevalence estimates and a continuous composite risk index for analyses that require ordinal severity gradation.</w:t>
      </w:r>
    </w:p>
    <w:p>
      <w:pPr>
        <w:pStyle w:val="NormalWeb"/>
      </w:pPr>
      <w:r>
        <w:t>Dual conceptualisation of exploitation: We introduce two distinct approaches to operationalising exploitation. First, we treat exploitation as a binary outcome (exploited versus not exploited), enabling direct comparison of prevalence estimates across RDS and NSUM methods. Second, we construct a continuous composite risk index spanning thirteen indicator categories drawn from the ILO conceptual framework, anchored to the ILO medium/strong severity hierarchy.</w:t>
      </w:r>
    </w:p>
    <w:p>
      <w:pPr>
        <w:pStyle w:val="NormalWeb"/>
      </w:pPr>
      <w:r>
        <w:t>Combining RDS and NSUM on the same survey instrument: By designing a survey that captures both ego and alter information, we are able to apply RDS and NSUM to the same sample. This dual approach has rarely been implemented in studies of labour exploitation. It provides an opportunity to cross-validate prevalence estimates against the visibility structure of the underlying network, and where the two methods diverge, exposes the visibility gradient of different exploitation behaviours within workers’ personal networks (Section 5.3).</w:t>
      </w:r>
    </w:p>
    <w:p>
      <w:pPr>
        <w:pStyle w:val="NormalWeb"/>
      </w:pPr>
      <w:r>
        <w:t>Three-step bootstrap procedure for NSUM: Recognising the non-random nature of an RDS sample, we implement a three-step bootstrap procedure tailored for NSUM estimation that resamples respondents, their reported alters, and the exploitation classifications in succession, propagating uncertainty from each source through to the final confidence interval. The procedure captures multiple layers of variability and produces per-indicator confidence intervals that are honest about the cumulative uncertainty in the design.</w:t>
      </w:r>
    </w:p>
    <w:p>
      <w:pPr>
        <w:pStyle w:val="NormalWeb"/>
      </w:pPr>
      <w:r>
        <w:t>Application to domestic workers in the UK: By working with civil society organisations to apply these methods to a population that is both highly stigmatised and under-researched, we demonstrate the feasibility of using advanced network-based estimation techniques in contexts where traditional sampling frames fail. The methodology generalises to other hidden populations relevant to SDG 8.7 monitoring (Section 5.6).</w:t>
      </w:r>
    </w:p>
    <w:p>
      <w:pPr/>
      <w:r>
        <w:t>5.3</w:t>
        <w:tab/>
        <w:t>The RDS–NSUM Divergence as Diagnostic</w:t>
      </w:r>
    </w:p>
    <w:p>
      <w:pPr>
        <w:pStyle w:val="NormalWeb"/>
      </w:pPr>
      <w:r>
        <w:t>Two related concerns raised by reviewers of earlier versions of this paper are taken up here: that the reported prevalence estimates span a wide range, and that the sample size (n = 85) is small for population-level inference. We argue that the apparent “wide range” in fact reflects three conceptually distinct sources of dispersion, each of which carries a different epistemic status; and that on the only one of the three sources where sample size matters, n = 85 is competitive for hidden-population designs and the per-method bootstrap confidence intervals we now report propagate the implied uncertainty honestly.</w:t>
      </w:r>
    </w:p>
    <w:p>
      <w:pPr>
        <w:pStyle w:val="NormalWeb"/>
      </w:pPr>
      <w:r>
        <w:t>The “wide range” concern conflates three distinct sources of dispersion in the reported numbers. We should not treat them as a single undifferentiated band of uncertainty.</w:t>
      </w:r>
    </w:p>
    <w:p>
      <w:pPr>
        <w:pStyle w:val="NormalWeb"/>
      </w:pPr>
      <w:r>
        <w:t>The first source is across-indicator variation. Within any single method, prevalence varies substantially across the five ILO-aligned indicators — under RDS-SS, from 35.4% for document withholding to 84.2% for excessive working hours, a 49-percentage-point spread. This is a substantive finding, not noise. It tells us that severe forms of coercion (document confiscation, which the ILO classifies as a strong indicator any one of which alone is sufficient to indicate forced labour) are less common in this population than less severe forms of abuse (excessive hours, an ILO medium indicator whose presence individually is suggestive but not definitive). The hierarchy is interpretable, matches the ILO severity gradation, and is reproduced across methods. Collapsing this hierarchy into a single “wide range” headline obscures what is arguably the paper’s most policy-relevant finding: that different exploitation behaviours have meaningfully different population frequencies.</w:t>
      </w:r>
    </w:p>
    <w:p>
      <w:pPr>
        <w:pStyle w:val="NormalWeb"/>
      </w:pPr>
      <w:r>
        <w:t>The second source is across-method variation. For any single indicator, RDS and NSUM estimates differ by roughly an order of magnitude: document withholding sits at 35.4% under RDS-SS but at 1.08% under MBSU Moderate NSUM; excessive hours at 84.2% versus 2.98%. This too is a substantive finding, not noise. It is the visibility gradient diagnostic that lies at the centre of this paper’s contribution: ego-based RDS asks what happened to you, alter-based NSUM asks what you can see happening to others, and the two answer related but different questions for behaviours that occur behind closed doors — almost by definition for domestic work conducted inside a private home. The order-of-magnitude gap between our RDS and NSUM estimates is therefore not a methodological pathology but a quantification of the visibility gradient that separates lived experience from network-observable behaviour. Reporting RDS and NSUM side-by-side (Table 2) is the paper’s design choice precisely because the gap is the point.</w:t>
      </w:r>
    </w:p>
    <w:p>
      <w:pPr>
        <w:pStyle w:val="NormalWeb"/>
      </w:pPr>
      <w:r>
        <w:t>The third source — and the only one that is irreducibly statistical uncertainty in the conventional sense — is within-method, within-indicator sampling variation. This is what the bootstrap confidence intervals capture, and these are much tighter than the across-indicator and across-method spreads taken together. RDS-SS within-indicator CIs span 21–30 percentage points; MBSU Moderate within-indicator CIs span 1–4 percentage points. A residual component of within-method uncertainty for NSUM specifically comes from the unknown true-positive rate τ, which the continuous-τ sweep across τ ∈ [0.40, 1.00] in ESM_4 reports as a sensitivity curve rather than committing to a single point estimate. Sample-size effects operate through this third channel and only this third channel: more respondents would narrow the bootstrap CIs but would not narrow the across-indicator hierarchy (which is real) or the across-method gap (which is the diagnostic finding).</w:t>
      </w:r>
    </w:p>
    <w:p>
      <w:pPr>
        <w:pStyle w:val="NormalWeb"/>
      </w:pPr>
      <w:r>
        <w:t>Three further observations support the visibility-gradient interpretation of the across-method gap. First, the gap is largest for the indicators we would expect to be least visible across network ties. Document withholding is concealed by definition: the document is taken and the worker either complies under duress or has limited recourse to alert others. Excessive working hours is comparatively more visible to other domestic workers, who can often infer working hours from communication patterns, time off, and meeting availability — and the ratio of ego to alter estimates is correspondingly smaller for hours than for documents (28× versus 33×). Second, the within-method ordering of indicators is remarkably stable across methodologically unrelated estimators, which is the robustness signal that justifies treating the indicators as measuring meaningfully distinct gradations of severity, even where absolute levels differ. Third, the direction of the bias is consistent with what the NSUM literature predicts. Feehan and Salganik (2016) and the subsequent transmission-bias literature (Maltiel et al. 2015, Killworth et al. 1998) document systematic alter under-reporting for stigmatised or concealed traits, with the underestimation factor often an order of magnitude. Our findings are squarely in line with this pattern.</w:t>
      </w:r>
    </w:p>
    <w:p>
      <w:pPr>
        <w:pStyle w:val="NormalWeb"/>
      </w:pPr>
      <w:r>
        <w:t>On the sample-size sub-concern: n = 85 is small by household-survey standards but competitive for hidden-population studies. Published applications of RDS to similar populations operate at sample sizes in the 100–300 range, and UK domestic-worker NGO samples (Kalayaan, Latin American Women’s Rights Service) are typically smaller and self-selected rather than network-recruited. The dual ego/alter survey design extracts substantially more information per respondent than a household survey, because each respondent contributes both their own exploitation status and observations of network alters; the 85 respondents therefore yield 170 indicator measurements per ILO category once both reports are counted, before any network-weighting amplification. A further sample-related limitation is that recruitment chains did not propagate as deeply as the RDS design envisaged — most respondents are original sample members (seeds) drawn from the participating civil-society organisations’ immediate contact networks, rather than later-wave recruits accessed through respondent-driven referral. A longer field period or higher per-referral incentive in future replications would help propagate chains further and yield a sample less dependent on seed properties.</w:t>
      </w:r>
    </w:p>
    <w:p>
      <w:pPr/>
      <w:r>
        <w:t>5.4</w:t>
        <w:tab/>
        <w:t>Generalisability and Indicator Coverage</w:t>
      </w:r>
    </w:p>
    <w:p>
      <w:pPr>
        <w:pStyle w:val="NormalWeb"/>
      </w:pPr>
      <w:r>
        <w:t>Reviewers have asked whether estimates from a single civil-society-mediated sample can support population-level claims, and whether the five indicators we measure capture the full ILO conceptual space. Both are valid concerns and both warrant qualification of the paper’s claims rather than retreat from them.</w:t>
      </w:r>
    </w:p>
    <w:p>
      <w:pPr>
        <w:pStyle w:val="NormalWeb"/>
      </w:pPr>
      <w:r>
        <w:t>On generalisability: the sample is drawn from two civil-society networks based in London (Kalayaan and the Latin American Women’s Rights Service) and is not representative of all UK migrant domestic workers, much less all migrant domestic workers globally or all hidden populations relevant to SDG Target 8.7. The respondent demographics skew toward Filipino and Latinx nationalities, both of which are well-represented in the participating organisations’ membership but which together do not reflect the full ethnonational composition of the UK migrant domestic worker population (which also includes substantial South Asian, East African, and Eastern European communities not reached by these networks within the field period). What the paper demonstrates is methodological feasibility on the hardest realistic case — a hidden migrant population in a developed economy with restrictive visa conditions, mediated by under-resourced civil-society partners — and a set of specific prevalence estimates for that sample. The methodology generalises (the dual RDS–NSUM design can be applied to other hidden populations and other geographies); the specific prevalence numbers should not be extrapolated beyond this sample.</w:t>
      </w:r>
    </w:p>
    <w:p>
      <w:pPr>
        <w:pStyle w:val="NormalWeb"/>
      </w:pPr>
      <w:r>
        <w:t>On indicator coverage: the paper measures five ILO indicators directly (excessive working hours, pay-related issues, threats and abuse, document withholding, limited access to help — see Section 2.1 for the mapping to the eleven canonical ILO indicators). Two further ILO indicators (abuse of vulnerability, deception) are absorbed thematically into the composite risk index but not estimated as standalone prevalence figures, because they require retrospective interpretation that brief-survey self-report cannot reliably elicit at our sample size — a respondent asked “were you deceived about your working conditions” must reconstruct intent and knowledge states from the perspective of months or years after the fact. Two further indicators (induced addiction, sale of a person) are too rare in the UK domestic-work context to estimate meaningfully at n = 85 — we record zero affirmative responses to both indicators in this sample, but a zero in an n = 85 sample is statistically uninformative about the population rate. Debt bondage is partially captured under the pay-related issues composite. The paper’s claim is therefore not “prevalence of forced labour as defined by the eleven ILO indicators” but “prevalence of nine of the eleven ILO indicators, with two principled exclusions and one thematic consolidation”, as set out in the mapping in Section 2.1.</w:t>
      </w:r>
    </w:p>
    <w:p>
      <w:pPr>
        <w:pStyle w:val="NormalWeb"/>
      </w:pPr>
      <w:r>
        <w:t>Taking the divergence diagnostic, the generalisability qualifications, and the indicator coverage qualifications together, what does this design licence the paper to claim? Not a single point estimate of “the prevalence of forced labour among UK domestic workers”, because no single point estimate is identified — the truth for any given indicator lies between the ego-based and alter-based reports, with the location on that interval depending on assumptions about visibility that the data cannot fully pin down. What the design does licence is (a) a credible lower bound for population-level estimates of severe coercion (the MBSU Moderate figures are conservative under any reasonable parameterisation of τ); (b) a credible characterisation of relative incidence among respondents from the RDS estimates, and of the indicator severity hierarchy from the cross-method robustness; and (c) a diagnostic of which exploitation behaviours are visible to other workers and which are not — a finding with direct implications for the design of network-mediated outreach interventions (Section 5.6).</w:t>
      </w:r>
    </w:p>
    <w:p>
      <w:pPr/>
      <w:r>
        <w:t>5.5</w:t>
        <w:tab/>
        <w:t>Composite Risk Index: Construction and Weight Sensitivity</w:t>
      </w:r>
    </w:p>
    <w:p>
      <w:pPr>
        <w:pStyle w:val="NormalWeb"/>
      </w:pPr>
      <w:r>
        <w:t>A further question is whether the composite risk index reported in Section 4.2 is sensitive to the specific weights assigned to its eleven sub-indicators. The index is constructed as a weighted sum of binary or partial-credit responses across eleven indicator categories drawn from the ILO framework, with weights anchored on the medium/strong severity gradation: strong-indicator categories (intimidation and threats, physical and sexual violence, retention of identity documents) receive larger sub-weights than medium-indicator categories. A reviewer could reasonably ask whether the qualitative conclusions of the paper — particularly the ranking of respondents by composite-risk and the 37.0% population mean estimate — would change under a different but equally defensible choice of weights.</w:t>
      </w:r>
    </w:p>
    <w:p>
      <w:pPr>
        <w:pStyle w:val="NormalWeb"/>
      </w:pPr>
      <w:r>
        <w:t>To address this we conducted a weight-perturbation sensitivity analysis. We multiplied each of the eleven sub-indicator weights by an independent uniform random factor in [0.5, 1.5] (that is, allowed each weight to vary by ±50% of its baseline value), recomputed the composite-risk score for each respondent under the perturbed weights, and compared the resulting ranking to the baseline ranking. We repeated the procedure for 5,000 independent perturbations.</w:t>
      </w:r>
    </w:p>
    <w:p>
      <w:pPr>
        <w:pStyle w:val="NormalWeb"/>
      </w:pPr>
      <w:r>
        <w:t>The ranking of respondents by composite-risk is essentially weight-invariant. Mean Spearman rank correlation between the perturbed and baseline composites was ρ = 0.992 (95% range across perturbations: 0.985–0.997), with the worst-case ρ across all 5,000 draws being 0.974. The 97.5% interval of perturbed composites that fell in the same top quartile as the baseline composite was 92–100%, with a mean of 97.5%. Even under a more aggressive ±75% perturbation, Spearman ρ remained above 0.944 in the worst case across 5,000 draws and the top-quartile preservation averaged 94.4%. We conclude that the substantive conclusions of the composite-risk analysis — which respondents are at highest risk, the population mean of 37.0%, and the rank-ordering used for downstream analyses — do not depend on the specific weighting choice within any plausible alternative parameterisation. Full perturbation results are reported in ESM_4.</w:t>
      </w:r>
    </w:p>
    <w:p>
      <w:pPr/>
      <w:r>
        <w:t>5.6</w:t>
        <w:tab/>
        <w:t>Policy Implications and SDG 8.7 Monitoring</w:t>
      </w:r>
    </w:p>
    <w:p>
      <w:pPr>
        <w:pStyle w:val="NormalWeb"/>
      </w:pPr>
      <w:r>
        <w:t>The dual RDS–NSUM design and the visibility-gradient diagnostic developed here are themselves policy-useful outputs for SDG 8.7 monitoring. Target 8.7 of the Sustainable Development Goals commits signatory states to “take immediate and effective measures to eradicate forced labour, end modern slavery and human trafficking” by 2030, with monitoring requiring credible population-level prevalence estimation for populations that are largely invisible to official statistics. The methodology demonstrated in this paper — matched ego-alter instruments fielded through civil-society partnerships, estimated with parallel RDS and NSUM frameworks, and reported with explicit visibility-adjustment sensitivity — is replicable for other hidden populations relevant to 8.7 monitoring (undocumented agricultural workers, sex workers, day labourers in informal construction, kafala-system migrants in Gulf-state economies). The specific numerical estimates in this paper apply only to the UK migrant domestic worker case; the design is the contribution to the broader SDG monitoring effort.</w:t>
      </w:r>
    </w:p>
    <w:p>
      <w:pPr>
        <w:pStyle w:val="NormalWeb"/>
      </w:pPr>
      <w:r>
        <w:t>These transnational migrants are at particular risk of exploitation due to regulatory visa restrictions and intersecting structural issues related to their gender, the relative isolation of domestic work and a lack of supportive social networks. Workers enter on restricted visas where their employment is tied to a specific employer, with limited routes to change employer in cases of exploitation and limited access to mainstream labour-market protections. The structural features of the visa regime themselves create the conditions under which the high prevalence of indicators reported in Section 4 becomes possible.</w:t>
      </w:r>
    </w:p>
    <w:p>
      <w:pPr>
        <w:pStyle w:val="NormalWeb"/>
      </w:pPr>
      <w:r>
        <w:t>To reduce the vulnerability of transnational domestic workers to this—and other—forms of labour exploitation, we urge policy-makers to reconsider these discriminatory visa conditions and offer the same freedoms to domestic workers that are enjoyed by other groups of workers under UK law.</w:t>
      </w:r>
    </w:p>
    <w:p>
      <w:pPr>
        <w:pStyle w:val="NormalWeb"/>
      </w:pPr>
      <w:r>
        <w:t>In addition, given the vulnerabilities experienced by workers due to the private nature of the workplace, we would urge the UK government to consider the regulation of domestic worker employers.</w:t>
      </w:r>
    </w:p>
    <w:p>
      <w:pPr>
        <w:pStyle w:val="NormalWeb"/>
      </w:pPr>
      <w:r>
        <w:t>Finally, given the stigma and very real danger of deportation of those transnational migrant domestic workers who may have fallen out of legal migration status, our evidence suggests that there is an urgent need for the UK Government to enforce a firewall between immigration control and labour exploitation enforcement, so that workers fearing immigration consequences are not deterred from reporting exploitation.</w:t>
      </w:r>
    </w:p>
    <w:p>
      <w:pPr>
        <w:pStyle w:val="NormalWeb"/>
      </w:pPr>
      <w:r>
        <w:t>The UK Visa and Immigration service already offers rights-based training to migrant domestic workers via UK embassies in certain source countries. To reduce migrant domestic workers’ vulnerabilities, we advocate the expansion of this training both to include explicit training related to employment and labour rights, and to extend its geographical reach to all source countries.</w:t>
      </w:r>
    </w:p>
    <w:p>
      <w:pPr>
        <w:pStyle w:val="NormalWeb"/>
      </w:pPr>
      <w:r>
        <w:t>The visibility-gradient diagnostic developed in this paper adds a further policy dimension. Programmes designed to identify and intervene in cases of exploitation typically operate through network-mediated outreach: peer-to-peer referral, civil-society partnership, and warm-handover models. Such programmes can only reach exploitation behaviours that are visible across network ties. Our findings suggest that excessive working hours (with a comparatively small ego–alter gap) is well-suited to network-mediated identification, whereas document withholding (with the largest ego–alter gap in our sample) is largely invisible across network ties and will require different intervention designs — embassy-level or institutional intake screening rather than peer outreach. The dual-method design therefore not only estimates prevalence but also helps programme designers calibrate their identification strategy to the visibility profile of the specific exploitation behaviour they aim to address.</w:t>
      </w:r>
    </w:p>
    <w:p>
      <w:pPr>
        <w:pStyle w:val="NormalWeb"/>
      </w:pPr>
      <w:r>
        <w:t>Future work in this programme of research should extend the methodology to web-RDS implementations capable of reaching larger and more dispersed samples, and explore integration with administrative data sources (NRM referrals, immigration enforcement data subject to firewall safeguards, employment-tribunal records) for triangulating prevalence estimates against complementary data streams. The methodology presented here is one component of a broader monitoring architecture for SDG 8.7 reporting; integration with that broader architecture is left for future work.</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