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i/>
          <w:sz w:val="22"/>
          <w:color w:val="666666"/>
        </w:rPr>
        <w:t xml:space="preserve">COMPLETE IN-TEXT MANUSCRIPT (assembled 24 May 2026). Tables and figures embedded inline at their cross-reference points. This is the editing surface for the SIR submission. Note: Figure 4 and Figure 5 originally had near-identical captions in the source files — please verify which figure goes in which slot.</w:t>
      </w:r>
    </w:p>
    <w:p w14:paraId="0175187C" w14:textId="5402383C" w:rsidR="261DD6DC" w:rsidRDefault="261DD6DC" w:rsidP="69EB8FAA">
      <w:pPr>
        <w:spacing w:line="480" w:lineRule="auto"/>
        <w:rPr>
          <w:rFonts w:ascii="var(--bs-body-font-family)" w:hAnsi="var(--bs-body-font-family)" w:hint="eastAsia"/>
          <w:b/>
          <w:bCs/>
          <w:lang w:val="en-US"/>
        </w:rPr>
      </w:pPr>
      <w:r w:rsidRPr="69EB8FAA">
        <w:rPr>
          <w:rFonts w:ascii="var(--bs-body-font-family)" w:hAnsi="var(--bs-body-font-family)"/>
          <w:b/>
          <w:bCs/>
          <w:lang w:val="en-US"/>
        </w:rPr>
        <w:t xml:space="preserve">Quantifying hidden exploitation: Dual method prevalence estimates of </w:t>
      </w:r>
      <w:proofErr w:type="spellStart"/>
      <w:r w:rsidRPr="69EB8FAA">
        <w:rPr>
          <w:rFonts w:ascii="var(--bs-body-font-family)" w:hAnsi="var(--bs-body-font-family)"/>
          <w:b/>
          <w:bCs/>
          <w:lang w:val="en-US"/>
        </w:rPr>
        <w:t>labour</w:t>
      </w:r>
      <w:proofErr w:type="spellEnd"/>
      <w:r w:rsidRPr="69EB8FAA">
        <w:rPr>
          <w:rFonts w:ascii="var(--bs-body-font-family)" w:hAnsi="var(--bs-body-font-family)"/>
          <w:b/>
          <w:bCs/>
          <w:lang w:val="en-US"/>
        </w:rPr>
        <w:t xml:space="preserve"> exploitation among domestic workers in the United Kingdom  </w:t>
      </w:r>
    </w:p>
    <w:p w14:paraId="475E969A" w14:textId="6965F511" w:rsidR="752265D2" w:rsidRDefault="752265D2" w:rsidP="752265D2">
      <w:pPr>
        <w:rPr>
          <w:lang w:val="en-US"/>
        </w:rPr>
      </w:pPr>
    </w:p>
    <w:p w14:paraId="7DF66CEB" w14:textId="153BFCF5" w:rsidR="42137F93" w:rsidRDefault="42137F93" w:rsidP="752265D2">
      <w:pPr>
        <w:spacing w:line="480" w:lineRule="auto"/>
        <w:rPr>
          <w:rStyle w:val="Strong"/>
          <w:lang w:val="en-US"/>
        </w:rPr>
      </w:pPr>
      <w:r w:rsidRPr="752265D2">
        <w:rPr>
          <w:rStyle w:val="Strong"/>
          <w:lang w:val="en-US"/>
        </w:rPr>
        <w:t>Abstract</w:t>
      </w:r>
    </w:p>
    <w:p w14:paraId="5ECB9AB0" w14:textId="01EDEFEC" w:rsidR="42137F93" w:rsidRDefault="000B5D2E" w:rsidP="752265D2">
      <w:pPr>
        <w:spacing w:line="480" w:lineRule="auto"/>
        <w:rPr>
          <w:rFonts w:ascii="var(--bs-body-font-family)" w:hAnsi="var(--bs-body-font-family)" w:hint="eastAsia"/>
          <w:lang w:val="en-US"/>
        </w:rPr>
      </w:pPr>
      <w:proofErr w:type="spellStart"/>
      <w:proofErr w:type="spellEnd"/>
      <w:proofErr w:type="spellStart"/>
      <w:proofErr w:type="spellEnd"/>
      <w:proofErr w:type="spellStart"/>
      <w:proofErr w:type="spellEnd"/>
      <w: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develops and applies a measurement approach that combines respondent-driven sampling (RDS) for ego-level estimation with the network scale-up method (NSUM) for alter-level estimation, allowing the two methods to triangulate prevalence among hidden populations whose true network structure is not directly observable. We apply the approach to UK domestic workers, the hardest realistic case in a developed-economy setting, using a matched-instrument design that produces RDS and NSUM estimates of five comparable ILO-aligned indicators of forced labour. We report per-indicator estimates with bootstrap and Bayesian uncertainty intervals, evaluate sensitivity to the visibility-adjustment factor, and discuss what the divergence between RDS and NSUM estimates implies for quality-of-life monitoring among hidden populations.</w:t>
      </w:r>
    </w:p>
    <w:p w14:paraId="1BFDDFF9" w14:textId="64701E2F" w:rsidR="42137F93" w:rsidRDefault="42137F93" w:rsidP="752265D2">
      <w:pPr>
        <w:spacing w:line="480" w:lineRule="auto"/>
        <w:rPr>
          <w:rStyle w:val="Strong"/>
          <w:lang w:val="en-US"/>
        </w:rPr>
      </w:pPr>
      <w:r w:rsidRPr="752265D2">
        <w:rPr>
          <w:rStyle w:val="Strong"/>
          <w:lang w:val="en-US"/>
        </w:rPr>
        <w:t>Key words</w:t>
      </w:r>
    </w:p>
    <w:p w14:paraId="67FE74BF" w14:textId="428A4CCC" w:rsidR="42137F93" w:rsidRDefault="42137F93" w:rsidP="752265D2">
      <w:pPr>
        <w:spacing w:line="480" w:lineRule="auto"/>
        <w:rPr>
          <w:rFonts w:ascii="var(--bs-body-font-family)" w:hAnsi="var(--bs-body-font-family)" w:hint="eastAsia"/>
          <w:lang w:val="en-US"/>
        </w:rPr>
      </w:pPr>
      <w:r w:rsidRPr="752265D2">
        <w:rPr>
          <w:rFonts w:ascii="var(--bs-body-font-family)" w:hAnsi="var(--bs-body-font-family)"/>
          <w:lang w:val="en-US"/>
        </w:rPr>
        <w:t xml:space="preserve">Prevalence estimation;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risk; </w:t>
      </w:r>
      <w:r w:rsidR="00736495">
        <w:rPr>
          <w:rFonts w:ascii="var(--bs-body-font-family)" w:hAnsi="var(--bs-body-font-family)"/>
          <w:lang w:val="en-US"/>
        </w:rPr>
        <w:t>hard-to-reach workers</w:t>
      </w:r>
      <w:r w:rsidR="00F549E8">
        <w:rPr>
          <w:rFonts w:ascii="var(--bs-body-font-family)" w:hAnsi="var(--bs-body-font-family)"/>
          <w:lang w:val="en-US"/>
        </w:rPr>
        <w:t>.</w:t>
      </w:r>
    </w:p>
    <w:p w14:paraId="14B22E6D" w14:textId="406794D7" w:rsidR="752265D2" w:rsidRDefault="752265D2" w:rsidP="752265D2">
      <w:pPr>
        <w:rPr>
          <w:rFonts w:eastAsia="Times New Roman"/>
          <w:b/>
          <w:bCs/>
          <w:lang w:val="en-US"/>
        </w:rPr>
      </w:pPr>
    </w:p>
    <w:p w14:paraId="257C69E5" w14:textId="77777777" w:rsidR="007777E2" w:rsidRPr="007777E2" w:rsidRDefault="007777E2" w:rsidP="007777E2">
      <w:pPr>
        <w:divId w:val="1452744087"/>
        <w:rPr>
          <w:lang w:val="en"/>
        </w:rPr>
      </w:pPr>
    </w:p>
    <w:p w14:paraId="0788BAF0" w14:textId="77777777" w:rsidR="00496996" w:rsidRPr="00496996" w:rsidRDefault="00496996">
      <w:pPr>
        <w:divId w:val="1098062886"/>
        <w:rPr>
          <w:rFonts w:ascii="var(--bs-body-font-family)" w:eastAsia="Times New Roman" w:hAnsi="var(--bs-body-font-family)"/>
          <w:b/>
          <w:bCs/>
          <w:lang w:val="en"/>
        </w:rPr>
      </w:pPr>
    </w:p>
    <w:p w14:paraId="74A3924E" w14:textId="1B79D73F" w:rsidR="002171EC" w:rsidRPr="00355683" w:rsidRDefault="002171EC" w:rsidP="752265D2">
      <w:pPr>
        <w:pStyle w:val="ListParagraph"/>
        <w:numPr>
          <w:ilvl w:val="0"/>
          <w:numId w:val="1"/>
        </w:numPr>
        <w:spacing w:line="480" w:lineRule="auto"/>
        <w:rPr>
          <w:rStyle w:val="Strong"/>
        </w:rPr>
      </w:pPr>
      <w:r w:rsidRPr="752265D2">
        <w:rPr>
          <w:rStyle w:val="Strong"/>
        </w:rPr>
        <w:t>Introduction</w:t>
      </w:r>
    </w:p>
    <w:p w14:paraId="34E6B0BB" w14:textId="5F8E374B" w:rsidR="002171EC" w:rsidRPr="0041001D" w:rsidRDefault="00214D3D" w:rsidP="29FA58D5">
      <w:pPr>
        <w:spacing w:line="480" w:lineRule="auto"/>
        <w:divId w:val="2143187879"/>
        <w:rPr>
          <w:rFonts w:ascii="var(--bs-body-font-family)" w:hAnsi="var(--bs-body-font-family)" w:hint="eastAsia"/>
          <w:lang w:val="en-US"/>
        </w:rPr>
      </w:pPr>
      <w:r>
        <w:rPr>
          <w:rFonts w:ascii="var(--bs-body-font-family)" w:hAnsi="var(--bs-body-font-family)"/>
          <w:lang w:val="en-US"/>
        </w:rPr>
        <w:t>As industrial relations scholars, we</w:t>
      </w:r>
      <w:r w:rsidR="002B2B42">
        <w:rPr>
          <w:rFonts w:ascii="var(--bs-body-font-family)" w:hAnsi="var(--bs-body-font-family)"/>
          <w:lang w:val="en-US"/>
        </w:rPr>
        <w:t xml:space="preserve"> </w:t>
      </w:r>
      <w:r w:rsidR="00F549E8">
        <w:rPr>
          <w:rFonts w:ascii="var(--bs-body-font-family)" w:hAnsi="var(--bs-body-font-family)"/>
          <w:lang w:val="en-US"/>
        </w:rPr>
        <w:t xml:space="preserve">have </w:t>
      </w:r>
      <w:r w:rsidR="002B2B42">
        <w:rPr>
          <w:rFonts w:ascii="var(--bs-body-font-family)" w:hAnsi="var(--bs-body-font-family)"/>
          <w:lang w:val="en-US"/>
        </w:rPr>
        <w:t>been called to rethink our analytical practices and adjust our approach to better reflect</w:t>
      </w:r>
      <w:r w:rsidR="0074288F">
        <w:rPr>
          <w:rFonts w:ascii="var(--bs-body-font-family)" w:hAnsi="var(--bs-body-font-family)"/>
          <w:lang w:val="en-US"/>
        </w:rPr>
        <w:t xml:space="preserve"> transformations in the representation and self-</w:t>
      </w:r>
      <w:proofErr w:type="spellStart"/>
      <w:r w:rsidR="0074288F">
        <w:rPr>
          <w:rFonts w:ascii="var(--bs-body-font-family)" w:hAnsi="var(--bs-body-font-family)"/>
          <w:lang w:val="en-US"/>
        </w:rPr>
        <w:t>organisation</w:t>
      </w:r>
      <w:proofErr w:type="spellEnd"/>
      <w:r w:rsidR="0074288F">
        <w:rPr>
          <w:rFonts w:ascii="var(--bs-body-font-family)" w:hAnsi="var(--bs-body-font-family)"/>
          <w:lang w:val="en-US"/>
        </w:rPr>
        <w:t xml:space="preserve"> of </w:t>
      </w:r>
      <w:r w:rsidR="00F464A5">
        <w:rPr>
          <w:rFonts w:ascii="var(--bs-body-font-family)" w:hAnsi="var(--bs-body-font-family)"/>
          <w:lang w:val="en-US"/>
        </w:rPr>
        <w:t xml:space="preserve">migrant </w:t>
      </w:r>
      <w:r w:rsidR="0074288F">
        <w:rPr>
          <w:rFonts w:ascii="var(--bs-body-font-family)" w:hAnsi="var(--bs-body-font-family)"/>
          <w:lang w:val="en-US"/>
        </w:rPr>
        <w:t>workers</w:t>
      </w:r>
      <w:r w:rsidR="00F464A5">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{"citationID":"L70gCyAY","properties":{"formattedCitation":"(Alberti and Per\\uc0\\u242{}, 2018)","plainCitation":"(Alberti and Però, 2018)","noteIndex":0},"citationItems":[{"id":735,"uris":["http://zotero.org/users/local/nMxJkNMP/items/JC9C84HH"],"itemData":{"id":735,"type":"article-journal","abstract":"This article develops an embedded actor-centred framework for studying the mobilization and bargaining practices of migrant workers. This framework is applied to examine two instances of labour organizing by low-paid Latin American workers in London showing how migrant workers can develop innovative collective initiatives located at the junction of class and ethnicity that can be effective and rewarding in material and non-material terms. In particular, the article shows that while there is a growing interest on the part of established unions to represent migrant workers, their bargaining and mobilization strategies appear inadequate to accommodate the bottom-up initiatives of such workers who, as a result, have started to articulate them independently. On the basis of the findings obtained, we thus argue in favour of an actor-centred framework to the study of migration and IR to better identify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interests, identities and practices as shaped by complex regulatory and social context.","container-title":"British Journal of Industrial Relations","DOI":"10.1111/bjir.12308","ISSN":"1467-8543","issue":"4","language":"en","license":"© 2018 John Wiley &amp; Sons Ltd.","note":"_eprint: https://onlinelibrary.wiley.com/doi/pdf/10.1111/bjir.12308","page":"693-715","source":"Wiley Online Library","title":"Migrating Industrial Relations: Migrant Workers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Initiative Within and Outside Trade Unions","title-short":"Migrating Industrial Relations","URL":"https://onlinelibrary.wiley.com/doi/abs/10.1111/bjir.12308","volume":"56","author":[{"family":"Alberti","given":"Gabriella"},{"family":"Però","given":"Davide"}],"accessed":{"date-parts":[["2026",1,22]]},"issued":{"date-parts":[["2018"]]}}}],"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Però, 2018)</w:t>
      </w:r>
      <w:r w:rsidR="00B459A2">
        <w:rPr>
          <w:rFonts w:ascii="var(--bs-body-font-family)" w:hAnsi="var(--bs-body-font-family)" w:hint="eastAsia"/>
          <w:lang w:val="en-US"/>
        </w:rPr>
        <w:fldChar w:fldCharType="end"/>
      </w:r>
      <w:r w:rsidR="00F464A5">
        <w:rPr>
          <w:rFonts w:ascii="var(--bs-body-font-family)" w:hAnsi="var(--bs-body-font-family)"/>
          <w:lang w:val="en-US"/>
        </w:rPr>
        <w:t>.</w:t>
      </w:r>
      <w:r w:rsidR="006250E0">
        <w:rPr>
          <w:rFonts w:ascii="var(--bs-body-font-family)" w:hAnsi="var(--bs-body-font-family)"/>
          <w:lang w:val="en-US"/>
        </w:rPr>
        <w:t xml:space="preserve"> </w:t>
      </w:r>
      <w:r w:rsidR="00F967D3">
        <w:rPr>
          <w:rFonts w:ascii="var(--bs-body-font-family)" w:hAnsi="var(--bs-body-font-family)"/>
          <w:lang w:val="en-US"/>
        </w:rPr>
        <w:t>Member-led</w:t>
      </w:r>
      <w:r w:rsidR="006250E0">
        <w:rPr>
          <w:rFonts w:ascii="var(--bs-body-font-family)" w:hAnsi="var(--bs-body-font-family)"/>
          <w:lang w:val="en-US"/>
        </w:rPr>
        <w:t xml:space="preserve"> c</w:t>
      </w:r>
      <w:r w:rsidR="00455260">
        <w:rPr>
          <w:rFonts w:ascii="var(--bs-body-font-family)" w:hAnsi="var(--bs-body-font-family)"/>
          <w:lang w:val="en-US"/>
        </w:rPr>
        <w:t xml:space="preserve">ivil society and </w:t>
      </w:r>
      <w:r w:rsidR="00455260">
        <w:rPr>
          <w:rFonts w:ascii="var(--bs-body-font-family)" w:hAnsi="var(--bs-body-font-family)"/>
          <w:lang w:val="en-US"/>
        </w:rPr>
        <w:lastRenderedPageBreak/>
        <w:t xml:space="preserve">third sector </w:t>
      </w:r>
      <w:proofErr w:type="spellStart"/>
      <w:r w:rsidR="00455260">
        <w:rPr>
          <w:rFonts w:ascii="var(--bs-body-font-family)" w:hAnsi="var(--bs-body-font-family)"/>
          <w:lang w:val="en-US"/>
        </w:rPr>
        <w:t>organisations</w:t>
      </w:r>
      <w:proofErr w:type="spellEnd"/>
      <w:r w:rsidR="00455260">
        <w:rPr>
          <w:rFonts w:ascii="var(--bs-body-font-family)" w:hAnsi="var(--bs-body-font-family)"/>
          <w:lang w:val="en-US"/>
        </w:rPr>
        <w:t xml:space="preserve"> have been described as</w:t>
      </w:r>
      <w:r w:rsidR="00B459A2">
        <w:rPr>
          <w:rFonts w:ascii="var(--bs-body-font-family)" w:hAnsi="var(--bs-body-font-family)"/>
          <w:lang w:val="en-US"/>
        </w:rPr>
        <w:t xml:space="preserve"> the</w:t>
      </w:r>
      <w:r w:rsidR="00455260">
        <w:rPr>
          <w:rFonts w:ascii="var(--bs-body-font-family)" w:hAnsi="var(--bs-body-font-family)"/>
          <w:lang w:val="en-US"/>
        </w:rPr>
        <w:t xml:space="preserve"> </w:t>
      </w:r>
      <w:r w:rsidR="00B459A2">
        <w:rPr>
          <w:rFonts w:ascii="var(--bs-body-font-family)" w:hAnsi="var(--bs-body-font-family)"/>
          <w:lang w:val="en-US"/>
        </w:rPr>
        <w:t>‘</w:t>
      </w:r>
      <w:r w:rsidR="00455260">
        <w:rPr>
          <w:rFonts w:ascii="var(--bs-body-font-family)" w:hAnsi="var(--bs-body-font-family)"/>
          <w:lang w:val="en-US"/>
        </w:rPr>
        <w:t>new actors</w:t>
      </w:r>
      <w:r w:rsidR="00B459A2">
        <w:rPr>
          <w:rFonts w:ascii="var(--bs-body-font-family)" w:hAnsi="var(--bs-body-font-family)"/>
          <w:lang w:val="en-US"/>
        </w:rPr>
        <w:t>’</w:t>
      </w:r>
      <w:r w:rsidR="00455260">
        <w:rPr>
          <w:rFonts w:ascii="var(--bs-body-font-family)" w:hAnsi="var(--bs-body-font-family)"/>
          <w:lang w:val="en-US"/>
        </w:rPr>
        <w:t xml:space="preserve"> in</w:t>
      </w:r>
      <w:r w:rsidR="00B459A2">
        <w:rPr>
          <w:rFonts w:ascii="var(--bs-body-font-family)" w:hAnsi="var(--bs-body-font-family)"/>
          <w:lang w:val="en-US"/>
        </w:rPr>
        <w:t xml:space="preserve"> the</w:t>
      </w:r>
      <w:r w:rsidR="00455260">
        <w:rPr>
          <w:rFonts w:ascii="var(--bs-body-font-family)" w:hAnsi="var(--bs-body-font-family)"/>
          <w:lang w:val="en-US"/>
        </w:rPr>
        <w:t xml:space="preserve"> </w:t>
      </w:r>
      <w:r w:rsidR="00E73A52">
        <w:rPr>
          <w:rFonts w:ascii="var(--bs-body-font-family)" w:hAnsi="var(--bs-body-font-family)"/>
          <w:lang w:val="en-US"/>
        </w:rPr>
        <w:t>industrial relations</w:t>
      </w:r>
      <w:r w:rsidR="00F80625">
        <w:rPr>
          <w:rFonts w:ascii="var(--bs-body-font-family)" w:hAnsi="var(--bs-body-font-family)"/>
          <w:lang w:val="en-US"/>
        </w:rPr>
        <w:t xml:space="preserve"> of these workers</w:t>
      </w:r>
      <w:r w:rsidR="00B459A2">
        <w:rPr>
          <w:rFonts w:ascii="var(--bs-body-font-family)" w:hAnsi="var(--bs-body-font-family)"/>
          <w:lang w:val="en-US"/>
        </w:rPr>
        <w:t xml:space="preserve"> </w:t>
      </w:r>
      <w:r w:rsidR="00B459A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{"citationID":"WXN2EKJp","properties":{"formattedCitation":"(Alberti and Cutter, 2022)","plainCitation":"(Alberti and Cutter, 2022)","noteIndex":0},"citationItems":[{"id":691,"uris":["http://zotero.org/users/local/nMxJkNMP/items/AW2A84Q2"],"itemData":{"id":691,"type":"article-journal","abstract":"The end of free movement of labour from the European Union represents an unprecedented form of re-regulation of the UK labour market. This study explores how old and new actors engage with the sphere of migration, arguing that not only their economic interests but also different political agendas and meanings of regulation shape dialogue on migration regulation post-Brexit. Our findings suggest moving away from a unilateral, positive view of regulation in work and employment as well as to overcome any artificial distinction between the economic and the social implications of international migration.","container-title":"Industrial Relations Journal","DOI":"10.1111/irj.12382","ISSN":"1468-2338","issue":"5","language":"en","note":"_eprint: https://onlinelibrary.wiley.com/doi/pdf/10.1111/irj.12382","page":"430-445","source":"Wiley Online Library","title":"Labour migration policy post-Brexit: The contested meaning of regulation by old and new actors","title-short":"Labour migration policy post-Brexit","URL":"https://onlinelibrary.wiley.com/doi/abs/10.1111/irj.12382","volume":"53","author":[{"family":"Alberti","given":"Gabriella"},{"family":"Cutter","given":"Jo"}],"accessed":{"date-parts":[["2025",12,18]]},"issued":{"date-parts":[["2022"]]}}}],"schema":"https://github.com/citation-style-language/schema/raw/master/csl-citation.json"} </w:instrText>
      </w:r>
      <w:r w:rsidR="00B459A2">
        <w:rPr>
          <w:rFonts w:ascii="var(--bs-body-font-family)" w:hAnsi="var(--bs-body-font-family)" w:hint="eastAsia"/>
          <w:lang w:val="en-US"/>
        </w:rPr>
        <w:fldChar w:fldCharType="separate"/>
      </w:r>
      <w:r w:rsidR="00B459A2" w:rsidRPr="00B459A2">
        <w:rPr>
          <w:rFonts w:ascii="var(--bs-body-font-family)" w:hAnsi="var(--bs-body-font-family)"/>
        </w:rPr>
        <w:t>(Alberti and Cutter, 2022)</w:t>
      </w:r>
      <w:r w:rsidR="00B459A2">
        <w:rPr>
          <w:rFonts w:ascii="var(--bs-body-font-family)" w:hAnsi="var(--bs-body-font-family)" w:hint="eastAsia"/>
          <w:lang w:val="en-US"/>
        </w:rPr>
        <w:fldChar w:fldCharType="end"/>
      </w:r>
      <w:r w:rsidR="00E73A52">
        <w:rPr>
          <w:rFonts w:ascii="var(--bs-body-font-family)" w:hAnsi="var(--bs-body-font-family)"/>
          <w:lang w:val="en-US"/>
        </w:rPr>
        <w:t xml:space="preserve">. Such </w:t>
      </w:r>
      <w:proofErr w:type="spellStart"/>
      <w:r w:rsidR="00E73A52">
        <w:rPr>
          <w:rFonts w:ascii="var(--bs-body-font-family)" w:hAnsi="var(--bs-body-font-family)"/>
          <w:lang w:val="en-US"/>
        </w:rPr>
        <w:t>organisations</w:t>
      </w:r>
      <w:proofErr w:type="spellEnd"/>
      <w:r w:rsidR="00E73A52">
        <w:rPr>
          <w:rFonts w:ascii="var(--bs-body-font-family)" w:hAnsi="var(--bs-body-font-family)"/>
          <w:lang w:val="en-US"/>
        </w:rPr>
        <w:t xml:space="preserve"> work alongside </w:t>
      </w:r>
      <w:r w:rsidR="007F1F24">
        <w:rPr>
          <w:rFonts w:ascii="var(--bs-body-font-family)" w:hAnsi="var(--bs-body-font-family)"/>
          <w:lang w:val="en-US"/>
        </w:rPr>
        <w:t>workers and employers</w:t>
      </w:r>
      <w:r w:rsidR="00F01EB0">
        <w:rPr>
          <w:rFonts w:ascii="var(--bs-body-font-family)" w:hAnsi="var(--bs-body-font-family)"/>
          <w:lang w:val="en-US"/>
        </w:rPr>
        <w:t xml:space="preserve"> to resist any downgrading of employment standards.</w:t>
      </w:r>
      <w:r w:rsidR="00D92512">
        <w:rPr>
          <w:rFonts w:ascii="var(--bs-body-font-family)" w:hAnsi="var(--bs-body-font-family)"/>
          <w:lang w:val="en-US"/>
        </w:rPr>
        <w:t xml:space="preserve"> Central to th</w:t>
      </w:r>
      <w:r w:rsidR="00CB75FE">
        <w:rPr>
          <w:rFonts w:ascii="var(--bs-body-font-family)" w:hAnsi="var(--bs-body-font-family)"/>
          <w:lang w:val="en-US"/>
        </w:rPr>
        <w:t>eir</w:t>
      </w:r>
      <w:r w:rsidR="00D92512">
        <w:rPr>
          <w:rFonts w:ascii="var(--bs-body-font-family)" w:hAnsi="var(--bs-body-font-family)"/>
          <w:lang w:val="en-US"/>
        </w:rPr>
        <w:t xml:space="preserve"> </w:t>
      </w:r>
      <w:r w:rsidR="00CB75FE">
        <w:rPr>
          <w:rFonts w:ascii="var(--bs-body-font-family)" w:hAnsi="var(--bs-body-font-family)"/>
          <w:lang w:val="en-US"/>
        </w:rPr>
        <w:t>endeavor</w:t>
      </w:r>
      <w:r w:rsidR="00A433BE">
        <w:rPr>
          <w:rFonts w:ascii="var(--bs-body-font-family)" w:hAnsi="var(--bs-body-font-family)"/>
          <w:lang w:val="en-US"/>
        </w:rPr>
        <w:t>s</w:t>
      </w:r>
      <w:r w:rsidR="0074080D">
        <w:rPr>
          <w:rFonts w:ascii="var(--bs-body-font-family)" w:hAnsi="var(--bs-body-font-family)"/>
          <w:lang w:val="en-US"/>
        </w:rPr>
        <w:t xml:space="preserve"> is identification of the</w:t>
      </w:r>
      <w:r w:rsidR="00B55383">
        <w:rPr>
          <w:rFonts w:ascii="var(--bs-body-font-family)" w:hAnsi="var(--bs-body-font-family)"/>
          <w:lang w:val="en-US"/>
        </w:rPr>
        <w:t xml:space="preserve"> nature and</w:t>
      </w:r>
      <w:r w:rsidR="0074080D">
        <w:rPr>
          <w:rFonts w:ascii="var(--bs-body-font-family)" w:hAnsi="var(--bs-body-font-family)"/>
          <w:lang w:val="en-US"/>
        </w:rPr>
        <w:t xml:space="preserve"> scale of</w:t>
      </w:r>
      <w:r w:rsidR="00B55383">
        <w:rPr>
          <w:rFonts w:ascii="var(--bs-body-font-family)" w:hAnsi="var(--bs-body-font-family)"/>
          <w:lang w:val="en-US"/>
        </w:rPr>
        <w:t xml:space="preserve"> employment rights abuses</w:t>
      </w:r>
      <w:r w:rsidR="00A42799">
        <w:rPr>
          <w:rFonts w:ascii="var(--bs-body-font-family)" w:hAnsi="var(--bs-body-font-family)"/>
          <w:lang w:val="en-US"/>
        </w:rPr>
        <w:t xml:space="preserve">, often discussed in terms of </w:t>
      </w:r>
      <w:proofErr w:type="spellStart"/>
      <w:r w:rsidR="00A42799">
        <w:rPr>
          <w:rFonts w:ascii="var(--bs-body-font-family)" w:hAnsi="var(--bs-body-font-family)"/>
          <w:lang w:val="en-US"/>
        </w:rPr>
        <w:t>labour</w:t>
      </w:r>
      <w:proofErr w:type="spellEnd"/>
      <w:r w:rsidR="00A42799">
        <w:rPr>
          <w:rFonts w:ascii="var(--bs-body-font-family)" w:hAnsi="var(--bs-body-font-family)"/>
          <w:lang w:val="en-US"/>
        </w:rPr>
        <w:t xml:space="preserve"> exploitation</w:t>
      </w:r>
      <w:r w:rsidR="006958C1">
        <w:rPr>
          <w:rFonts w:ascii="var(--bs-body-font-family)" w:hAnsi="var(--bs-body-font-family)"/>
          <w:lang w:val="en-US"/>
        </w:rPr>
        <w:t xml:space="preserve"> </w:t>
      </w:r>
      <w:r w:rsidR="006958C1">
        <w:rPr>
          <w:rFonts w:ascii="var(--bs-body-font-family)" w:hAnsi="var(--bs-body-font-family)" w:hint="eastAsia"/>
          <w:lang w:val="en-US"/>
        </w:rPr>
        <w:fldChar w:fldCharType="begin"/>
      </w:r>
      <w:r w:rsidR="006958C1">
        <w:rPr>
          <w:rFonts w:ascii="var(--bs-body-font-family)" w:hAnsi="var(--bs-body-font-family)" w:hint="eastAsia"/>
          <w:lang w:val="en-US"/>
        </w:rPr>
        <w:instrText xml:space="preserve"> ADDIN ZOTERO_ITEM CSL_CITATION {"citationID":"7rgj4B69","properties":{"formattedCitation":"(Kalayaan, 2008; Latin American Women\\uc0\\u8217{}s Rights Service, 2023)","plainCitation":"(Kalayaan, 2008; Latin American Women</w:instrText>
      </w:r>
      <w:r w:rsidR="006958C1">
        <w:rPr>
          <w:rFonts w:ascii="var(--bs-body-font-family)" w:hAnsi="var(--bs-body-font-family)" w:hint="eastAsia"/>
          <w:lang w:val="en-US"/>
        </w:rPr>
        <w:instrText>’</w:instrText>
      </w:r>
      <w:r w:rsidR="006958C1">
        <w:rPr>
          <w:rFonts w:ascii="var(--bs-body-font-family)" w:hAnsi="var(--bs-body-font-family)" w:hint="eastAsia"/>
          <w:lang w:val="en-US"/>
        </w:rPr>
        <w:instrText xml:space="preserve">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6958C1">
        <w:rPr>
          <w:rFonts w:ascii="var(--bs-body-font-family)" w:hAnsi="var(--bs-body-font-family)" w:hint="eastAsia"/>
          <w:lang w:val="en-US"/>
        </w:rPr>
        <w:fldChar w:fldCharType="separate"/>
      </w:r>
      <w:r w:rsidR="006958C1" w:rsidRPr="006958C1">
        <w:rPr>
          <w:rFonts w:ascii="var(--bs-body-font-family)" w:hAnsi="var(--bs-body-font-family)"/>
        </w:rPr>
        <w:t>(</w:t>
      </w:r>
      <w:r w:rsidR="006958C1">
        <w:rPr>
          <w:rFonts w:ascii="var(--bs-body-font-family)" w:hAnsi="var(--bs-body-font-family)"/>
        </w:rPr>
        <w:t xml:space="preserve">see for example </w:t>
      </w:r>
      <w:r w:rsidR="006958C1" w:rsidRPr="006958C1">
        <w:rPr>
          <w:rFonts w:ascii="var(--bs-body-font-family)" w:hAnsi="var(--bs-body-font-family)"/>
        </w:rPr>
        <w:t>Kalayaan, 2008; Latin American Women’s Rights Service, 2023)</w:t>
      </w:r>
      <w:r w:rsidR="006958C1">
        <w:rPr>
          <w:rFonts w:ascii="var(--bs-body-font-family)" w:hAnsi="var(--bs-body-font-family)" w:hint="eastAsia"/>
          <w:lang w:val="en-US"/>
        </w:rPr>
        <w:fldChar w:fldCharType="end"/>
      </w:r>
      <w:r w:rsidR="00A42799">
        <w:rPr>
          <w:rFonts w:ascii="var(--bs-body-font-family)" w:hAnsi="var(--bs-body-font-family)"/>
          <w:lang w:val="en-US"/>
        </w:rPr>
        <w:t>.</w:t>
      </w:r>
      <w:r w:rsidR="0074080D">
        <w:rPr>
          <w:rFonts w:ascii="var(--bs-body-font-family)" w:hAnsi="var(--bs-body-font-family)"/>
          <w:lang w:val="en-US"/>
        </w:rPr>
        <w:t xml:space="preserve"> </w:t>
      </w:r>
      <w:r w:rsidR="00F01EB0">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has been defined as ‘work situations that deviate significantly from</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 working conditions as defined by legislation or other binding legal regulations,</w:t>
      </w:r>
      <w:r w:rsidR="00064660" w:rsidRPr="29FA58D5">
        <w:rPr>
          <w:rFonts w:ascii="var(--bs-body-font-family)" w:hAnsi="var(--bs-body-font-family)"/>
          <w:lang w:val="en-US"/>
        </w:rPr>
        <w:t xml:space="preserve"> </w:t>
      </w:r>
      <w:r w:rsidR="002171EC" w:rsidRPr="29FA58D5">
        <w:rPr>
          <w:rFonts w:ascii="var(--bs-body-font-family)" w:hAnsi="var(--bs-body-font-family)"/>
          <w:lang w:val="en-US"/>
        </w:rPr>
        <w:t>concerning in particular remuneration, working hours, leave entitlements, health and safety</w:t>
      </w:r>
      <w:r w:rsidR="00064660" w:rsidRPr="29FA58D5">
        <w:rPr>
          <w:rFonts w:ascii="var(--bs-body-font-family)" w:hAnsi="var(--bs-body-font-family)"/>
          <w:lang w:val="en-US"/>
        </w:rPr>
        <w:t xml:space="preserve"> </w:t>
      </w:r>
      <w:r w:rsidR="002171EC" w:rsidRPr="29FA58D5">
        <w:rPr>
          <w:rFonts w:ascii="var(--bs-body-font-family)" w:hAnsi="var(--bs-body-font-family)"/>
          <w:lang w:val="en-US"/>
        </w:rPr>
        <w:t>standards and decent treatment’</w:t>
      </w:r>
      <w:r w:rsidR="00656A22" w:rsidRPr="29FA58D5">
        <w:rPr>
          <w:rFonts w:ascii="var(--bs-body-font-family)" w:hAnsi="var(--bs-body-font-family)"/>
          <w:lang w:val="en-US"/>
        </w:rPr>
        <w:t xml:space="preserve"> </w:t>
      </w:r>
      <w:r w:rsidR="00FB3D81">
        <w:rPr>
          <w:rFonts w:ascii="var(--bs-body-font-family)" w:hAnsi="var(--bs-body-font-family)" w:hint="eastAsia"/>
          <w:lang w:val="en-US"/>
        </w:rPr>
        <w:fldChar w:fldCharType="begin"/>
      </w:r>
      <w:r w:rsidR="00FB3D81">
        <w:rPr>
          <w:rFonts w:ascii="var(--bs-body-font-family)" w:hAnsi="var(--bs-body-font-family)" w:hint="eastAsia"/>
          <w:lang w:val="en-US"/>
        </w:rPr>
        <w:instrText xml:space="preserve"> ADDIN ZOTERO_ITEM CSL_CITATION {"citationID":"WzWOfyi6","properties":{"formattedCitation":"(European Union for Fundamental Rights, 2015, p. 10)","plainCitation":"(European Union for Fundamental Rights, 2015, p. 10)","noteIndex":0},"citationItems":[{"id":473,"uris":["http://zotero.org/users/local/nMxJkNMP/items/UWJ3JHI7"],"itemData":{"id":473,"type":"dataset","DOI":"10.1163/2210-7975_HRD-9992-2016018","language":"en","note":"Institution: Koninklijke Brill NV","source":"DOI.org (Crossref)","title":"Severe labour exploitation: workers moving within or into the European Union","title-short":"Severe labour exploitation","URL":"https://primarysources.brillonline.com/browse/human-rights-documents-online/severe-labour-exploitation-workers-moving-within-or-into-the-european-union;hrdhrd99922016018","author":[{"family":"European Union for Fundamental Rights","given":""}],"accessed":{"date-parts":[["2025",7,3]]},"issued":{"date-parts":[["2015"]]}},"locator":"10","label":"page"}],"schema":"https://github.com/citation-style-language/schema/raw/master/csl-citation.json"} </w:instrText>
      </w:r>
      <w:r w:rsidR="00FB3D81">
        <w:rPr>
          <w:rFonts w:ascii="var(--bs-body-font-family)" w:hAnsi="var(--bs-body-font-family)" w:hint="eastAsia"/>
          <w:lang w:val="en-US"/>
        </w:rPr>
        <w:fldChar w:fldCharType="separate"/>
      </w:r>
      <w:r w:rsidR="00FB3D81" w:rsidRPr="00FB3D81">
        <w:rPr>
          <w:rFonts w:ascii="var(--bs-body-font-family)" w:hAnsi="var(--bs-body-font-family)"/>
        </w:rPr>
        <w:t>(European Union for Fundamental Rights, 2015, p. 10)</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3400BB">
        <w:rPr>
          <w:rFonts w:ascii="var(--bs-body-font-family)" w:hAnsi="var(--bs-body-font-family)"/>
          <w:lang w:val="en-US"/>
        </w:rPr>
        <w:t>Recently,</w:t>
      </w:r>
      <w:r w:rsidR="002171EC" w:rsidRPr="29FA58D5">
        <w:rPr>
          <w:rFonts w:ascii="var(--bs-body-font-family)" w:hAnsi="var(--bs-body-font-family)"/>
          <w:lang w:val="en-US"/>
        </w:rPr>
        <w:t xml:space="preserve"> </w:t>
      </w:r>
      <w:r w:rsidR="00B91F8D">
        <w:rPr>
          <w:rFonts w:ascii="var(--bs-body-font-family)" w:hAnsi="var(--bs-body-font-family)"/>
          <w:lang w:val="en-US"/>
        </w:rPr>
        <w:t xml:space="preserve">more </w:t>
      </w:r>
      <w:r w:rsidR="002171EC" w:rsidRPr="29FA58D5">
        <w:rPr>
          <w:rFonts w:ascii="var(--bs-body-font-family)" w:hAnsi="var(--bs-body-font-family)"/>
          <w:lang w:val="en-US"/>
        </w:rPr>
        <w:t xml:space="preserve">serious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rights abuse</w:t>
      </w:r>
      <w:r w:rsidR="00064660" w:rsidRPr="29FA58D5">
        <w:rPr>
          <w:rFonts w:ascii="var(--bs-body-font-family)" w:hAnsi="var(--bs-body-font-family)"/>
          <w:lang w:val="en-US"/>
        </w:rPr>
        <w:t xml:space="preserve"> </w:t>
      </w:r>
      <w:r w:rsidR="002171EC" w:rsidRPr="29FA58D5">
        <w:rPr>
          <w:rFonts w:ascii="var(--bs-body-font-family)" w:hAnsi="var(--bs-body-font-family)"/>
          <w:lang w:val="en-US"/>
        </w:rPr>
        <w:t>ha</w:t>
      </w:r>
      <w:r w:rsidR="00606266">
        <w:rPr>
          <w:rFonts w:ascii="var(--bs-body-font-family)" w:hAnsi="var(--bs-body-font-family)"/>
          <w:lang w:val="en-US"/>
        </w:rPr>
        <w:t>s</w:t>
      </w:r>
      <w:r w:rsidR="002171EC" w:rsidRPr="29FA58D5">
        <w:rPr>
          <w:rFonts w:ascii="var(--bs-body-font-family)" w:hAnsi="var(--bs-body-font-family)"/>
          <w:lang w:val="en-US"/>
        </w:rPr>
        <w:t xml:space="preserve"> come to the fore with studies </w:t>
      </w:r>
      <w:r w:rsidR="000F6DFD">
        <w:rPr>
          <w:rFonts w:ascii="var(--bs-body-font-family)" w:hAnsi="var(--bs-body-font-family)"/>
          <w:lang w:val="en-US"/>
        </w:rPr>
        <w:t xml:space="preserve">in fields such as operations management </w:t>
      </w:r>
      <w:r w:rsidR="002171EC" w:rsidRPr="29FA58D5">
        <w:rPr>
          <w:rFonts w:ascii="var(--bs-body-font-family)" w:hAnsi="var(--bs-body-font-family)"/>
          <w:lang w:val="en-US"/>
        </w:rPr>
        <w:t>examining exploitation</w:t>
      </w:r>
      <w:r w:rsidR="00064660" w:rsidRPr="29FA58D5">
        <w:rPr>
          <w:rFonts w:ascii="var(--bs-body-font-family)" w:hAnsi="var(--bs-body-font-family)"/>
          <w:lang w:val="en-US"/>
        </w:rPr>
        <w:t xml:space="preserve"> </w:t>
      </w:r>
      <w:r w:rsidR="002171EC" w:rsidRPr="29FA58D5">
        <w:rPr>
          <w:rFonts w:ascii="var(--bs-body-font-family)" w:hAnsi="var(--bs-body-font-family)"/>
          <w:lang w:val="en-US"/>
        </w:rPr>
        <w:t>under the umbrella term ‘modern slavery’</w:t>
      </w:r>
      <w:r w:rsidR="00FB3D81">
        <w:rPr>
          <w:rFonts w:ascii="var(--bs-body-font-family)" w:hAnsi="var(--bs-body-font-family)"/>
          <w:lang w:val="en-US"/>
        </w:rPr>
        <w:t xml:space="preserve"> </w:t>
      </w:r>
      <w:r w:rsidR="00FB3D81">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{"citationID":"yjJuq5IL","properties":{"formattedCitation":"(Gold, Trautrims and Trodd, 2015; New, 2015; Benstead, Hendry and Stevenson, 2018; Stevenson and Cole, 2018)","plainCitation":"(Gold, Trautrims and Trodd, 2015; New, 2015; Benstead, Hendry and Stevenson, 2018; Stevenson and Cole, 2018)","noteIndex":0},"citationItems":[{"id":482,"uris":["http://zotero.org/users/local/nMxJkNMP/items/J75X65GL"],"itemData":{"id":482,"type":"article-journal","abstract":"The purpose of this paper is to investigate how horizontal collaboration aids organisations in responding to modern slavery legislation and in gaining a socially sustainable competitive advantage.,Action research has been conducted in the textiles and fashion industry and a relational perspective adopted to interpret five collaborative initiatives taken to tackle modern slavery (e.g. joint training and supplier audits). The primary engagement has been with a multi-billion pound turnover company and its collaborations with 35 brands/retailers. A non-government organisation and a trade body have also participated.,Successful horizontal collaboration is dependent on both relational capital and effective (formal and informal) governance mechanisms. In collaborating, firms have generated relational rents and reduced costs creating a socially sustainable competitive advantage, as suggested by the relational perspective. Yet, limits to horizontal collaboration also exist.,The focus is on one industry only, hence there is scope to extend the study to other industries or forms of collaboration taking place across industries.,Successful horizontal collaborative relationships rely on actors having a similar mindset and being able to decouple the commercial and sustainability agendas, especially when direct competitors are involved. Further, working with non-business actors can facilitate collaboration and provide knowledge and resources important for overcoming the uncertainty that is manifest when responding to new legislation.,Social sustainability improvements aim to enhance ethical trade and benefit vulnerable workers.,Prior literature has focussed on vertical collaboration with few prior studies of horizontal collaboration, particularly in a socially sustainable supply chain context. Moreover, there has been limited research into modern slavery from a supply chain perspective. Both successful and unsuccessful initiatives are studied, providing insights into (in)effective collaboration.","archive_location":"world","container-title":"International Journal of Operations &amp;amp; Production Management","DOI":"10.1108/IJOPM-10-2017-0611","ISSN":"0144-3577","issue":"12","language":"en","note":"publisher: Emerald Publishing Limited","page":"2286-2312","source":"www.emerald.com","title":"Horizontal collaboration in response to modern slavery legislation: An action research project","title-short":"Horizontal collaboration in response to modern slavery legislation","URL":"https://www.emerald.com/insight/content/doi/10.1108/ijopm-10-2017-0611/full/html","volume":"38","author":[{"family":"Benstead","given":"Amy V."},{"family":"Hendry","given":"Linda C."},{"family":"Stevenson","given":"Mark"}],"accessed":{"date-parts":[["2025",7,3]]},"issued":{"date-parts":[["2018",7,27]]}}},{"id":353,"uris":["http://zotero.org/users/local/nMxJkNMP/items/KXKKFJK6"],"itemData":{"id":353,"type":"article-journal","abstract":"</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This paper aims to draw attention to the challenges modern slavery poses to supply chain management. Although many international supply chains are (most often unknowingly) connected to slave labour activities, supply chain managers and researchers have so far neglected the issue. This will most likely change as soon as civil society lobbying and new legislation impose increasing litigation and reputational risks on companies operating international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definition of slavery; explores potentials for knowledge exchange with other disciplines; discusses management tools for detecting slavery, as well as suitable company responses after its detection; and outlines avenues for future research.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Due to a lack of effective indicators, new tools and indicator systems need to be developed that consider the specific social, cultural and geographical context of supply regions. After detection of slavery, multi-stakeholder partnerships, community-centred approaches and supplier development appear to be effective responses.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New theory development in supply chain management (SCM) is urgently needed to facilitate the understanding, avoidance and elimination of slavery in supply chains. As a starting point for future research, the challenges of slavery to SCM are conceptualised, focussing on capabilities and specific institutional context.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The paper provides a starting point for the development of practices and tools for identifying and removing slave labour from supply chains. ,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Although representing a substantial threat to current supply chain models, slavery has so far not been addressed in SCM research.","archive_location":"world","container-title":"Supply Chain Management: An International Journal","DOI":"10.1108/SCM-02-2015-0046","ISSN":"1359-8546","issue":"5","language":"en","note":"publisher: Emerald Group Publishing Limited","page":"485-494","source":"www.emerald.com","title":"Modern slavery challenges to supply chain management","URL":"https://www.emerald.com/insight/content/doi/10.1108/scm-02-2015-0046/full/html","volume":"20","author":[{"family":"Gold","given":"Stefan"},{"family":"Trautrims","given":"Alexander"},{"family":"Trodd","given":"Zoe"}],"accessed":{"date-parts":[["2025",5,2]]},"issued":{"date-parts":[["2015",8,10]]}}},{"id":536,"uris":["http://zotero.org/users/local/nMxJkNMP/items/Y8J3EV3D"],"itemData":{"id":536,"type":"article-journal","abstract":"Purpose\n- This conceptual paper aims to examine modern slavery in the supply chain, showing how the issue challenges conventional thinking and practice in corporate social responsibility (CSR).\nDesign/methodology/approach\n- The paper considers the differences between modern slavery and other concerns within CSR. It examines legal attempts to encourage supply chain transparency and the use of corporate CSR methods. An example of forced labour in UK agriculture is used to develop a critique of these approaches. The paper examines the challenges facing research in this important area.\nFindings\n- The paper shows that the distinctive characteristics of modern slavery may make conventional supply chain CSR practices relatively ineffective. A holistic perspective may be needed in future research.\nResearch limitations/implications\n- Researchers need to focus less on the espoused policies of corporations, and more on the enacted practice.\nSocial implications\n- Modern slavery is universally accepted as a shameful blight on society; firms' supply chain practices may be part of the problem.\nOriginality/value\n- The paper's contribution is to point to the potential differences between modern slavery and other CSR-related issues and to highlight the paradox that firms' approaches to the issue may run in parallel with actions that foster the problem in the first place.","container-title":"Supply Chain Management","DOI":"10.1108/SCM-06-2015-0201","ISSN":"13598546","issue":"6","language":"English","license":"© Emerald Group Publishing Limited 2015","note":"number-of-pages: 697-707\npublisher-place: Bradford, United Kingdom\npublisher: Emerald Group Publishing Limited","page":"697-707","source":"ProQuest","title":"modern slavery and the supply chain: the limits of corporate social responsibility?","title-short":"modern slavery and the supply chain","URL":"https://www.proquest.com/docview/1725354229/abstract/1F57C4ACAAEB4970PQ/1","volume":"20","author":[{"family":"New","given":"Stephen John"}],"accessed":{"date-parts":[["2025",7,11]]},"issued":{"date-parts":[["2015"]]}}},{"id":480,"uris":["http://zotero.org/users/local/nMxJkNMP/items/8BYK8VHX"],"itemData":{"id":480,"type":"article-journal","abstract":"Purpose\n\nThe purpose of this study is to examine how organisations report on the detection and remediation of modern slavery in their operations and supply chains and to understand their approaches to disclosing information in response to modern slavery legislation.\n\nDesign/methodology/approach\n\nAn analysis of secondary data based on the statements is released in response to the 2015 UK Modern Slavery Act by 101 firms in the clothing and textiles sector.\n\nFindings\n\nMany firms use the same practices to detect and remediate modern slavery as for other social issues. But the hidden, criminal nature of modern slavery and the involvement of third party labour agencies mean practices need to either be tailored or other more innovative approaches developed, including in collaboration with traditional and non-traditional actors. Although five broad types of disclosure are identified, there is substantial heterogeneity in the statements. It is posited however that firms will converge on a more homogenous set of responses over time.\n\nResearch limitations/implications\n\nThe study is limited to one industry, responses to UK legislation and the information disclosed by focal firms only. Future research could expand the focus to include other industries, country contexts and stakeholders.\n\nPractical implications\n\nManagers must consider how their own firm</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behaviour contributes to the modern slavery threat, regulates both their stock and non-stock supply chains and ensures modern slavery is elevated from the procurement function to the boardroom. In making disclosures, managers may trade-off the potential competitive gains of transparency against the threat of information leakage and reputational risk should their statements be falsified. The managers should also consider what signals their statements send back up the chain to (sub-)suppliers. Findings also have potential policy implications.\n\nOriginality/value\n\nThe study expands the authors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understanding of: modern slavery from a supply chain perspective, e.g. identifying the importance of standard setting and risk avoidance; and, supply chain information disclosure in response to legislative demands. This is the first academic paper to examine the statements produced by organisations in response to the UK Modern Slavery Act.","container-title":"Supply Chain Management: An International Journal","DOI":"10.1108/SCM-11-2017-0382","journalAbbreviation":"Supply Chain Management: An International Journal","source":"ResearchGate","title":"Modern slavery in supply chains: a secondary data analysis of detection, remediation and disclosure","title-short":"Modern slavery in supply chains","volume":"23","author":[{"family":"Stevenson","given":"Mark"},{"family":"Cole","given":"Rosanna"}],"issued":{"date-parts":[["2018",4,13]]}}}],"schema":"https://github.com/citation-style-language/schema/raw/master/csl-citation.json"} </w:instrText>
      </w:r>
      <w:r w:rsidR="00FB3D81">
        <w:rPr>
          <w:rFonts w:ascii="var(--bs-body-font-family)" w:hAnsi="var(--bs-body-font-family)" w:hint="eastAsia"/>
          <w:lang w:val="en-US"/>
        </w:rPr>
        <w:fldChar w:fldCharType="separate"/>
      </w:r>
      <w:r w:rsidR="00B459A2" w:rsidRPr="00B459A2">
        <w:rPr>
          <w:rFonts w:ascii="var(--bs-body-font-family)" w:hAnsi="var(--bs-body-font-family)"/>
        </w:rPr>
        <w:t>(Gold, Trautrims and Trodd, 2015; New, 2015; Benstead, Hendry and Stevenson, 2018; Stevenson and Cole, 2018)</w:t>
      </w:r>
      <w:r w:rsidR="00FB3D81">
        <w:rPr>
          <w:rFonts w:ascii="var(--bs-body-font-family)" w:hAnsi="var(--bs-body-font-family)" w:hint="eastAsia"/>
          <w:lang w:val="en-US"/>
        </w:rPr>
        <w:fldChar w:fldCharType="end"/>
      </w:r>
      <w:r w:rsidR="002171EC" w:rsidRPr="29FA58D5">
        <w:rPr>
          <w:rFonts w:ascii="var(--bs-body-font-family)" w:hAnsi="var(--bs-body-font-family)"/>
          <w:lang w:val="en-US"/>
        </w:rPr>
        <w:t xml:space="preserve">. </w:t>
      </w:r>
      <w:r w:rsidR="001C3BE1">
        <w:rPr>
          <w:rFonts w:ascii="var(--bs-body-font-family)" w:hAnsi="var(--bs-body-font-family)"/>
          <w:lang w:val="en-US"/>
        </w:rPr>
        <w:t xml:space="preserve">In this article, we </w:t>
      </w:r>
      <w:r w:rsidR="007975D9">
        <w:rPr>
          <w:rFonts w:ascii="var(--bs-body-font-family)" w:hAnsi="var(--bs-body-font-family)"/>
          <w:lang w:val="en-US"/>
        </w:rPr>
        <w:t xml:space="preserve">use the case of migrant domestic workers in the UK to </w:t>
      </w:r>
      <w:r w:rsidR="0013214C">
        <w:rPr>
          <w:rFonts w:ascii="var(--bs-body-font-family)" w:hAnsi="var(--bs-body-font-family)"/>
          <w:lang w:val="en-US"/>
        </w:rPr>
        <w:t>demonstrate</w:t>
      </w:r>
      <w:r w:rsidR="00B91F8D">
        <w:rPr>
          <w:rFonts w:ascii="var(--bs-body-font-family)" w:hAnsi="var(--bs-body-font-family)"/>
          <w:lang w:val="en-US"/>
        </w:rPr>
        <w:t xml:space="preserve"> how </w:t>
      </w:r>
      <w:r w:rsidR="00362ADF">
        <w:rPr>
          <w:rFonts w:ascii="var(--bs-body-font-family)" w:hAnsi="var(--bs-body-font-family)"/>
          <w:lang w:val="en-US"/>
        </w:rPr>
        <w:t>academics can work</w:t>
      </w:r>
      <w:r w:rsidR="00B91F8D">
        <w:rPr>
          <w:rFonts w:ascii="var(--bs-body-font-family)" w:hAnsi="var(--bs-body-font-family)"/>
          <w:lang w:val="en-US"/>
        </w:rPr>
        <w:t xml:space="preserve"> with</w:t>
      </w:r>
      <w:r w:rsidR="00F22A29">
        <w:rPr>
          <w:rFonts w:ascii="var(--bs-body-font-family)" w:hAnsi="var(--bs-body-font-family)"/>
          <w:lang w:val="en-US"/>
        </w:rPr>
        <w:t xml:space="preserve"> civil society</w:t>
      </w:r>
      <w:r w:rsidR="00357D1B">
        <w:rPr>
          <w:rFonts w:ascii="var(--bs-body-font-family)" w:hAnsi="var(--bs-body-font-family)"/>
          <w:lang w:val="en-US"/>
        </w:rPr>
        <w:t xml:space="preserve"> </w:t>
      </w:r>
      <w:r w:rsidR="00F22A29">
        <w:rPr>
          <w:rFonts w:ascii="var(--bs-body-font-family)" w:hAnsi="var(--bs-body-font-family)"/>
          <w:lang w:val="en-US"/>
        </w:rPr>
        <w:t>actors</w:t>
      </w:r>
      <w:r w:rsidR="00357D1B">
        <w:rPr>
          <w:rFonts w:ascii="var(--bs-body-font-family)" w:hAnsi="var(--bs-body-font-family)"/>
          <w:lang w:val="en-US"/>
        </w:rPr>
        <w:t xml:space="preserve"> representing</w:t>
      </w:r>
      <w:r w:rsidR="00B91F8D">
        <w:rPr>
          <w:rFonts w:ascii="var(--bs-body-font-family)" w:hAnsi="var(--bs-body-font-family)"/>
          <w:lang w:val="en-US"/>
        </w:rPr>
        <w:t xml:space="preserve"> </w:t>
      </w:r>
      <w:r w:rsidR="00F22A29">
        <w:rPr>
          <w:rFonts w:ascii="var(--bs-body-font-family)" w:hAnsi="var(--bs-body-font-family)"/>
          <w:lang w:val="en-US"/>
        </w:rPr>
        <w:t xml:space="preserve">similarly </w:t>
      </w:r>
      <w:r w:rsidR="007975D9">
        <w:rPr>
          <w:rFonts w:ascii="var(--bs-body-font-family)" w:hAnsi="var(--bs-body-font-family)"/>
          <w:lang w:val="en-US"/>
        </w:rPr>
        <w:t>hard-to-reach</w:t>
      </w:r>
      <w:r w:rsidR="00357D1B">
        <w:rPr>
          <w:rFonts w:ascii="var(--bs-body-font-family)" w:hAnsi="var(--bs-body-font-family)"/>
          <w:lang w:val="en-US"/>
        </w:rPr>
        <w:t xml:space="preserve"> </w:t>
      </w:r>
      <w:r w:rsidR="00F22A29">
        <w:rPr>
          <w:rFonts w:ascii="var(--bs-body-font-family)" w:hAnsi="var(--bs-body-font-family)"/>
          <w:lang w:val="en-US"/>
        </w:rPr>
        <w:t>workers</w:t>
      </w:r>
      <w:r w:rsidR="00662781">
        <w:rPr>
          <w:rFonts w:ascii="var(--bs-body-font-family)" w:hAnsi="var(--bs-body-font-family)"/>
          <w:lang w:val="en-US"/>
        </w:rPr>
        <w:t xml:space="preserve"> in this, and other national and sectoral contexts,</w:t>
      </w:r>
      <w:r w:rsidR="00876455">
        <w:rPr>
          <w:rFonts w:ascii="var(--bs-body-font-family)" w:hAnsi="var(--bs-body-font-family)"/>
          <w:lang w:val="en-US"/>
        </w:rPr>
        <w:t xml:space="preserve"> </w:t>
      </w:r>
      <w:r w:rsidR="007975D9">
        <w:rPr>
          <w:rFonts w:ascii="var(--bs-body-font-family)" w:hAnsi="var(--bs-body-font-family)"/>
          <w:lang w:val="en-US"/>
        </w:rPr>
        <w:t>to</w:t>
      </w:r>
      <w:r w:rsidR="00876455">
        <w:rPr>
          <w:rFonts w:ascii="var(--bs-body-font-family)" w:hAnsi="var(--bs-body-font-family)"/>
          <w:lang w:val="en-US"/>
        </w:rPr>
        <w:t xml:space="preserve"> make use </w:t>
      </w:r>
      <w:r w:rsidR="004303C6">
        <w:rPr>
          <w:rFonts w:ascii="var(--bs-body-font-family)" w:hAnsi="var(--bs-body-font-family)"/>
          <w:lang w:val="en-US"/>
        </w:rPr>
        <w:t>of prevalence</w:t>
      </w:r>
      <w:r w:rsidR="00876455">
        <w:rPr>
          <w:rFonts w:ascii="var(--bs-body-font-family)" w:hAnsi="var(--bs-body-font-family)"/>
          <w:lang w:val="en-US"/>
        </w:rPr>
        <w:t xml:space="preserve"> estimators </w:t>
      </w:r>
      <w:r w:rsidR="00B9465A">
        <w:rPr>
          <w:rFonts w:ascii="var(--bs-body-font-family)" w:hAnsi="var(--bs-body-font-family)"/>
          <w:lang w:val="en-US"/>
        </w:rPr>
        <w:t xml:space="preserve">calculated using </w:t>
      </w:r>
      <w:r w:rsidR="001C3BE1">
        <w:rPr>
          <w:rFonts w:ascii="var(--bs-body-font-family)" w:hAnsi="var(--bs-body-font-family)"/>
          <w:lang w:val="en-US"/>
        </w:rPr>
        <w:t>quantitative methodologies, namely respondent driven sampling and network scale-up methods</w:t>
      </w:r>
      <w:r w:rsidR="00876455">
        <w:rPr>
          <w:rFonts w:ascii="var(--bs-body-font-family)" w:hAnsi="var(--bs-body-font-family)"/>
          <w:lang w:val="en-US"/>
        </w:rPr>
        <w:t xml:space="preserve">, </w:t>
      </w:r>
      <w:r w:rsidR="00B9465A">
        <w:rPr>
          <w:rFonts w:ascii="var(--bs-body-font-family)" w:hAnsi="var(--bs-body-font-family)"/>
          <w:lang w:val="en-US"/>
        </w:rPr>
        <w:t>t</w:t>
      </w:r>
      <w:r w:rsidR="001C3BE1">
        <w:rPr>
          <w:rFonts w:ascii="var(--bs-body-font-family)" w:hAnsi="var(--bs-body-font-family)"/>
          <w:lang w:val="en-US"/>
        </w:rPr>
        <w:t>o estimate</w:t>
      </w:r>
      <w:r w:rsidR="00A95576">
        <w:rPr>
          <w:rFonts w:ascii="var(--bs-body-font-family)" w:hAnsi="var(--bs-body-font-family)"/>
          <w:lang w:val="en-US"/>
        </w:rPr>
        <w:t xml:space="preserve"> the prevalence </w:t>
      </w:r>
      <w:r w:rsidR="00545280">
        <w:rPr>
          <w:rFonts w:ascii="var(--bs-body-font-family)" w:hAnsi="var(--bs-body-font-family)"/>
          <w:lang w:val="en-US"/>
        </w:rPr>
        <w:t xml:space="preserve">and </w:t>
      </w:r>
      <w:r w:rsidR="006C41B7">
        <w:rPr>
          <w:rFonts w:ascii="var(--bs-body-font-family)" w:hAnsi="var(--bs-body-font-family)"/>
          <w:lang w:val="en-US"/>
        </w:rPr>
        <w:t xml:space="preserve">assess the </w:t>
      </w:r>
      <w:r w:rsidR="00545280">
        <w:rPr>
          <w:rFonts w:ascii="var(--bs-body-font-family)" w:hAnsi="var(--bs-body-font-family)"/>
          <w:lang w:val="en-US"/>
        </w:rPr>
        <w:t xml:space="preserve">degree </w:t>
      </w:r>
      <w:r w:rsidR="00A95576">
        <w:rPr>
          <w:rFonts w:ascii="var(--bs-body-font-family)" w:hAnsi="var(--bs-body-font-family)"/>
          <w:lang w:val="en-US"/>
        </w:rPr>
        <w:t>of sub-standard employment practices</w:t>
      </w:r>
      <w:r w:rsidR="00404230">
        <w:rPr>
          <w:rFonts w:ascii="var(--bs-body-font-family)" w:hAnsi="var(--bs-body-font-family)"/>
          <w:lang w:val="en-US"/>
        </w:rPr>
        <w:t xml:space="preserve"> </w:t>
      </w:r>
      <w:r w:rsidR="002C61D7">
        <w:rPr>
          <w:rFonts w:ascii="var(--bs-body-font-family)" w:hAnsi="var(--bs-body-font-family)"/>
          <w:lang w:val="en-US"/>
        </w:rPr>
        <w:t xml:space="preserve">to support their </w:t>
      </w:r>
      <w:r w:rsidR="00B9465A">
        <w:rPr>
          <w:rFonts w:ascii="var(--bs-body-font-family)" w:hAnsi="var(--bs-body-font-family)"/>
          <w:lang w:val="en-US"/>
        </w:rPr>
        <w:t>advoca</w:t>
      </w:r>
      <w:r w:rsidR="002C61D7">
        <w:rPr>
          <w:rFonts w:ascii="var(--bs-body-font-family)" w:hAnsi="var(--bs-body-font-family)"/>
          <w:lang w:val="en-US"/>
        </w:rPr>
        <w:t>cy</w:t>
      </w:r>
      <w:r w:rsidR="00B9465A">
        <w:rPr>
          <w:rFonts w:ascii="var(--bs-body-font-family)" w:hAnsi="var(--bs-body-font-family)"/>
          <w:lang w:val="en-US"/>
        </w:rPr>
        <w:t xml:space="preserve"> for </w:t>
      </w:r>
      <w:r w:rsidR="00662781">
        <w:rPr>
          <w:rFonts w:ascii="var(--bs-body-font-family)" w:hAnsi="var(--bs-body-font-family)"/>
          <w:lang w:val="en-US"/>
        </w:rPr>
        <w:t xml:space="preserve">immigration policy </w:t>
      </w:r>
      <w:r w:rsidR="009A3BBE">
        <w:rPr>
          <w:rFonts w:ascii="var(--bs-body-font-family)" w:hAnsi="var(--bs-body-font-family)"/>
          <w:lang w:val="en-US"/>
        </w:rPr>
        <w:t>improvements</w:t>
      </w:r>
      <w:r w:rsidR="00A95576">
        <w:rPr>
          <w:rFonts w:ascii="var(--bs-body-font-family)" w:hAnsi="var(--bs-body-font-family)"/>
          <w:lang w:val="en-US"/>
        </w:rPr>
        <w:t xml:space="preserve">. </w:t>
      </w:r>
    </w:p>
    <w:p w14:paraId="57671537" w14:textId="4069AA71" w:rsidR="002171EC" w:rsidRPr="0041001D" w:rsidRDefault="00F009ED" w:rsidP="29FA58D5">
      <w:pPr>
        <w:spacing w:line="480" w:lineRule="auto"/>
        <w:divId w:val="2143187879"/>
        <w:rPr>
          <w:rFonts w:ascii="var(--bs-body-font-family)" w:hAnsi="var(--bs-body-font-family)" w:hint="eastAsia"/>
          <w:lang w:val="en-US"/>
        </w:rPr>
      </w:pPr>
      <w:r>
        <w:rPr>
          <w:rFonts w:ascii="var(--bs-body-font-family)" w:hAnsi="var(--bs-body-font-family)"/>
          <w:lang w:val="en-US"/>
        </w:rPr>
        <w:t>Specific</w:t>
      </w:r>
      <w:r w:rsidR="002171EC" w:rsidRPr="29FA58D5">
        <w:rPr>
          <w:rFonts w:ascii="var(--bs-body-font-family)" w:hAnsi="var(--bs-body-font-family)"/>
          <w:lang w:val="en-US"/>
        </w:rPr>
        <w:t xml:space="preserve"> concerns</w:t>
      </w:r>
      <w:r w:rsidR="00064660" w:rsidRPr="29FA58D5">
        <w:rPr>
          <w:rFonts w:ascii="var(--bs-body-font-family)" w:hAnsi="var(--bs-body-font-family)"/>
          <w:lang w:val="en-US"/>
        </w:rPr>
        <w:t xml:space="preserve"> </w:t>
      </w:r>
      <w:r w:rsidR="002171EC" w:rsidRPr="29FA58D5">
        <w:rPr>
          <w:rFonts w:ascii="var(--bs-body-font-family)" w:hAnsi="var(--bs-body-font-family)"/>
          <w:lang w:val="en-US"/>
        </w:rPr>
        <w:t>about high levels of exploitation among domestic workers</w:t>
      </w:r>
      <w:r w:rsidR="006302C1">
        <w:rPr>
          <w:rFonts w:ascii="var(--bs-body-font-family)" w:hAnsi="var(--bs-body-font-family)"/>
          <w:lang w:val="en-US"/>
        </w:rPr>
        <w:t xml:space="preserve"> persist</w:t>
      </w:r>
      <w:r w:rsidR="002171EC" w:rsidRPr="29FA58D5">
        <w:rPr>
          <w:rFonts w:ascii="var(--bs-body-font-family)" w:hAnsi="var(--bs-body-font-family)"/>
          <w:lang w:val="en-US"/>
        </w:rPr>
        <w:t xml:space="preserve"> in the </w:t>
      </w:r>
      <w:r w:rsidR="00334717" w:rsidRPr="29FA58D5">
        <w:rPr>
          <w:rFonts w:ascii="var(--bs-body-font-family)" w:hAnsi="var(--bs-body-font-family)"/>
          <w:lang w:val="en-US"/>
        </w:rPr>
        <w:t xml:space="preserve">business ethics and </w:t>
      </w:r>
      <w:r w:rsidR="002171EC" w:rsidRPr="29FA58D5">
        <w:rPr>
          <w:rFonts w:ascii="var(--bs-body-font-family)" w:hAnsi="var(--bs-body-font-family)"/>
          <w:lang w:val="en-US"/>
        </w:rPr>
        <w:t xml:space="preserve">grey literature </w:t>
      </w:r>
      <w:r w:rsidR="005E3113">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{"citationID":"XqABTPAA","properties":{"formattedCitation":"(Kalayaan, 2008; Mantouvalou, 2016; Varman {\\i{}et al.}, 2021; Latin American Women\\uc0\\u8217{}s Rights Service, 2023)","plainCitation":"(Kalayaan, 2008; Mantouvalou, 2016; Varman et al., 2021; Latin American Women</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s Rights Service, 2023)","noteIndex":0},"citationItems":[{"id":54,"uris":["http://zotero.org/users/local/nMxJkNMP/items/2SEUM862"],"itemData":{"id":54,"type":"document","language":"en","title":"The new bonded labour?","URL":"http://www.kalayaan.org.uk/documents/Kalayaan%20Oxfam%20report.pdf","author":[{"literal":"Kalayaan"}],"issued":{"date-parts":[["2008"]]}}},{"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Service","given":""}],"issued":{"date-parts":[["2023"]]}}},{"id":59,"uris":["http://zotero.org/users/local/nMxJkNMP/items/DMZZTGC3"],"itemData":{"id":59,"type":"chapter","container-title":"British politics and policy at LSE","language":"en","title":"Modern slavery? The UK visa system and the exploitation of migrant domestic workers","URL":"https://blogs.lse.ac.uk/politicsandpolicy/exploitation-of-migrant-domestic-workers-in-the-uk/.","author":[{"family":"Mantouvalou","given":"V."}],"issued":{"date-parts":[["2016"]]}}},{"id":615,"uris":["http://zotero.org/users/local/nMxJkNMP/items/NUJS68W6"],"itemData":{"id":615,"type":"article-journal","abstract":"This paper contributes to business ethics by focusing on consumption that is characterized by normative violence. By drawing on the work of Judith Butler this study of kajer lok</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a female subaltern group of Indian domestic service providers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and their higher status clients shows how codes of status-based consumption shaped by markets, class, caste, and patriarchy create a social order that reduces kajer lok to \"ungreivable\" lives. Our study contributes to business ethics by focusing on exploitation and coercion in consumption rather than in production and of woman rather than of men. It adds to consumer research by revealing how social distinctions not only manifest in status contests in which symbolic power is at stake but also may produce violent exploitation and ungrievable lives.","container-title":"Journal of Business Ethics","ISSN":"0167-4544","issue":"4","note":"publisher: Springer","page":"645-665","source":"JSTOR","title":"Normative Violence in Domestic Service: A Study of Exploitation, Status, and Grievability","title-short":"Normative Violence in Domestic Service","URL":"https://www.jstor.org/stable/45390479","volume":"171","author":[{"family":"Varman","given":"Rohit"},{"family":"Skålén","given":"Per"},{"family":"Belk","given":"Russell W."},{"family":"Chaudhuri","given":"Himadri Roy"}],"accessed":{"date-parts":[["2025",11,3]]},"issued":{"date-parts":[["2021"]]}}}],"schema":"https://github.com/citation-style-language/schema/raw/master/csl-citation.json"} </w:instrText>
      </w:r>
      <w:r w:rsidR="005E3113">
        <w:rPr>
          <w:rFonts w:ascii="var(--bs-body-font-family)" w:hAnsi="var(--bs-body-font-family)" w:hint="eastAsia"/>
          <w:lang w:val="en-US"/>
        </w:rPr>
        <w:fldChar w:fldCharType="separate"/>
      </w:r>
      <w:r w:rsidR="00B459A2" w:rsidRPr="00B459A2">
        <w:rPr>
          <w:rFonts w:ascii="var(--bs-body-font-family)" w:hAnsi="var(--bs-body-font-family)"/>
        </w:rPr>
        <w:t xml:space="preserve">(Kalayaan, 2008; Mantouvalou, 2016; Varman </w:t>
      </w:r>
      <w:r w:rsidR="00B459A2" w:rsidRPr="00B459A2">
        <w:rPr>
          <w:rFonts w:ascii="var(--bs-body-font-family)" w:hAnsi="var(--bs-body-font-family)"/>
          <w:i/>
          <w:iCs/>
        </w:rPr>
        <w:t>et al.</w:t>
      </w:r>
      <w:r w:rsidR="00B459A2" w:rsidRPr="00B459A2">
        <w:rPr>
          <w:rFonts w:ascii="var(--bs-body-font-family)" w:hAnsi="var(--bs-body-font-family)"/>
        </w:rPr>
        <w:t>, 2021; Latin American Women’s Rights Service, 2023)</w:t>
      </w:r>
      <w:r w:rsidR="005E3113">
        <w:rPr>
          <w:rFonts w:ascii="var(--bs-body-font-family)" w:hAnsi="var(--bs-body-font-family)" w:hint="eastAsia"/>
          <w:lang w:val="en-US"/>
        </w:rPr>
        <w:fldChar w:fldCharType="end"/>
      </w:r>
      <w:r w:rsidR="008D4E33">
        <w:rPr>
          <w:rFonts w:ascii="var(--bs-body-font-family)" w:hAnsi="var(--bs-body-font-family)"/>
          <w:lang w:val="en-US"/>
        </w:rPr>
        <w:t>,</w:t>
      </w:r>
      <w:r>
        <w:rPr>
          <w:rFonts w:ascii="var(--bs-body-font-family)" w:hAnsi="var(--bs-body-font-family)"/>
          <w:lang w:val="en-US"/>
        </w:rPr>
        <w:t xml:space="preserve"> </w:t>
      </w:r>
      <w:r w:rsidR="006302C1">
        <w:rPr>
          <w:rFonts w:ascii="var(--bs-body-font-family)" w:hAnsi="var(--bs-body-font-family)"/>
          <w:lang w:val="en-US"/>
        </w:rPr>
        <w:t xml:space="preserve">yet </w:t>
      </w:r>
      <w:r w:rsidR="002171EC" w:rsidRPr="29FA58D5">
        <w:rPr>
          <w:rFonts w:ascii="var(--bs-body-font-family)" w:hAnsi="var(--bs-body-font-family)"/>
          <w:lang w:val="en-US"/>
        </w:rPr>
        <w:t>to our knowledge</w:t>
      </w:r>
      <w:r w:rsidR="00656A22" w:rsidRPr="29FA58D5">
        <w:rPr>
          <w:rFonts w:ascii="var(--bs-body-font-family)" w:hAnsi="var(--bs-body-font-family)"/>
          <w:lang w:val="en-US"/>
        </w:rPr>
        <w:t xml:space="preserve"> </w:t>
      </w:r>
      <w:r w:rsidR="002171EC" w:rsidRPr="29FA58D5">
        <w:rPr>
          <w:rFonts w:ascii="var(--bs-body-font-family)" w:hAnsi="var(--bs-body-font-family)"/>
          <w:lang w:val="en-US"/>
        </w:rPr>
        <w:t>no-one has</w:t>
      </w:r>
      <w:r w:rsidR="00AA35FB">
        <w:rPr>
          <w:rFonts w:ascii="var(--bs-body-font-family)" w:hAnsi="var(--bs-body-font-family)"/>
          <w:lang w:val="en-US"/>
        </w:rPr>
        <w:t xml:space="preserve"> </w:t>
      </w:r>
      <w:r w:rsidR="00DB4FB0">
        <w:rPr>
          <w:rFonts w:ascii="var(--bs-body-font-family)" w:hAnsi="var(--bs-body-font-family)"/>
          <w:lang w:val="en-US"/>
        </w:rPr>
        <w:t xml:space="preserve">yet </w:t>
      </w:r>
      <w:r w:rsidR="00AA35FB">
        <w:rPr>
          <w:rFonts w:ascii="var(--bs-body-font-family)" w:hAnsi="var(--bs-body-font-family)"/>
          <w:lang w:val="en-US"/>
        </w:rPr>
        <w:t xml:space="preserve">worked with these </w:t>
      </w:r>
      <w:proofErr w:type="spellStart"/>
      <w:r w:rsidR="00AA35FB">
        <w:rPr>
          <w:rFonts w:ascii="var(--bs-body-font-family)" w:hAnsi="var(--bs-body-font-family)"/>
          <w:lang w:val="en-US"/>
        </w:rPr>
        <w:t>organisations</w:t>
      </w:r>
      <w:proofErr w:type="spellEnd"/>
      <w:r w:rsidR="00AA35FB">
        <w:rPr>
          <w:rFonts w:ascii="var(--bs-body-font-family)" w:hAnsi="var(--bs-body-font-family)"/>
          <w:lang w:val="en-US"/>
        </w:rPr>
        <w:t xml:space="preserve"> to</w:t>
      </w:r>
      <w:r w:rsidR="002171EC" w:rsidRPr="29FA58D5">
        <w:rPr>
          <w:rFonts w:ascii="var(--bs-body-font-family)" w:hAnsi="var(--bs-body-font-family)"/>
          <w:lang w:val="en-US"/>
        </w:rPr>
        <w:t xml:space="preserve"> estimate the nature and extent of</w:t>
      </w:r>
      <w:r w:rsidR="004B76AE">
        <w:rPr>
          <w:rFonts w:ascii="var(--bs-body-font-family)" w:hAnsi="var(--bs-body-font-family)"/>
          <w:lang w:val="en-US"/>
        </w:rPr>
        <w:t xml:space="preserve"> the risk of</w:t>
      </w:r>
      <w:r w:rsidR="002171EC"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that may</w:t>
      </w:r>
      <w:r w:rsidR="00656A22" w:rsidRPr="29FA58D5">
        <w:rPr>
          <w:rFonts w:ascii="var(--bs-body-font-family)" w:hAnsi="var(--bs-body-font-family)"/>
          <w:lang w:val="en-US"/>
        </w:rPr>
        <w:t xml:space="preserve"> </w:t>
      </w:r>
      <w:r w:rsidR="002171EC" w:rsidRPr="29FA58D5">
        <w:rPr>
          <w:rFonts w:ascii="var(--bs-body-font-family)" w:hAnsi="var(--bs-body-font-family)"/>
          <w:lang w:val="en-US"/>
        </w:rPr>
        <w:t xml:space="preserve">exist among domestic </w:t>
      </w:r>
      <w:r w:rsidR="00E2204D">
        <w:rPr>
          <w:rFonts w:ascii="var(--bs-body-font-family)" w:hAnsi="var(--bs-body-font-family)"/>
          <w:lang w:val="en-US"/>
        </w:rPr>
        <w:t>workers</w:t>
      </w:r>
      <w:r w:rsidR="002171EC" w:rsidRPr="29FA58D5">
        <w:rPr>
          <w:rFonts w:ascii="var(--bs-body-font-family)" w:hAnsi="var(--bs-body-font-family)"/>
          <w:lang w:val="en-US"/>
        </w:rPr>
        <w:t xml:space="preserve"> in the UK.</w:t>
      </w:r>
      <w:r w:rsidR="00324647">
        <w:rPr>
          <w:rFonts w:ascii="var(--bs-body-font-family)" w:hAnsi="var(--bs-body-font-family)"/>
          <w:lang w:val="en-US"/>
        </w:rPr>
        <w:t xml:space="preserve"> </w:t>
      </w:r>
      <w:r w:rsidR="00324647" w:rsidRPr="29FA58D5">
        <w:rPr>
          <w:rFonts w:ascii="var(--bs-body-font-family)" w:hAnsi="var(--bs-body-font-family)"/>
          <w:lang w:val="en-US"/>
        </w:rPr>
        <w:lastRenderedPageBreak/>
        <w:t>Specifically, this article aims to contribute to a more nuanced understanding of how</w:t>
      </w:r>
      <w:r w:rsidR="00324647">
        <w:rPr>
          <w:rFonts w:ascii="var(--bs-body-font-family)" w:hAnsi="var(--bs-body-font-family)"/>
          <w:lang w:val="en-US"/>
        </w:rPr>
        <w:t xml:space="preserve"> civil society actors in the UK may engage with</w:t>
      </w:r>
      <w:r w:rsidR="00324647" w:rsidRPr="29FA58D5">
        <w:rPr>
          <w:rFonts w:ascii="var(--bs-body-font-family)" w:hAnsi="var(--bs-body-font-family)"/>
          <w:lang w:val="en-US"/>
        </w:rPr>
        <w:t xml:space="preserve"> quantitative methodologies to improve understanding of the realities of domestic workers’ conditions by demonstrating the use of a statistically robust estimation of the nature and proportion of </w:t>
      </w:r>
      <w:proofErr w:type="spellStart"/>
      <w:r w:rsidR="00324647" w:rsidRPr="29FA58D5">
        <w:rPr>
          <w:rFonts w:ascii="var(--bs-body-font-family)" w:hAnsi="var(--bs-body-font-family)"/>
          <w:lang w:val="en-US"/>
        </w:rPr>
        <w:t>labour</w:t>
      </w:r>
      <w:proofErr w:type="spellEnd"/>
      <w:r w:rsidR="00324647" w:rsidRPr="29FA58D5">
        <w:rPr>
          <w:rFonts w:ascii="var(--bs-body-font-family)" w:hAnsi="var(--bs-body-font-family)"/>
          <w:lang w:val="en-US"/>
        </w:rPr>
        <w:t xml:space="preserve"> exploitation and abuse.</w:t>
      </w:r>
    </w:p>
    <w:p w14:paraId="6C10061D" w14:textId="77850BD8" w:rsidR="00355683" w:rsidRDefault="00355683" w:rsidP="006D4CE1">
      <w:pPr>
        <w:divId w:val="2143187879"/>
      </w:pPr>
    </w:p>
    <w:p w14:paraId="30997665" w14:textId="443EF36B" w:rsidR="002171EC" w:rsidRPr="00355683" w:rsidRDefault="00DA17B6" w:rsidP="00867B07">
      <w:pPr>
        <w:spacing w:line="480" w:lineRule="auto"/>
        <w:rPr>
          <w:rStyle w:val="Strong"/>
        </w:rPr>
      </w:pPr>
      <w:r>
        <w:t xml:space="preserve"> </w:t>
      </w:r>
      <w:r w:rsidR="200F21A2">
        <w:t xml:space="preserve">2. </w:t>
      </w:r>
      <w:r w:rsidR="002171EC" w:rsidRPr="752265D2">
        <w:rPr>
          <w:rStyle w:val="Strong"/>
        </w:rPr>
        <w:t>Conceptualising</w:t>
      </w:r>
      <w:r w:rsidR="002171EC">
        <w:t xml:space="preserve"> </w:t>
      </w:r>
      <w:r w:rsidR="002171EC" w:rsidRPr="752265D2">
        <w:rPr>
          <w:rStyle w:val="Strong"/>
        </w:rPr>
        <w:t>Labour Exploitation and the Degree of Risk</w:t>
      </w:r>
    </w:p>
    <w:p w14:paraId="3D8F68EB" w14:textId="6DBE364F" w:rsidR="002171EC" w:rsidRPr="0041001D" w:rsidRDefault="00231A65" w:rsidP="29FA58D5">
      <w:pPr>
        <w:spacing w:line="480" w:lineRule="auto"/>
        <w:divId w:val="2143187879"/>
        <w:rPr>
          <w:rFonts w:ascii="var(--bs-body-font-family)" w:hAnsi="var(--bs-body-font-family)" w:hint="eastAsia"/>
          <w:lang w:val="en-US"/>
        </w:rPr>
      </w:pPr>
      <w:r>
        <w:rPr>
          <w:rFonts w:ascii="var(--bs-body-font-family)" w:hAnsi="var(--bs-body-font-family)"/>
          <w:lang w:val="en-US"/>
        </w:rPr>
        <w:t>We</w:t>
      </w:r>
      <w:r w:rsidR="002171EC" w:rsidRPr="29FA58D5">
        <w:rPr>
          <w:rFonts w:ascii="var(--bs-body-font-family)" w:hAnsi="var(--bs-body-font-family)"/>
          <w:lang w:val="en-US"/>
        </w:rPr>
        <w:t xml:space="preserve"> used the International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Organization’s </w:t>
      </w:r>
      <w:r w:rsidR="008D4E33">
        <w:rPr>
          <w:rFonts w:ascii="var(--bs-body-font-family)" w:hAnsi="var(--bs-body-font-family)" w:hint="eastAsia"/>
          <w:lang w:val="en-US"/>
        </w:rPr>
        <w:fldChar w:fldCharType="begin"/>
      </w:r>
      <w:r w:rsidR="008D4E33">
        <w:rPr>
          <w:rFonts w:ascii="var(--bs-body-font-family)" w:hAnsi="var(--bs-body-font-family)" w:hint="eastAsia"/>
          <w:lang w:val="en-US"/>
        </w:rPr>
        <w:instrText xml:space="preserve"> ADDIN ZOTERO_ITEM CSL_CITATION {"citationID":"b5wVD354","properties":{"formattedCitation":"(I.L.O.,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8D4E33">
        <w:rPr>
          <w:rFonts w:ascii="var(--bs-body-font-family)" w:hAnsi="var(--bs-body-font-family)" w:hint="eastAsia"/>
          <w:lang w:val="en-US"/>
        </w:rPr>
        <w:fldChar w:fldCharType="separate"/>
      </w:r>
      <w:r w:rsidR="008D4E33" w:rsidRPr="008D4E33">
        <w:rPr>
          <w:rFonts w:ascii="var(--bs-body-font-family)" w:hAnsi="var(--bs-body-font-family)"/>
        </w:rPr>
        <w:t>(I.L.O., 2012)</w:t>
      </w:r>
      <w:r w:rsidR="008D4E33">
        <w:rPr>
          <w:rFonts w:ascii="var(--bs-body-font-family)" w:hAnsi="var(--bs-body-font-family)" w:hint="eastAsia"/>
          <w:lang w:val="en-US"/>
        </w:rPr>
        <w:fldChar w:fldCharType="end"/>
      </w:r>
      <w:r w:rsidR="002171EC" w:rsidRPr="29FA58D5">
        <w:rPr>
          <w:rFonts w:ascii="var(--bs-body-font-family)" w:hAnsi="var(--bs-body-font-family)"/>
          <w:lang w:val="en-US"/>
        </w:rPr>
        <w:t xml:space="preserve"> ‘Indicators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to identify the potential for severe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exploitation and as a basis for the quantification of our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exploitation and abuse risk</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index. The ILO identify eleven indicators designed to help understand how forced </w:t>
      </w:r>
      <w:proofErr w:type="spellStart"/>
      <w:r w:rsidR="002171EC" w:rsidRPr="29FA58D5">
        <w:rPr>
          <w:rFonts w:ascii="var(--bs-body-font-family)" w:hAnsi="var(--bs-body-font-family)"/>
          <w:lang w:val="en-US"/>
        </w:rPr>
        <w:t>labour</w:t>
      </w:r>
      <w:proofErr w:type="spellEnd"/>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arises and how it affects victims. These indicators </w:t>
      </w:r>
      <w:proofErr w:type="gramStart"/>
      <w:r w:rsidR="002171EC" w:rsidRPr="29FA58D5">
        <w:rPr>
          <w:rFonts w:ascii="var(--bs-body-font-family)" w:hAnsi="var(--bs-body-font-family)"/>
          <w:lang w:val="en-US"/>
        </w:rPr>
        <w:t>include:</w:t>
      </w:r>
      <w:proofErr w:type="gramEnd"/>
      <w:r w:rsidR="002171EC" w:rsidRPr="29FA58D5">
        <w:rPr>
          <w:rFonts w:ascii="var(--bs-body-font-family)" w:hAnsi="var(--bs-body-font-family)"/>
          <w:lang w:val="en-US"/>
        </w:rPr>
        <w:t xml:space="preserve"> abuse of vulnerability; deception;</w:t>
      </w:r>
      <w:r w:rsidR="00064660" w:rsidRPr="29FA58D5">
        <w:rPr>
          <w:rFonts w:ascii="var(--bs-body-font-family)" w:hAnsi="var(--bs-body-font-family)"/>
          <w:lang w:val="en-US"/>
        </w:rPr>
        <w:t xml:space="preserve"> </w:t>
      </w:r>
      <w:r w:rsidR="002171EC" w:rsidRPr="29FA58D5">
        <w:rPr>
          <w:rFonts w:ascii="var(--bs-body-font-family)" w:hAnsi="var(--bs-body-font-family)"/>
          <w:lang w:val="en-US"/>
        </w:rPr>
        <w:t>restriction of movement; isolation; physical and sexual violence; intimidation and threats;</w:t>
      </w:r>
      <w:r w:rsidR="00064660" w:rsidRPr="29FA58D5">
        <w:rPr>
          <w:rFonts w:ascii="var(--bs-body-font-family)" w:hAnsi="var(--bs-body-font-family)"/>
          <w:lang w:val="en-US"/>
        </w:rPr>
        <w:t xml:space="preserve"> </w:t>
      </w:r>
      <w:r w:rsidR="002171EC" w:rsidRPr="29FA58D5">
        <w:rPr>
          <w:rFonts w:ascii="var(--bs-body-font-family)" w:hAnsi="var(--bs-body-font-family)"/>
          <w:lang w:val="en-US"/>
        </w:rPr>
        <w:t>retention of identity documents; withholding of wages; debt bondage; abusive working and</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living conditions and excessive overtime. According to the ILO, the presence of a single indicator in any given situation may in some cases imply the existence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However,</w:t>
      </w:r>
      <w:r w:rsidR="00064660" w:rsidRPr="29FA58D5">
        <w:rPr>
          <w:rFonts w:ascii="var(--bs-body-font-family)" w:hAnsi="var(--bs-body-font-family)"/>
          <w:lang w:val="en-US"/>
        </w:rPr>
        <w:t xml:space="preserve"> </w:t>
      </w:r>
      <w:r w:rsidR="002171EC" w:rsidRPr="29FA58D5">
        <w:rPr>
          <w:rFonts w:ascii="var(--bs-body-font-family)" w:hAnsi="var(--bs-body-font-family)"/>
          <w:lang w:val="en-US"/>
        </w:rPr>
        <w:t>it also suggests that in other cases it may be necessary to look for several indications which,</w:t>
      </w:r>
      <w:r w:rsidR="00064660" w:rsidRPr="29FA58D5">
        <w:rPr>
          <w:rFonts w:ascii="var(--bs-body-font-family)" w:hAnsi="var(--bs-body-font-family)"/>
          <w:lang w:val="en-US"/>
        </w:rPr>
        <w:t xml:space="preserve"> </w:t>
      </w:r>
      <w:r w:rsidR="002171EC" w:rsidRPr="29FA58D5">
        <w:rPr>
          <w:rFonts w:ascii="var(--bs-body-font-family)" w:hAnsi="var(--bs-body-font-family)"/>
          <w:lang w:val="en-US"/>
        </w:rPr>
        <w:t xml:space="preserve">taken together, may point to a case of forced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We seek to refine this statement</w:t>
      </w:r>
      <w:r w:rsidR="00064660" w:rsidRPr="29FA58D5">
        <w:rPr>
          <w:rFonts w:ascii="var(--bs-body-font-family)" w:hAnsi="var(--bs-body-font-family)"/>
          <w:lang w:val="en-US"/>
        </w:rPr>
        <w:t xml:space="preserve"> </w:t>
      </w:r>
      <w:r w:rsidR="002171EC" w:rsidRPr="29FA58D5">
        <w:rPr>
          <w:rFonts w:ascii="var(--bs-body-font-family)" w:hAnsi="var(--bs-body-font-family)"/>
          <w:lang w:val="en-US"/>
        </w:rPr>
        <w:t>through the construction of a composite index by which means a degree of risk related to</w:t>
      </w:r>
      <w:r w:rsidR="00064660" w:rsidRPr="29FA58D5">
        <w:rPr>
          <w:rFonts w:ascii="var(--bs-body-font-family)" w:hAnsi="var(--bs-body-font-family)"/>
          <w:lang w:val="en-US"/>
        </w:rPr>
        <w:t xml:space="preserve"> </w:t>
      </w:r>
      <w:r w:rsidR="002171EC" w:rsidRPr="29FA58D5">
        <w:rPr>
          <w:rFonts w:ascii="var(--bs-body-font-family)" w:hAnsi="var(--bs-body-font-family)"/>
          <w:lang w:val="en-US"/>
        </w:rPr>
        <w:t>the likelihood of a domestic worker experiencing this most severe form of exploitation may</w:t>
      </w:r>
      <w:r w:rsidR="00064660" w:rsidRPr="29FA58D5">
        <w:rPr>
          <w:rFonts w:ascii="var(--bs-body-font-family)" w:hAnsi="var(--bs-body-font-family)"/>
          <w:lang w:val="en-US"/>
        </w:rPr>
        <w:t xml:space="preserve"> </w:t>
      </w:r>
      <w:r w:rsidR="002171EC" w:rsidRPr="29FA58D5">
        <w:rPr>
          <w:rFonts w:ascii="var(--bs-body-font-family)" w:hAnsi="var(--bs-body-font-family)"/>
          <w:lang w:val="en-US"/>
        </w:rPr>
        <w:t>be distinguished from the likely occurrence of less severe, though similarly illegal, forms of</w:t>
      </w:r>
      <w:r w:rsidR="00064660" w:rsidRPr="29FA58D5">
        <w:rPr>
          <w:rFonts w:ascii="var(--bs-body-font-family)" w:hAnsi="var(--bs-body-font-family)"/>
          <w:lang w:val="en-US"/>
        </w:rPr>
        <w:t xml:space="preserve"> </w:t>
      </w:r>
      <w:proofErr w:type="spellStart"/>
      <w:r w:rsidR="002171EC" w:rsidRPr="29FA58D5">
        <w:rPr>
          <w:rFonts w:ascii="var(--bs-body-font-family)" w:hAnsi="var(--bs-body-font-family)"/>
          <w:lang w:val="en-US"/>
        </w:rPr>
        <w:t>labour</w:t>
      </w:r>
      <w:proofErr w:type="spellEnd"/>
      <w:r w:rsidR="002171EC" w:rsidRPr="29FA58D5">
        <w:rPr>
          <w:rFonts w:ascii="var(--bs-body-font-family)" w:hAnsi="var(--bs-body-font-family)"/>
          <w:lang w:val="en-US"/>
        </w:rPr>
        <w:t xml:space="preserve"> abuse.</w:t>
      </w:r>
    </w:p>
    <w:p>
      <w: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of aggregation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we conduct robustness assessment by perturbing the weights.</w:t>
      </w:r>
    </w:p>
    <w:p w14:paraId="71127043" w14:textId="77777777" w:rsidR="002171EC" w:rsidRDefault="002171EC" w:rsidP="006D4CE1">
      <w:pPr>
        <w:divId w:val="2143187879"/>
      </w:pPr>
    </w:p>
    <w:p w14:paraId="41B8C7C1" w14:textId="44A6577D" w:rsidR="002171EC" w:rsidRPr="00355683" w:rsidRDefault="00223419" w:rsidP="00355683">
      <w:pPr>
        <w:divId w:val="2143187879"/>
        <w:rPr>
          <w:u w:val="single"/>
        </w:rPr>
      </w:pPr>
      <w:r w:rsidRPr="00223419">
        <w:t>2.1</w:t>
      </w:r>
      <w:r w:rsidRPr="00223419">
        <w:tab/>
      </w:r>
      <w:r w:rsidR="002171EC" w:rsidRPr="00355683">
        <w:rPr>
          <w:u w:val="single"/>
        </w:rPr>
        <w:t>Evaluating the Degree of Risk</w:t>
      </w:r>
    </w:p>
    <w:p w14:paraId="51F55A5E" w14:textId="77777777" w:rsidR="002171EC" w:rsidRDefault="002171EC" w:rsidP="002171EC">
      <w:pPr>
        <w:pStyle w:val="p2"/>
        <w:divId w:val="2143187879"/>
      </w:pPr>
    </w:p>
    <w:p w14:paraId="47EB695C" w14:textId="474F2DF8" w:rsidR="002171EC" w:rsidRPr="00577DEA" w:rsidRDefault="002171EC" w:rsidP="29FA58D5">
      <w:pPr>
        <w:pStyle w:val="NormalWeb"/>
        <w:spacing w:line="480" w:lineRule="auto"/>
        <w:divId w:val="2143187879"/>
        <w:rPr>
          <w:rFonts w:ascii="var(--bs-body-font-family)" w:hAnsi="var(--bs-body-font-family)" w:hint="eastAsia"/>
          <w:lang w:val="en-US"/>
        </w:rPr>
      </w:pPr>
      <w:r w:rsidRPr="752265D2">
        <w:rPr>
          <w:rFonts w:ascii="var(--bs-body-font-family)" w:hAnsi="var(--bs-body-font-family)"/>
          <w:lang w:val="en-US"/>
        </w:rPr>
        <w:t xml:space="preserve">In our study, we </w:t>
      </w:r>
      <w:proofErr w:type="spellStart"/>
      <w:r w:rsidRPr="752265D2">
        <w:rPr>
          <w:rFonts w:ascii="var(--bs-body-font-family)" w:hAnsi="var(--bs-body-font-family)"/>
          <w:lang w:val="en-US"/>
        </w:rPr>
        <w:t>conceptualise</w:t>
      </w:r>
      <w:proofErr w:type="spellEnd"/>
      <w:r w:rsidRPr="752265D2">
        <w:rPr>
          <w:rFonts w:ascii="var(--bs-body-font-family)" w:hAnsi="var(--bs-body-font-family)"/>
          <w:lang w:val="en-US"/>
        </w:rPr>
        <w:t xml:space="preserve"> the risk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from the workers’ perspective.</w:t>
      </w:r>
      <w:r w:rsidR="00577DEA" w:rsidRPr="752265D2">
        <w:rPr>
          <w:rFonts w:ascii="var(--bs-body-font-family)" w:hAnsi="var(--bs-body-font-family)"/>
          <w:lang w:val="en-US"/>
        </w:rPr>
        <w:t xml:space="preserve"> </w:t>
      </w:r>
      <w:r w:rsidRPr="752265D2">
        <w:rPr>
          <w:rFonts w:ascii="var(--bs-body-font-family)" w:hAnsi="var(--bs-body-font-family)"/>
          <w:lang w:val="en-US"/>
        </w:rPr>
        <w:t xml:space="preserve">We conceive severe forms of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exploitation such as forced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as one </w:t>
      </w:r>
      <w:r w:rsidRPr="752265D2">
        <w:rPr>
          <w:rFonts w:ascii="var(--bs-body-font-family)" w:hAnsi="var(--bs-body-font-family)"/>
          <w:lang w:val="en-US"/>
        </w:rPr>
        <w:lastRenderedPageBreak/>
        <w:t xml:space="preserve">end of a spectrum ranging from illegal employment practices that constitute </w:t>
      </w:r>
      <w:proofErr w:type="spellStart"/>
      <w:r w:rsidRPr="752265D2">
        <w:rPr>
          <w:rFonts w:ascii="var(--bs-body-font-family)" w:hAnsi="var(--bs-body-font-family)"/>
          <w:lang w:val="en-US"/>
        </w:rPr>
        <w:t>labour</w:t>
      </w:r>
      <w:proofErr w:type="spellEnd"/>
      <w:r w:rsidRPr="752265D2">
        <w:rPr>
          <w:rFonts w:ascii="var(--bs-body-font-family)" w:hAnsi="var(--bs-body-font-family)"/>
          <w:lang w:val="en-US"/>
        </w:rPr>
        <w:t xml:space="preserve"> abuse, such as wage</w:t>
      </w:r>
      <w:r w:rsidR="00577DEA" w:rsidRPr="752265D2">
        <w:rPr>
          <w:rFonts w:ascii="var(--bs-body-font-family)" w:hAnsi="var(--bs-body-font-family)"/>
          <w:lang w:val="en-US"/>
        </w:rPr>
        <w:t xml:space="preserve"> </w:t>
      </w:r>
      <w:r w:rsidRPr="752265D2">
        <w:rPr>
          <w:rFonts w:ascii="var(--bs-body-font-family)" w:hAnsi="var(--bs-body-font-family)"/>
          <w:lang w:val="en-US"/>
        </w:rPr>
        <w:t>payments below legal minimum wage levels and health and safety violations, through to the</w:t>
      </w:r>
      <w:r w:rsidR="00577DEA" w:rsidRPr="752265D2">
        <w:rPr>
          <w:rFonts w:ascii="var(--bs-body-font-family)" w:hAnsi="var(--bs-body-font-family)"/>
          <w:lang w:val="en-US"/>
        </w:rPr>
        <w:t xml:space="preserve"> </w:t>
      </w:r>
      <w:r w:rsidRPr="752265D2">
        <w:rPr>
          <w:rFonts w:ascii="var(--bs-body-font-family)" w:hAnsi="var(--bs-body-font-family)"/>
          <w:lang w:val="en-US"/>
        </w:rPr>
        <w:t>likelihood of criminal exploitation recognized in the UK as modern slavery. Our assessment</w:t>
      </w:r>
      <w:r w:rsidR="00577DEA" w:rsidRPr="752265D2">
        <w:rPr>
          <w:rFonts w:ascii="var(--bs-body-font-family)" w:hAnsi="var(--bs-body-font-family)"/>
          <w:lang w:val="en-US"/>
        </w:rPr>
        <w:t xml:space="preserve"> </w:t>
      </w:r>
      <w:r w:rsidRPr="752265D2">
        <w:rPr>
          <w:rFonts w:ascii="var(--bs-body-font-family)" w:hAnsi="var(--bs-body-font-family)"/>
          <w:lang w:val="en-US"/>
        </w:rPr>
        <w:t xml:space="preserve">of this personal risk permits a degree of risk to be assigned to various clusters of forced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indicators with the more indicators present, the stronger the likelihood that the working conditions may be considered exploitative. Along with this novel conceptualization of </w:t>
      </w:r>
      <w:proofErr w:type="spellStart"/>
      <w:r w:rsidRPr="752265D2">
        <w:rPr>
          <w:rFonts w:ascii="var(--bs-body-font-family)" w:hAnsi="var(--bs-body-font-family)"/>
          <w:lang w:val="en-US"/>
        </w:rPr>
        <w:t>labour</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 xml:space="preserve">exploitation (LE) as a continuous risk index (or risk score – see </w:t>
      </w:r>
      <w:r w:rsidR="20BE06DB" w:rsidRPr="752265D2">
        <w:rPr>
          <w:rFonts w:ascii="var(--bs-body-font-family)" w:hAnsi="var(--bs-body-font-family)"/>
          <w:lang w:val="en-US"/>
        </w:rPr>
        <w:t>ESM_1</w:t>
      </w:r>
      <w:r w:rsidRPr="752265D2">
        <w:rPr>
          <w:rFonts w:ascii="var(--bs-body-font-family)" w:hAnsi="var(--bs-body-font-family)"/>
          <w:lang w:val="en-US"/>
        </w:rPr>
        <w:t xml:space="preserve"> for</w:t>
      </w:r>
      <w:r w:rsidR="00047431" w:rsidRPr="752265D2">
        <w:rPr>
          <w:rFonts w:ascii="var(--bs-body-font-family)" w:hAnsi="var(--bs-body-font-family)"/>
          <w:lang w:val="en-US"/>
        </w:rPr>
        <w:t xml:space="preserve"> full</w:t>
      </w:r>
      <w:r w:rsidRPr="752265D2">
        <w:rPr>
          <w:rFonts w:ascii="var(--bs-body-font-family)" w:hAnsi="var(--bs-body-font-family)"/>
          <w:lang w:val="en-US"/>
        </w:rPr>
        <w:t xml:space="preserve"> details of</w:t>
      </w:r>
      <w:r w:rsidR="00577DEA" w:rsidRPr="752265D2">
        <w:rPr>
          <w:rFonts w:ascii="var(--bs-body-font-family)" w:hAnsi="var(--bs-body-font-family)"/>
          <w:lang w:val="en-US"/>
        </w:rPr>
        <w:t xml:space="preserve"> </w:t>
      </w:r>
      <w:r w:rsidRPr="752265D2">
        <w:rPr>
          <w:rFonts w:ascii="var(--bs-body-font-family)" w:hAnsi="var(--bs-body-font-family)"/>
          <w:lang w:val="en-US"/>
        </w:rPr>
        <w:t>its construction) we also employ a series of dichotomous indicators.</w:t>
      </w:r>
      <w:r w:rsidR="00047431" w:rsidRPr="752265D2">
        <w:rPr>
          <w:rFonts w:ascii="var(--bs-body-font-family)" w:hAnsi="var(--bs-body-font-family)"/>
          <w:lang w:val="en-US"/>
        </w:rPr>
        <w:t xml:space="preserve"> </w:t>
      </w:r>
      <w:r w:rsidRPr="752265D2">
        <w:rPr>
          <w:rFonts w:ascii="var(--bs-body-font-family)" w:hAnsi="var(--bs-body-font-family)"/>
          <w:lang w:val="en-US"/>
        </w:rPr>
        <w:t xml:space="preserve">These indicators allowed us to </w:t>
      </w:r>
      <w:proofErr w:type="spellStart"/>
      <w:r w:rsidRPr="752265D2">
        <w:rPr>
          <w:rFonts w:ascii="var(--bs-body-font-family)" w:hAnsi="var(--bs-body-font-family)"/>
          <w:lang w:val="en-US"/>
        </w:rPr>
        <w:t>operationalise</w:t>
      </w:r>
      <w:proofErr w:type="spellEnd"/>
      <w:r w:rsidR="00577DEA" w:rsidRPr="752265D2">
        <w:rPr>
          <w:rFonts w:ascii="var(--bs-body-font-family)" w:hAnsi="var(--bs-body-font-family)"/>
          <w:lang w:val="en-US"/>
        </w:rPr>
        <w:t xml:space="preserve"> </w:t>
      </w:r>
      <w:r w:rsidRPr="752265D2">
        <w:rPr>
          <w:rFonts w:ascii="var(--bs-body-font-family)" w:hAnsi="var(--bs-body-font-family)"/>
          <w:lang w:val="en-US"/>
        </w:rPr>
        <w:t>exploitation in two ways. First, we constructed binary indicators classifying respondents as</w:t>
      </w:r>
      <w:r w:rsidR="00577DEA" w:rsidRPr="752265D2">
        <w:rPr>
          <w:rFonts w:ascii="var(--bs-body-font-family)" w:hAnsi="var(--bs-body-font-family)"/>
          <w:lang w:val="en-US"/>
        </w:rPr>
        <w:t xml:space="preserve"> </w:t>
      </w:r>
      <w:r w:rsidRPr="752265D2">
        <w:rPr>
          <w:rFonts w:ascii="var(--bs-body-font-family)" w:hAnsi="var(--bs-body-font-family)"/>
          <w:lang w:val="en-US"/>
        </w:rPr>
        <w:t>exploited or not exploited, based on threshold criteria. Second, we developed a continuous</w:t>
      </w:r>
      <w:r w:rsidR="00577DEA" w:rsidRPr="752265D2">
        <w:rPr>
          <w:rFonts w:ascii="var(--bs-body-font-family)" w:hAnsi="var(--bs-body-font-family)"/>
          <w:lang w:val="en-US"/>
        </w:rPr>
        <w:t xml:space="preserve"> </w:t>
      </w:r>
      <w:r w:rsidRPr="752265D2">
        <w:rPr>
          <w:rFonts w:ascii="var(--bs-body-font-family)" w:hAnsi="var(--bs-body-font-family)"/>
          <w:lang w:val="en-US"/>
        </w:rPr>
        <w:t>risk index, designed to capture gradations of vulnerability across the full sample.</w:t>
      </w:r>
    </w:p>
    <w:p w14:paraId="1356E94E" w14:textId="5E5C959B" w:rsidR="00AA7A35" w:rsidRPr="00E30F7F" w:rsidRDefault="00DA17B6" w:rsidP="00ED6819">
      <w:pPr>
        <w:pStyle w:val="Heading1"/>
        <w:divId w:val="1975518704"/>
      </w:pPr>
      <w:r w:rsidRPr="23ADB1D8">
        <w:t xml:space="preserve">Case Setting: Labour Exploitation Risk Among Transnational Migrant Domestic Workers </w:t>
      </w:r>
      <w:proofErr w:type="gramStart"/>
      <w:r w:rsidRPr="23ADB1D8">
        <w:t>In</w:t>
      </w:r>
      <w:proofErr w:type="gramEnd"/>
      <w:r w:rsidRPr="23ADB1D8">
        <w:t xml:space="preserve"> The UK</w:t>
      </w:r>
    </w:p>
    <w:p w14:paraId="08410AC3" w14:textId="2D9BD98E"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Domestic work forms part of a broader industrial category of Personal and Household Service work (PHS). Work in this category includes those employed in ‘social work activities without accommodation’ and ‘activities of households as employers of domestic personnel’ </w:t>
      </w:r>
      <w:r w:rsidR="003710AA">
        <w:rPr>
          <w:rFonts w:ascii="var(--bs-body-font-family)" w:hAnsi="var(--bs-body-font-family)" w:hint="eastAsia"/>
          <w:lang w:val="en-US"/>
        </w:rPr>
        <w:fldChar w:fldCharType="begin"/>
      </w:r>
      <w:r w:rsidR="003710AA">
        <w:rPr>
          <w:rFonts w:ascii="var(--bs-body-font-family)" w:hAnsi="var(--bs-body-font-family)" w:hint="eastAsia"/>
          <w:lang w:val="en-US"/>
        </w:rPr>
        <w:instrText xml:space="preserve"> ADDIN ZOTERO_ITEM CSL_CITATION {"citationID":"2tx8Xrg6","properties":{"formattedCitation":"(European Commission, 2012)","plainCitation":"(European Commission, 2012)","noteIndex":0},"citationItems":[{"id":535,"uris":["http://zotero.org/users/local/nMxJkNMP/items/UWQZ7SM7"],"itemData":{"id":535,"type":"document","title":"Staff Working Docuemnt on exploitating the employment potential of the personal and household services, SWD (2012) final","author":[{"family":"European Commission","given":""}],"issued":{"date-parts":[["2012"]]}}}],"schema":"https://github.com/citation-style-language/schema/raw/master/csl-citation.json"} </w:instrText>
      </w:r>
      <w:r w:rsidR="003710AA">
        <w:rPr>
          <w:rFonts w:ascii="var(--bs-body-font-family)" w:hAnsi="var(--bs-body-font-family)" w:hint="eastAsia"/>
          <w:lang w:val="en-US"/>
        </w:rPr>
        <w:fldChar w:fldCharType="separate"/>
      </w:r>
      <w:r w:rsidR="003710AA" w:rsidRPr="003710AA">
        <w:rPr>
          <w:rFonts w:ascii="var(--bs-body-font-family)" w:hAnsi="var(--bs-body-font-family)"/>
        </w:rPr>
        <w:t>(European Commission, 2012)</w:t>
      </w:r>
      <w:r w:rsidR="003710AA">
        <w:rPr>
          <w:rFonts w:ascii="var(--bs-body-font-family)" w:hAnsi="var(--bs-body-font-family)" w:hint="eastAsia"/>
          <w:lang w:val="en-US"/>
        </w:rPr>
        <w:fldChar w:fldCharType="end"/>
      </w:r>
      <w:r w:rsidRPr="23ADB1D8">
        <w:rPr>
          <w:rFonts w:ascii="var(--bs-body-font-family)" w:hAnsi="var(--bs-body-font-family)"/>
          <w:lang w:val="en-US"/>
        </w:rPr>
        <w:t xml:space="preserve">. In 2017, an estimated 980,000 people were engaged in PHS work in the UK </w:t>
      </w:r>
      <w:r w:rsidR="00A25596">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{"citationID":"uJKpp9kz","properties":{"formattedCitation":"(Manoudi {\\i{}et al.}, 2018)","plainCitation":"(Manoudi et al., 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Woodall","given":"J."}],"accessed":{"date-parts":[["2024",10,28]]},"issued":{"date-parts":[["2018"]]}}}],"schema":"https://github.com/citation-style-language/schema/raw/master/csl-citation.json"} </w:instrText>
      </w:r>
      <w:r w:rsidR="00A25596">
        <w:rPr>
          <w:rFonts w:ascii="var(--bs-body-font-family)" w:hAnsi="var(--bs-body-font-family)" w:hint="eastAsia"/>
          <w:lang w:val="en-US"/>
        </w:rPr>
        <w:fldChar w:fldCharType="separate"/>
      </w:r>
      <w:r w:rsidR="00B459A2" w:rsidRPr="00B459A2">
        <w:rPr>
          <w:rFonts w:ascii="var(--bs-body-font-family)" w:hAnsi="var(--bs-body-font-family)"/>
        </w:rPr>
        <w:t xml:space="preserve">(Manoudi </w:t>
      </w:r>
      <w:r w:rsidR="00B459A2" w:rsidRPr="00B459A2">
        <w:rPr>
          <w:rFonts w:ascii="var(--bs-body-font-family)" w:hAnsi="var(--bs-body-font-family)"/>
          <w:i/>
          <w:iCs/>
        </w:rPr>
        <w:t>et al.</w:t>
      </w:r>
      <w:r w:rsidR="00B459A2" w:rsidRPr="00B459A2">
        <w:rPr>
          <w:rFonts w:ascii="var(--bs-body-font-family)" w:hAnsi="var(--bs-body-font-family)"/>
        </w:rPr>
        <w:t>, 2018)</w:t>
      </w:r>
      <w:r w:rsidR="00A25596">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Manoudi</w:t>
      </w:r>
      <w:proofErr w:type="spellEnd"/>
      <w:r w:rsidRPr="23ADB1D8">
        <w:rPr>
          <w:rStyle w:val="citation"/>
          <w:rFonts w:ascii="var(--bs-body-font-family)" w:hAnsi="var(--bs-body-font-family)"/>
          <w:lang w:val="en-US"/>
        </w:rPr>
        <w:t xml:space="preserve"> et al. </w:t>
      </w:r>
      <w:r w:rsidR="009F209D">
        <w:rPr>
          <w:rStyle w:val="citation"/>
          <w:rFonts w:ascii="var(--bs-body-font-family)" w:hAnsi="var(--bs-body-font-family)" w:hint="eastAsia"/>
          <w:lang w:val="en-US"/>
        </w:rPr>
        <w:fldChar w:fldCharType="begin"/>
      </w:r>
      <w:r w:rsidR="009F209D">
        <w:rPr>
          <w:rStyle w:val="citation"/>
          <w:rFonts w:ascii="var(--bs-body-font-family)" w:hAnsi="var(--bs-body-font-family)" w:hint="eastAsia"/>
          <w:lang w:val="en-US"/>
        </w:rPr>
        <w:instrText xml:space="preserve"> ADDIN ZOTERO_ITEM CSL_CITATION {"citationID":"E11lMN6R","properties":{"formattedCitation":"(2018)","plainCitation":"(2018)","noteIndex":0},"citationItems":[{"id":189,"uris":["http://zotero.org/users/local/nMxJkNMP/items/ZSZ626D9"],"itemData":{"id":189,"type":"report","genre":"Synthesis Report ECE Thematic Review","publisher":"European Commission","title":"An analysis of Personal and Household Services to support work life balance for working parents and carers - Google Search","URL":"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author":[{"family":"Manoudi","given":"A."},{"family":"Weber","given":"T."},{"family":"Scott","given":"D."},{"family":"Hawley Woodall","given":"J."}],"accessed":{"date-parts":[["2024",10,28]]},"issued":{"date-parts":[["2018"]]}},"suppress-author":true}],"schema":"https://github.com/citation-style-language/schema/raw/master/csl-citation.json"} </w:instrText>
      </w:r>
      <w:r w:rsidR="009F209D">
        <w:rPr>
          <w:rStyle w:val="citation"/>
          <w:rFonts w:ascii="var(--bs-body-font-family)" w:hAnsi="var(--bs-body-font-family)" w:hint="eastAsia"/>
          <w:lang w:val="en-US"/>
        </w:rPr>
        <w:fldChar w:fldCharType="separate"/>
      </w:r>
      <w:r w:rsidR="009F209D" w:rsidRPr="009F209D">
        <w:rPr>
          <w:rFonts w:ascii="var(--bs-body-font-family)" w:hAnsi="var(--bs-body-font-family)"/>
        </w:rPr>
        <w:t>(2018)</w:t>
      </w:r>
      <w:r w:rsidR="009F209D">
        <w:rPr>
          <w:rStyle w:val="citation"/>
          <w:rFonts w:ascii="var(--bs-body-font-family)" w:hAnsi="var(--bs-body-font-family)" w:hint="eastAsia"/>
          <w:lang w:val="en-US"/>
        </w:rPr>
        <w:fldChar w:fldCharType="end"/>
      </w:r>
      <w:r w:rsidR="009F209D">
        <w:rPr>
          <w:rStyle w:val="citation"/>
          <w:rFonts w:ascii="var(--bs-body-font-family)" w:hAnsi="var(--bs-body-font-family)"/>
          <w:lang w:val="en-US"/>
        </w:rPr>
        <w:t xml:space="preserve"> </w:t>
      </w:r>
      <w:r w:rsidRPr="23ADB1D8">
        <w:rPr>
          <w:rFonts w:ascii="var(--bs-body-font-family)" w:hAnsi="var(--bs-body-font-family)"/>
          <w:lang w:val="en-US"/>
        </w:rPr>
        <w:t xml:space="preserve">highlight that the PHS sector is dominated by women and migrants, with many undeclared foreign workers. Detailed statistics related to the country of origin of domestic workers migrating to work in PHS in the UK are difficult to isolate before 2019. Since that time, annual migration has fluctuated – falling sharply in 2021 due in part to the COVID-19 pandemic, before later rising again above pre-pandemic levels. In the year to December 2022, the </w:t>
      </w:r>
      <w:r w:rsidRPr="23ADB1D8">
        <w:rPr>
          <w:rFonts w:ascii="var(--bs-body-font-family)" w:hAnsi="var(--bs-body-font-family)"/>
          <w:lang w:val="en-US"/>
        </w:rPr>
        <w:lastRenderedPageBreak/>
        <w:t xml:space="preserve">UK Home Office reported that it had issued 18,533 Overseas Domestic Worker visas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{"citationID":"p4ANWnfq","properties":{"formattedCitation":"(Home Office, 2023)","plainCitation":"(Home Office, 2023)","noteIndex":0},"citationItems":[{"id":47,"uris":["http://zotero.org/users/local/nMxJkNMP/items/ZEVPEQDK"],"itemData":{"id":47,"type":"document","language":"en","title":"Why do people come to the UK to work?","URL":"https://www.gov.uk/government/statistics/immigration-system-statistics-year-ending-june-2023/why-do-people-come-to-the-uk-to-work","author":[{"family":"Home Office","given":""}],"issued":{"date-parts":[["2023"]]}}}],"schema":"https://github.com/citation-style-language/schema/raw/master/csl-citation.json"}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(Home Office, 2023)</w:t>
      </w:r>
      <w:r w:rsidR="00B86441">
        <w:rPr>
          <w:rFonts w:ascii="var(--bs-body-font-family)" w:hAnsi="var(--bs-body-font-family)" w:hint="eastAsia"/>
          <w:lang w:val="en-US"/>
        </w:rPr>
        <w:fldChar w:fldCharType="end"/>
      </w:r>
      <w:r w:rsidRPr="23ADB1D8">
        <w:rPr>
          <w:rFonts w:ascii="var(--bs-body-font-family)" w:hAnsi="var(--bs-body-font-family)"/>
          <w:lang w:val="en-US"/>
        </w:rPr>
        <w:t>. These domestic workers came from various countries in South America and Asia, including many from the Philippines.</w:t>
      </w:r>
    </w:p>
    <w:p w14:paraId="27850CF0" w14:textId="2DEF3394" w:rsidR="00AA7A35" w:rsidRDefault="005C1E62" w:rsidP="00867B07">
      <w:pPr>
        <w:pStyle w:val="NormalWeb"/>
        <w:spacing w:line="480" w:lineRule="auto"/>
        <w:divId w:val="1975518704"/>
        <w:rPr>
          <w:rFonts w:ascii="var(--bs-body-font-family)" w:hAnsi="var(--bs-body-font-family)" w:hint="eastAsia"/>
          <w:lang w:val="en-US"/>
        </w:rPr>
      </w:pPr>
      <w:r>
        <w:rPr>
          <w:rFonts w:ascii="var(--bs-body-font-family)" w:hAnsi="var(--bs-body-font-family)"/>
          <w:lang w:val="en-US"/>
        </w:rPr>
        <w:t>The grey literature bears testim</w:t>
      </w:r>
      <w:r w:rsidR="00851B0C">
        <w:rPr>
          <w:rFonts w:ascii="var(--bs-body-font-family)" w:hAnsi="var(--bs-body-font-family)"/>
          <w:lang w:val="en-US"/>
        </w:rPr>
        <w:t xml:space="preserve">ony to </w:t>
      </w:r>
      <w:r w:rsidR="003B681D" w:rsidRPr="23ADB1D8">
        <w:rPr>
          <w:rFonts w:ascii="var(--bs-body-font-family)" w:hAnsi="var(--bs-body-font-family)"/>
          <w:lang w:val="en-US"/>
        </w:rPr>
        <w:t xml:space="preserve">a long history of reports of exploitation in the domestic work sector in the UK. In 2008, the civil society </w:t>
      </w:r>
      <w:proofErr w:type="spellStart"/>
      <w:r w:rsidR="003B681D" w:rsidRPr="23ADB1D8">
        <w:rPr>
          <w:rFonts w:ascii="var(--bs-body-font-family)" w:hAnsi="var(--bs-body-font-family)"/>
          <w:lang w:val="en-US"/>
        </w:rPr>
        <w:t>organisation</w:t>
      </w:r>
      <w:proofErr w:type="spellEnd"/>
      <w:r w:rsidR="003B681D" w:rsidRPr="23ADB1D8">
        <w:rPr>
          <w:rFonts w:ascii="var(--bs-body-font-family)" w:hAnsi="var(--bs-body-font-family)"/>
          <w:lang w:val="en-US"/>
        </w:rPr>
        <w:t xml:space="preserve"> Kalayaan, which was formed to campaign for the formal recognition of migrant domestic workers’ rights in the UK, reported on the impact of proposed changes to the UK immigration system on migrant domestic workers </w:t>
      </w:r>
      <w:r w:rsidR="00B86441">
        <w:rPr>
          <w:rFonts w:ascii="var(--bs-body-font-family)" w:hAnsi="var(--bs-body-font-family)" w:hint="eastAsia"/>
          <w:lang w:val="en-US"/>
        </w:rPr>
        <w:fldChar w:fldCharType="begin"/>
      </w:r>
      <w:r w:rsidR="00B86441">
        <w:rPr>
          <w:rFonts w:ascii="var(--bs-body-font-family)" w:hAnsi="var(--bs-body-font-family)" w:hint="eastAsia"/>
          <w:lang w:val="en-US"/>
        </w:rPr>
        <w:instrText xml:space="preserve"> ADDIN ZOTERO_ITEM CSL_CITATION {"citationID":"sXJfIGhO","properties":{"formattedCitation":"(Kalayaan, 2008)","plainCitation":"(Kalayaan, 2008)","noteIndex":0},"citationItems":[{"id":54,"uris":["http://zotero.org/users/local/nMxJkNMP/items/2SEUM862"],"itemData":{"id":54,"type":"document","language":"en","title":"The new bonded labour?","URL":"http://www.kalayaan.org.uk/documents/Kalayaan%20Oxfam%20report.pdf","author":[{"literal":"Kalayaan"}],"issued":{"date-parts":[["2008"]]}}}],"schema":"https://github.com/citation-style-language/schema/raw/master/csl-citation.json"} </w:instrText>
      </w:r>
      <w:r w:rsidR="00B86441">
        <w:rPr>
          <w:rFonts w:ascii="var(--bs-body-font-family)" w:hAnsi="var(--bs-body-font-family)" w:hint="eastAsia"/>
          <w:lang w:val="en-US"/>
        </w:rPr>
        <w:fldChar w:fldCharType="separate"/>
      </w:r>
      <w:r w:rsidR="00B86441" w:rsidRPr="00B86441">
        <w:rPr>
          <w:rFonts w:ascii="var(--bs-body-font-family)" w:hAnsi="var(--bs-body-font-family)"/>
        </w:rPr>
        <w:t>(Kalayaan, 2008)</w:t>
      </w:r>
      <w:r w:rsidR="00B86441">
        <w:rPr>
          <w:rFonts w:ascii="var(--bs-body-font-family)" w:hAnsi="var(--bs-body-font-family)" w:hint="eastAsia"/>
          <w:lang w:val="en-US"/>
        </w:rPr>
        <w:fldChar w:fldCharType="end"/>
      </w:r>
      <w:r w:rsidR="003B681D" w:rsidRPr="23ADB1D8">
        <w:rPr>
          <w:rFonts w:ascii="var(--bs-body-font-family)" w:hAnsi="var(--bs-body-font-family)"/>
          <w:lang w:val="en-US"/>
        </w:rPr>
        <w:t xml:space="preserve">. At this stage, new policies, including the development of a </w:t>
      </w:r>
      <w:proofErr w:type="spellStart"/>
      <w:r w:rsidR="003B681D" w:rsidRPr="23ADB1D8">
        <w:rPr>
          <w:rFonts w:ascii="var(--bs-body-font-family)" w:hAnsi="var(--bs-body-font-family)"/>
          <w:lang w:val="en-US"/>
        </w:rPr>
        <w:t>specialised</w:t>
      </w:r>
      <w:proofErr w:type="spellEnd"/>
      <w:r w:rsidR="003B681D" w:rsidRPr="23ADB1D8">
        <w:rPr>
          <w:rFonts w:ascii="var(--bs-body-font-family)" w:hAnsi="var(--bs-body-font-family)"/>
          <w:lang w:val="en-US"/>
        </w:rPr>
        <w:t xml:space="preserve"> visa allowing domestic workers to change employer during their stay were introduced. However, in 2012, these visa conditions were modified, tying domestic workers to a single employer and restricting the length of time that they are permitted to remain in the country to a period of six months </w:t>
      </w:r>
      <w:r w:rsidR="00E2126D">
        <w:rPr>
          <w:rFonts w:ascii="var(--bs-body-font-family)" w:hAnsi="var(--bs-body-font-family)" w:hint="eastAsia"/>
          <w:lang w:val="en-US"/>
        </w:rPr>
        <w:fldChar w:fldCharType="begin"/>
      </w:r>
      <w:r w:rsidR="00E2126D">
        <w:rPr>
          <w:rFonts w:ascii="var(--bs-body-font-family)" w:hAnsi="var(--bs-body-font-family)" w:hint="eastAsia"/>
          <w:lang w:val="en-US"/>
        </w:rPr>
        <w:instrText xml:space="preserve"> ADDIN ZOTERO_ITEM CSL_CITATION {"citationID":"vBfLU8eZ","properties":{"formattedCitation":"(Gower,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E2126D">
        <w:rPr>
          <w:rFonts w:ascii="var(--bs-body-font-family)" w:hAnsi="var(--bs-body-font-family)" w:hint="eastAsia"/>
          <w:lang w:val="en-US"/>
        </w:rPr>
        <w:fldChar w:fldCharType="separate"/>
      </w:r>
      <w:r w:rsidR="00E2126D" w:rsidRPr="00E2126D">
        <w:rPr>
          <w:rFonts w:ascii="var(--bs-body-font-family)" w:hAnsi="var(--bs-body-font-family)"/>
        </w:rPr>
        <w:t>(Gower, 2016)</w:t>
      </w:r>
      <w:r w:rsidR="00E2126D">
        <w:rPr>
          <w:rFonts w:ascii="var(--bs-body-font-family)" w:hAnsi="var(--bs-body-font-family)" w:hint="eastAsia"/>
          <w:lang w:val="en-US"/>
        </w:rPr>
        <w:fldChar w:fldCharType="end"/>
      </w:r>
      <w:r w:rsidR="003B681D" w:rsidRPr="23ADB1D8">
        <w:rPr>
          <w:rFonts w:ascii="var(--bs-body-font-family)" w:hAnsi="var(--bs-body-font-family)"/>
          <w:lang w:val="en-US"/>
        </w:rPr>
        <w:t xml:space="preserve">. Overseas domestic worker visa holders are now, again, permitted to change employers, but not to apply to renew their six-month long visa unless they receive a positive ‘Conclusive Grounds’ decision related to exploitation considered to be modern slavery through the UK’s NRM </w:t>
      </w:r>
      <w:r w:rsidR="00E2126D">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{"citationID":"T4OsSanS","properties":{"formattedCitation":"(Romero and Fisher, 2025)","plainCitation":"(Romero and Fisher, 2025)","noteIndex":0},"citationItems":[{"id":533,"uris":["http://zotero.org/users/local/nMxJkNMP/items/2Z6ZY4IU"],"itemData":{"id":533,"type":"document","publisher":"Focus on Labour Exploitation","title":"Blueprint for safer and fairer migration for low-paid work","URL":"https://labourexploitation.org/app/uploads/2025/06/Flex-Report-Blueprint-for-safer-and-fairer-migration-for-low-paid-work_final_30_June-.pdf","author":[{"family":"Romero","given":"Angeli"},{"family":"Fisher","given":"Oliver"}],"accessed":{"date-parts":[["2025",7,11]]},"issued":{"date-parts":[["2025"]]}}}],"schema":"https://github.com/citation-style-language/schema/raw/master/csl-citation.json"} </w:instrText>
      </w:r>
      <w:r w:rsidR="00E2126D">
        <w:rPr>
          <w:rFonts w:ascii="var(--bs-body-font-family)" w:hAnsi="var(--bs-body-font-family)" w:hint="eastAsia"/>
          <w:lang w:val="en-US"/>
        </w:rPr>
        <w:fldChar w:fldCharType="separate"/>
      </w:r>
      <w:r w:rsidR="00B459A2" w:rsidRPr="00B459A2">
        <w:rPr>
          <w:rFonts w:ascii="var(--bs-body-font-family)" w:hAnsi="var(--bs-body-font-family)"/>
        </w:rPr>
        <w:t>(Romero and Fisher, 2025)</w:t>
      </w:r>
      <w:r w:rsidR="00E2126D">
        <w:rPr>
          <w:rFonts w:ascii="var(--bs-body-font-family)" w:hAnsi="var(--bs-body-font-family)" w:hint="eastAsia"/>
          <w:lang w:val="en-US"/>
        </w:rPr>
        <w:fldChar w:fldCharType="end"/>
      </w:r>
      <w:r w:rsidR="003B681D" w:rsidRPr="23ADB1D8">
        <w:rPr>
          <w:rFonts w:ascii="var(--bs-body-font-family)" w:hAnsi="var(--bs-body-font-family)"/>
          <w:lang w:val="en-US"/>
        </w:rPr>
        <w:t>.</w:t>
      </w:r>
      <w:r w:rsidR="004179DB">
        <w:rPr>
          <w:rFonts w:ascii="var(--bs-body-font-family)" w:hAnsi="var(--bs-body-font-family)"/>
          <w:lang w:val="en-US"/>
        </w:rPr>
        <w:t xml:space="preserve"> </w:t>
      </w:r>
      <w:r w:rsidR="003B681D" w:rsidRPr="23ADB1D8">
        <w:rPr>
          <w:rFonts w:ascii="var(--bs-body-font-family)" w:hAnsi="var(--bs-body-font-family)"/>
          <w:lang w:val="en-US"/>
        </w:rPr>
        <w:t xml:space="preserve">As a result, </w:t>
      </w:r>
      <w:r w:rsidR="00EA34D3">
        <w:rPr>
          <w:rFonts w:ascii="var(--bs-body-font-family)" w:hAnsi="var(--bs-body-font-family)"/>
          <w:lang w:val="en-US"/>
        </w:rPr>
        <w:t>transnational</w:t>
      </w:r>
      <w:r w:rsidR="003B681D" w:rsidRPr="23ADB1D8">
        <w:rPr>
          <w:rFonts w:ascii="var(--bs-body-font-family)" w:hAnsi="var(--bs-body-font-family)"/>
          <w:lang w:val="en-US"/>
        </w:rPr>
        <w:t xml:space="preserve"> domestic workers are vulnerable to abuse ranging </w:t>
      </w:r>
      <w:proofErr w:type="gramStart"/>
      <w:r w:rsidR="003B681D" w:rsidRPr="23ADB1D8">
        <w:rPr>
          <w:rFonts w:ascii="var(--bs-body-font-family)" w:hAnsi="var(--bs-body-font-family)"/>
          <w:lang w:val="en-US"/>
        </w:rPr>
        <w:t>from minor breaches of employment and health and safety law,</w:t>
      </w:r>
      <w:proofErr w:type="gramEnd"/>
      <w:r w:rsidR="003B681D" w:rsidRPr="23ADB1D8">
        <w:rPr>
          <w:rFonts w:ascii="var(--bs-body-font-family)" w:hAnsi="var(--bs-body-font-family)"/>
          <w:lang w:val="en-US"/>
        </w:rPr>
        <w:t xml:space="preserve"> to physical and sexual violence, slavery,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and trafficking.</w:t>
      </w:r>
    </w:p>
    <w:p w14:paraId="364E101B" w14:textId="28023085" w:rsidR="00AA7A35" w:rsidRDefault="003B681D" w:rsidP="00867B07">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That these conditions may persist is evidenced by a report from another civil society </w:t>
      </w:r>
      <w:proofErr w:type="spellStart"/>
      <w:r w:rsidRPr="23ADB1D8">
        <w:rPr>
          <w:rFonts w:ascii="var(--bs-body-font-family)" w:hAnsi="var(--bs-body-font-family)"/>
          <w:lang w:val="en-US"/>
        </w:rPr>
        <w:t>organisation</w:t>
      </w:r>
      <w:proofErr w:type="spellEnd"/>
      <w:r w:rsidRPr="23ADB1D8">
        <w:rPr>
          <w:rFonts w:ascii="var(--bs-body-font-family)" w:hAnsi="var(--bs-body-font-family)"/>
          <w:lang w:val="en-US"/>
        </w:rPr>
        <w:t>, the Latin American Women’s Rights Service. This report depicts high levels of isolation, exploitation and abuse including a failure by employers to provide written contracts or pay</w:t>
      </w:r>
      <w:r w:rsidR="00AA02DB" w:rsidRPr="23ADB1D8">
        <w:rPr>
          <w:rFonts w:ascii="var(--bs-body-font-family)" w:hAnsi="var(--bs-body-font-family)"/>
          <w:lang w:val="en-US"/>
        </w:rPr>
        <w:t xml:space="preserve"> </w:t>
      </w:r>
      <w:r w:rsidRPr="23ADB1D8">
        <w:rPr>
          <w:rFonts w:ascii="var(--bs-body-font-family)" w:hAnsi="var(--bs-body-font-family)"/>
          <w:lang w:val="en-US"/>
        </w:rPr>
        <w:t xml:space="preserve">slips; breaches of verbal agreements; a requirement to perform different tasks from those indicated during recruitment; increasing working hours with little or no time off; excessive work days; a lack of paid holiday; many domestic workers not </w:t>
      </w:r>
      <w:r w:rsidRPr="23ADB1D8">
        <w:rPr>
          <w:rFonts w:ascii="var(--bs-body-font-family)" w:hAnsi="var(--bs-body-font-family)"/>
          <w:lang w:val="en-US"/>
        </w:rPr>
        <w:lastRenderedPageBreak/>
        <w:t xml:space="preserve">registered with a GP; sexual harassment in the workplace; verbal or physical abuse; employer surveillance; a lack of opportunity to change working conditions; isolation and fear of seeking help; and high reported levels of trafficking for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DE050E">
        <w:rPr>
          <w:rFonts w:ascii="var(--bs-body-font-family)" w:hAnsi="var(--bs-body-font-family)" w:hint="eastAsia"/>
          <w:lang w:val="en-US"/>
        </w:rPr>
        <w:fldChar w:fldCharType="begin"/>
      </w:r>
      <w:r w:rsidR="00DE050E">
        <w:rPr>
          <w:rFonts w:ascii="var(--bs-body-font-family)" w:hAnsi="var(--bs-body-font-family)" w:hint="eastAsia"/>
          <w:lang w:val="en-US"/>
        </w:rPr>
        <w:instrText xml:space="preserve"> ADDIN ZOTERO_ITEM CSL_CITATION {"citationID":"0FuKPp1u","properties":{"formattedCitation":"(Latin American Women\\uc0\\u8217{}s Rights Service, 2023)","plainCitation":"(Latin American Women</w:instrText>
      </w:r>
      <w:r w:rsidR="00DE050E">
        <w:rPr>
          <w:rFonts w:ascii="var(--bs-body-font-family)" w:hAnsi="var(--bs-body-font-family)" w:hint="eastAsia"/>
          <w:lang w:val="en-US"/>
        </w:rPr>
        <w:instrText>’</w:instrText>
      </w:r>
      <w:r w:rsidR="00DE050E">
        <w:rPr>
          <w:rFonts w:ascii="var(--bs-body-font-family)" w:hAnsi="var(--bs-body-font-family)" w:hint="eastAsia"/>
          <w:lang w:val="en-US"/>
        </w:rPr>
        <w:instrText xml:space="preserve">s Rights Service, 2023)","noteIndex":0},"citationItems":[{"id":57,"uris":["http://zotero.org/users/local/nMxJkNMP/items/4EYUANI9"],"itemData":{"id":57,"type":"document","language":"en","title":"Behind closed doors: Experiences of Latin American domestic workers in the UK","URL":"https://lawrs.org.uk/wp-content/uploads/2023/08/Behind-closed-doors_domestic_work.pdf","author":[{"family":"Latin American Women's Rights Service","given":""}],"issued":{"date-parts":[["2023"]]}}}],"schema":"https://github.com/citation-style-language/schema/raw/master/csl-citation.json"} </w:instrText>
      </w:r>
      <w:r w:rsidR="00DE050E">
        <w:rPr>
          <w:rFonts w:ascii="var(--bs-body-font-family)" w:hAnsi="var(--bs-body-font-family)" w:hint="eastAsia"/>
          <w:lang w:val="en-US"/>
        </w:rPr>
        <w:fldChar w:fldCharType="separate"/>
      </w:r>
      <w:r w:rsidR="00DE050E" w:rsidRPr="00DE050E">
        <w:rPr>
          <w:rFonts w:ascii="var(--bs-body-font-family)" w:hAnsi="var(--bs-body-font-family)"/>
        </w:rPr>
        <w:t>(Latin American Women’s Rights Service, 2023)</w:t>
      </w:r>
      <w:r w:rsidR="00DE050E">
        <w:rPr>
          <w:rFonts w:ascii="var(--bs-body-font-family)" w:hAnsi="var(--bs-body-font-family)" w:hint="eastAsia"/>
          <w:lang w:val="en-US"/>
        </w:rPr>
        <w:fldChar w:fldCharType="end"/>
      </w:r>
      <w:r w:rsidRPr="23ADB1D8">
        <w:rPr>
          <w:rFonts w:ascii="var(--bs-body-font-family)" w:hAnsi="var(--bs-body-font-family)"/>
          <w:lang w:val="en-US"/>
        </w:rPr>
        <w:t>.</w:t>
      </w:r>
    </w:p>
    <w:p w14:paraId="6BCCA922" w14:textId="0E73549C" w:rsidR="00AA7A35" w:rsidRDefault="003B681D" w:rsidP="752265D2">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Against this backdrop, we</w:t>
      </w:r>
      <w:r w:rsidR="00C51ED4" w:rsidRPr="752265D2">
        <w:rPr>
          <w:rFonts w:ascii="var(--bs-body-font-family)" w:hAnsi="var(--bs-body-font-family)"/>
          <w:lang w:val="en-US"/>
        </w:rPr>
        <w:t xml:space="preserve"> w</w:t>
      </w:r>
      <w:r w:rsidR="00F63673" w:rsidRPr="752265D2">
        <w:rPr>
          <w:rFonts w:ascii="var(--bs-body-font-family)" w:hAnsi="var(--bs-body-font-family)"/>
          <w:lang w:val="en-US"/>
        </w:rPr>
        <w:t xml:space="preserve">orked with civil society </w:t>
      </w:r>
      <w:proofErr w:type="spellStart"/>
      <w:r w:rsidR="00F63673" w:rsidRPr="752265D2">
        <w:rPr>
          <w:rFonts w:ascii="var(--bs-body-font-family)" w:hAnsi="var(--bs-body-font-family)"/>
          <w:lang w:val="en-US"/>
        </w:rPr>
        <w:t>organis</w:t>
      </w:r>
      <w:r w:rsidR="00130146" w:rsidRPr="752265D2">
        <w:rPr>
          <w:rFonts w:ascii="var(--bs-body-font-family)" w:hAnsi="var(--bs-body-font-family)"/>
          <w:lang w:val="en-US"/>
        </w:rPr>
        <w:t>a</w:t>
      </w:r>
      <w:r w:rsidR="00F63673" w:rsidRPr="752265D2">
        <w:rPr>
          <w:rFonts w:ascii="var(--bs-body-font-family)" w:hAnsi="var(--bs-body-font-family)"/>
          <w:lang w:val="en-US"/>
        </w:rPr>
        <w:t>tions</w:t>
      </w:r>
      <w:proofErr w:type="spellEnd"/>
      <w:r w:rsidR="00F63673" w:rsidRPr="752265D2">
        <w:rPr>
          <w:rFonts w:ascii="var(--bs-body-font-family)" w:hAnsi="var(--bs-body-font-family)"/>
          <w:lang w:val="en-US"/>
        </w:rPr>
        <w:t xml:space="preserve"> to</w:t>
      </w:r>
      <w:r w:rsidRPr="752265D2">
        <w:rPr>
          <w:rFonts w:ascii="var(--bs-body-font-family)" w:hAnsi="var(--bs-body-font-family)"/>
          <w:lang w:val="en-US"/>
        </w:rPr>
        <w:t xml:space="preserve"> use respondent driven sampling (RDS) as a sampling technique to recruit and survey domestic workers in the UK about the working conditions they were experiencing to estimate the nature and scale of abuse and exploitation based upon reports of their conditions by domestic workers themselves.</w:t>
      </w:r>
    </w:p>
    <w:p w14:paraId="25816893" w14:textId="06BBDE42" w:rsidR="00AA7A35" w:rsidRPr="00B904A3" w:rsidRDefault="00DA17B6" w:rsidP="00ED6819">
      <w:pPr>
        <w:pStyle w:val="Heading1"/>
        <w:divId w:val="1975518704"/>
      </w:pPr>
      <w:r w:rsidRPr="752265D2">
        <w:t xml:space="preserve"> </w:t>
      </w:r>
      <w:r w:rsidR="7F54FC3D" w:rsidRPr="752265D2">
        <w:t xml:space="preserve">3. </w:t>
      </w:r>
      <w:r w:rsidR="00137FE0">
        <w:t>Materials &amp; Methods</w:t>
      </w:r>
    </w:p>
    <w:p w14:paraId="7095A68B" w14:textId="1BE21B48" w:rsidR="00AA7A35" w:rsidRPr="00B904A3" w:rsidRDefault="1CABA96C" w:rsidP="00E669D5">
      <w:pPr>
        <w:spacing w:line="480" w:lineRule="auto"/>
        <w:divId w:val="1975518704"/>
        <w:rPr>
          <w:rFonts w:eastAsia="Times New Roman"/>
          <w:u w:val="single"/>
          <w:lang w:val="en"/>
        </w:rPr>
      </w:pPr>
      <w:r w:rsidRPr="752265D2">
        <w:rPr>
          <w:rFonts w:eastAsia="Times New Roman"/>
          <w:lang w:val="en"/>
        </w:rPr>
        <w:t>3</w:t>
      </w:r>
      <w:r w:rsidR="00223419" w:rsidRPr="752265D2">
        <w:rPr>
          <w:rFonts w:eastAsia="Times New Roman"/>
          <w:lang w:val="en"/>
        </w:rPr>
        <w:t>.1</w:t>
      </w:r>
      <w:r w:rsidR="00223419">
        <w:tab/>
      </w:r>
      <w:r w:rsidR="00223419" w:rsidRPr="752265D2">
        <w:rPr>
          <w:rFonts w:eastAsia="Times New Roman"/>
          <w:u w:val="single"/>
          <w:lang w:val="en"/>
        </w:rPr>
        <w:t>Study Design and Sampling</w:t>
      </w:r>
    </w:p>
    <w:p w14:paraId="382305DA" w14:textId="64E675E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Respondent-Driven Sampling (RDS) is a network-based sampling method designed to study hidden or hard-to-reach populations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{"citationID":"UdPSo5Jh","properties":{"formattedCitation":"(Heckathorn, 1997, 2011; Gile {\\i{}et al.}, 2018)","plainCitation":"(Heckathorn, 1997, 2011; 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Q."}],"accessed":{"date-parts":[["2023",4,25]]},"issued":{"date-parts":[["2018",3,7]]}}},{"id":9,"uris":["http://zotero.org/users/local/nMxJkNMP/items/LDPVIVQ6"],"itemData":{"id":9,"type":"article-journal","abstract":"A population is \"hidden\" when no sampling frame exists and public acknowledgment of membership in the population is potentially threatening. Accessing such populations is difficult because standard probability sampling methods produce low response rates and responses that lack candor. Existing procedures for sampling these populations, including snowball and other chain-referral samples, the key-informant approach, and targeted sampling, introduce well-documented biases into their samples. This paper introduces a new variant of chain-referral sampling, respondent-driven sampling, that employs a dual system of structured incentives to overcome some of the deficiencies of such samples. A theoretic analysis, drawing on both Markov-chain theory and the theory of biased networks, shows that this procedure can reduce the biases generally associated with chain-referral methods. The analysis includes a proof showing that even though sampling begins with an arbitrarily chosen set of initial subjects, as do most chain-referral samples, the composition of the ultimate sample is wholly independent of those initial subjects. The analysis also includes a theoretic specification of the conditions under which the procedure yields unbiased samples. Empirical results, based on surveys of 277 active drug injectors in Connecticut, support these conclusions. Finally, the conclusion discusses how respondent-driven sampling can improve both network sampling and ethnographic 44investigation.","container-title":"Social Problems","DOI":"10.2307/3096941","ISSN":"0037-7791","issue":"2","note":"publisher: [Oxford University Press, Society for the Study of Social Problems]","page":"174-199","source":"JSTOR","title":"Respondent-Driven Sampling: A New Approach to the Study of Hidden Populations","title-short":"Respondent-Driven Sampling","URL":"https://www.jstor.org/stable/3096941","volume":"44","author":[{"family":"Heckathorn","given":"Douglas D."}],"accessed":{"date-parts":[["2024",3,12]]},"issued":{"date-parts":[["1997"]]}}},{"id":46,"uris":["http://zotero.org/users/local/nMxJkNMP/items/9NAKI63X"],"itemData":{"id":46,"type":"article-journal","container-title":"Sociological Methodology","issue":"1","language":"en","note":"number: 1","page":"355</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366","title":"Comment: Snowball versus respondent-driven sampling","volume":"41","author":[{"family":"Heckathorn","given":"D.D."}],"issued":{"date-parts":[["2011"]]}}}],"schema":"https://github.com/citation-style-language/schema/raw/master/csl-citation.json"}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(Heckathorn, 1997, 2011; Gile </w:t>
      </w:r>
      <w:r w:rsidR="00B459A2" w:rsidRPr="00B459A2">
        <w:rPr>
          <w:rFonts w:ascii="var(--bs-body-font-family)" w:hAnsi="var(--bs-body-font-family)"/>
          <w:i/>
          <w:iCs/>
        </w:rPr>
        <w:t>et al.</w:t>
      </w:r>
      <w:r w:rsidR="00B459A2" w:rsidRPr="00B459A2">
        <w:rPr>
          <w:rFonts w:ascii="var(--bs-body-font-family)" w:hAnsi="var(--bs-body-font-family)"/>
        </w:rPr>
        <w:t>, 2018)</w:t>
      </w:r>
      <w:r w:rsidR="005D323E">
        <w:rPr>
          <w:rFonts w:ascii="var(--bs-body-font-family)" w:hAnsi="var(--bs-body-font-family)" w:hint="eastAsia"/>
          <w:lang w:val="en-US"/>
        </w:rPr>
        <w:fldChar w:fldCharType="end"/>
      </w:r>
      <w:r w:rsidRPr="23ADB1D8">
        <w:rPr>
          <w:rFonts w:ascii="var(--bs-body-font-family)" w:hAnsi="var(--bs-body-font-family)"/>
          <w:lang w:val="en-US"/>
        </w:rPr>
        <w:t>. It combines chain-referral sampling with a statistical framework to produce population estimates that adjust for network structure and differential recruitment probabilities. The method begins with a set of initial participants (“seeds”), who recruit peers from their social networks. Recruits, in turn, recruit others, creating waves of participation. Each participant reports their network degree (the number of eligible contacts they know), which is used to adjust for selection bias—especially the oversampling of high-degree individuals.</w:t>
      </w:r>
    </w:p>
    <w:p w14:paraId="32A4507E" w14:textId="2AA34F3E"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RDS has been widely used to sample hidden populations in public health and social science research </w:t>
      </w:r>
      <w:r w:rsidR="005D323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{"citationID":"uMX4JPCJ","properties":{"formattedCitation":"(McCreesh {\\i{}et al.}, 2012; Schwitters, Swaminathan and Serwadda, 2012)","plainCitation":"(McCreesh et al., 2012; Schwitters, Swaminathan and Serwadda, 2012)","noteIndex":0},"citationItems":[{"id":28,"uris":["http://zotero.org/users/local/nMxJkNMP/items/ZR6K3B9B"],"itemData":{"id":28,"type":"article-journal","abstract":"Background: Respondent-driven sampling is a novel variant of link-tracing sampling for estimating the characteristics of hard-to-reach groups, such as HIV prevalence in sex workers. Despite its use by leading health organizations, the performance of this method in realistic situations is still largely unknown. We evaluated respondent-driven sampling by comparing estimates from a respondent-driven sampling survey with total population data. Methods: Total population data on age, tribe, religion, socioeconomic status, sexual activity, and HIV status were available on a population of 2402 male household heads from an open cohort in rural Uganda. A respondent-driven sampling (RDS) survey was carried out in this population, using current methods of sampling (RDS sample) and statistical inference (RDS estimates). Analyses were carried out for the full RDS sample and then repeated for the first 250 recruits (small sample). Results: We recruited 927 household heads. Full and small RDS samples were largely representative of the total population, but both samples underrepresented men who were younger, of higher socio-economic status, and with unknown sexual activity and HIV status. Respondent-driven sampling statistical inference methods failed to reduce these biases. Only 31%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37% (depending on method and sample size) of RDS estimates were closer to the true population proportions than the RDS sample proportions. Only 50%</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74% of respondent-driven sampling bootstrap 95% confidence intervals included the population proportion. Conclusions: Respondent-driven sampling produced a generally representative sample of this well-connected nonhidden population. However, current respondent-driven sampling inference methods failed to reduce bias when it occurred. Whether the data required to remove bias and measure precision can be collected in a respondent-driven sampling survey is unresolved. Respondent-driven sampling should be regarded as a (potentially superior) form of convenience sampling method, and caution is required when interpreting findings based on the sampling method.","container-title":"Epidemiology","ISSN":"1044-3983","issue":"1","note":"number: 1\ntex.ids= mccr12-evaluationa\npublisher: Lippincott Williams &amp; Wilkins","page":"138-147","source":"JSTOR","title":"Evaluation of respondent-driven sampling","URL":"https://www.jstor.org/stable/23214188","volume":"23","author":[{"family":"McCreesh","given":"Nicky"},{"family":"Frost","given":"Simon D. W."},{"family":"Seeley","given":"Janet"},{"family":"Katongole","given":"Joseph"},{"family":"Tarsh","given":"Matilda N."},{"family":"Ndunguse","given":"Richard"},{"family":"Jichi","given":"Fatima"},{"family":"Lunel","given":"Natasha L."},{"family":"Maher","given":"Dermot"},{"family":"Johnston","given":"Lisa G."},{"family":"Sonnenberg","given":"Pam"},{"family":"Copas","given":"Andrew J."},{"family":"Hayes","given":"Richard J."},{"family":"White","given":"Richard G."}],"accessed":{"date-parts":[["2023",4,25]]},"issued":{"date-parts":[["2012"]]}}},{"id":65,"uris":["http://zotero.org/users/local/nMxJkNMP/items/XIHHZBYB"],"itemData":{"id":65,"type":"article-journal","container-title":"AIDS Behaviour","issue":"Supply Nr 1","language":"en","note":"number: Supply Nr 1","page":"68</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76","title":"Prevalence of rape and client-initiated gender-based violence among female sex workers: Kampala, uganda","volume":"19","author":[{"family":"Schwitters","given":"A."},{"family":"Swaminathan","given":"M."},{"family":"Serwadda","given":"D."}],"issued":{"date-parts":[["2012"]]}}}],"schema":"https://github.com/citation-style-language/schema/raw/master/csl-citation.json"} </w:instrText>
      </w:r>
      <w:r w:rsidR="005D323E">
        <w:rPr>
          <w:rFonts w:ascii="var(--bs-body-font-family)" w:hAnsi="var(--bs-body-font-family)" w:hint="eastAsia"/>
          <w:lang w:val="en-US"/>
        </w:rPr>
        <w:fldChar w:fldCharType="separate"/>
      </w:r>
      <w:r w:rsidR="00B459A2" w:rsidRPr="00B459A2">
        <w:rPr>
          <w:rFonts w:ascii="var(--bs-body-font-family)" w:hAnsi="var(--bs-body-font-family)"/>
        </w:rPr>
        <w:t xml:space="preserve">(McCreesh </w:t>
      </w:r>
      <w:r w:rsidR="00B459A2" w:rsidRPr="00B459A2">
        <w:rPr>
          <w:rFonts w:ascii="var(--bs-body-font-family)" w:hAnsi="var(--bs-body-font-family)"/>
          <w:i/>
          <w:iCs/>
        </w:rPr>
        <w:t>et al.</w:t>
      </w:r>
      <w:r w:rsidR="00B459A2" w:rsidRPr="00B459A2">
        <w:rPr>
          <w:rFonts w:ascii="var(--bs-body-font-family)" w:hAnsi="var(--bs-body-font-family)"/>
        </w:rPr>
        <w:t>, 2012; Schwitters, Swaminathan and Serwadda, 2012)</w:t>
      </w:r>
      <w:r w:rsidR="005D323E">
        <w:rPr>
          <w:rFonts w:ascii="var(--bs-body-font-family)" w:hAnsi="var(--bs-body-font-family)" w:hint="eastAsia"/>
          <w:lang w:val="en-US"/>
        </w:rPr>
        <w:fldChar w:fldCharType="end"/>
      </w:r>
      <w:r w:rsidRPr="23ADB1D8">
        <w:rPr>
          <w:rFonts w:ascii="var(--bs-body-font-family)" w:hAnsi="var(--bs-body-font-family)"/>
          <w:lang w:val="en-US"/>
        </w:rPr>
        <w:t xml:space="preserve">, and network-based referrals have been described as the only viable method to reach </w:t>
      </w:r>
      <w:r w:rsidRPr="23ADB1D8">
        <w:rPr>
          <w:rFonts w:ascii="var(--bs-body-font-family)" w:hAnsi="var(--bs-body-font-family)"/>
          <w:lang w:val="en-US"/>
        </w:rPr>
        <w:lastRenderedPageBreak/>
        <w:t xml:space="preserve">many types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victims </w:t>
      </w:r>
      <w:r w:rsidR="008130DF">
        <w:rPr>
          <w:rFonts w:ascii="var(--bs-body-font-family)" w:hAnsi="var(--bs-body-font-family)" w:hint="eastAsia"/>
          <w:lang w:val="en-US"/>
        </w:rPr>
        <w:fldChar w:fldCharType="begin"/>
      </w:r>
      <w:r w:rsidR="008130DF">
        <w:rPr>
          <w:rFonts w:ascii="var(--bs-body-font-family)" w:hAnsi="var(--bs-body-font-family)" w:hint="eastAsia"/>
          <w:lang w:val="en-US"/>
        </w:rPr>
        <w:instrText xml:space="preserve"> ADDIN ZOTERO_ITEM CSL_CITATION {"citationID":"VLNuOB9n","properties":{"formattedCitation":"(Zhang, 2012)","plainCitation":"(Zhang, 2012)","noteIndex":0},"citationItems":[{"id":75,"uris":["http://zotero.org/users/local/nMxJkNMP/items/2YFAXVIE"],"itemData":{"id":75,"type":"article-journal","container-title":"Crime, Law and Social Change","language":"en","page":"469</w:instrText>
      </w:r>
      <w:r w:rsidR="008130DF">
        <w:rPr>
          <w:rFonts w:ascii="var(--bs-body-font-family)" w:hAnsi="var(--bs-body-font-family)" w:hint="eastAsia"/>
          <w:lang w:val="en-US"/>
        </w:rPr>
        <w:instrText>–</w:instrText>
      </w:r>
      <w:r w:rsidR="008130DF">
        <w:rPr>
          <w:rFonts w:ascii="var(--bs-body-font-family)" w:hAnsi="var(--bs-body-font-family)" w:hint="eastAsia"/>
          <w:lang w:val="en-US"/>
        </w:rPr>
        <w:instrText xml:space="preserve">482","title":"Measuring labour trafficking: a research note","volume":"58","author":[{"family":"Zhang","given":"S.X."}],"issued":{"date-parts":[["2012"]]}}}],"schema":"https://github.com/citation-style-language/schema/raw/master/csl-citation.json"} </w:instrText>
      </w:r>
      <w:r w:rsidR="008130DF">
        <w:rPr>
          <w:rFonts w:ascii="var(--bs-body-font-family)" w:hAnsi="var(--bs-body-font-family)" w:hint="eastAsia"/>
          <w:lang w:val="en-US"/>
        </w:rPr>
        <w:fldChar w:fldCharType="separate"/>
      </w:r>
      <w:r w:rsidR="008130DF" w:rsidRPr="008130DF">
        <w:rPr>
          <w:rFonts w:ascii="var(--bs-body-font-family)" w:hAnsi="var(--bs-body-font-family)"/>
        </w:rPr>
        <w:t>(Zhang, 2012)</w:t>
      </w:r>
      <w:r w:rsidR="008130DF">
        <w:rPr>
          <w:rFonts w:ascii="var(--bs-body-font-family)" w:hAnsi="var(--bs-body-font-family)" w:hint="eastAsia"/>
          <w:lang w:val="en-US"/>
        </w:rPr>
        <w:fldChar w:fldCharType="end"/>
      </w:r>
      <w:r w:rsidRPr="23ADB1D8">
        <w:rPr>
          <w:rFonts w:ascii="var(--bs-body-font-family)" w:hAnsi="var(--bs-body-font-family)"/>
          <w:lang w:val="en-US"/>
        </w:rPr>
        <w:t xml:space="preserve">. Recent applications include studies of exploitation among low-wage workers in American cities </w:t>
      </w:r>
      <w:r w:rsidR="008130DF">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{"citationID":"FA0GR3cW","properties":{"formattedCitation":"(Bernhardt, Milkman, and N., 2009)","plainCitation":"(Bernhardt, Milkman, and N., 2009)","noteIndex":0},"citationItems":[{"id":34,"uris":["http://zotero.org/users/local/nMxJkNMP/items/EBD62T46"],"itemData":{"id":34,"type":"report","genre":"UCLA IRLE Report.","language":"en","title":"Broken laws, unprotected workers: Violations of employment and labor laws in america's cities","author":[{"family":"Bernhardt","given":"A."},{"family":"Milkman","given":"R.Theodore"},{"literal":"N."}],"issued":{"date-parts":[["2009"]]}}}],"schema":"https://github.com/citation-style-language/schema/raw/master/csl-citation.json"} </w:instrText>
      </w:r>
      <w:r w:rsidR="008130DF">
        <w:rPr>
          <w:rFonts w:ascii="var(--bs-body-font-family)" w:hAnsi="var(--bs-body-font-family)" w:hint="eastAsia"/>
          <w:lang w:val="en-US"/>
        </w:rPr>
        <w:fldChar w:fldCharType="separate"/>
      </w:r>
      <w:r w:rsidR="00B459A2" w:rsidRPr="00B459A2">
        <w:rPr>
          <w:rFonts w:ascii="var(--bs-body-font-family)" w:hAnsi="var(--bs-body-font-family)"/>
        </w:rPr>
        <w:t>(Bernhardt, Milkman, and N., 2009)</w:t>
      </w:r>
      <w:r w:rsidR="008130DF">
        <w:rPr>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trafficking in migrant communities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{"citationID":"PDqkVJip","properties":{"formattedCitation":"(Vincent and Thompson, 2017)","plainCitation":"(Vincent and Thompson, 2017)","noteIndex":0},"citationItems":[{"id":30,"uris":["http://zotero.org/users/local/nMxJkNMP/items/BF53J3S3"],"itemData":{"id":30,"type":"article-journal","abstract":"We present a new design and method for estimating the size of a hidden population best reached through a link-tracing design. The design is based on selecting initial samples at random and then adaptively tracing links to add new members. The inferential procedure involves the Rao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Blackwell theorem applied to a sufficient statistic markedly different from the usual one that arises in sampling from a finite population. The strategy involves a combination of link-tracing and mark-recapture estimation methods. An empirical application is described. The result demonstrates that the strategy can efficiently incorporate adaptively selected members of the sample into the inferential procedure. Supplementary materials for this article are available online.","container-title":"Journal of the American Statistical Association","DOI":"10.1080/01621459.2016.1212712","ISSN":"0162-1459","issue":"519","note":"number: 519\ntex.ids= vinc17-estimatinga\n_eprint: https://doi.org/10.1080/01621459.2016.1212712\npublisher: Taylor &amp; Francis","page":"1286-1295","source":"Taylor and Francis+NEJM","title":"Estimating population size with link-tracing sampling","URL":"https://doi.org/10.1080/01621459.2016.1212712","volume":"112","author":[{"family":"Vincent","given":"Kyle"},{"family":"Thompson","given":"Steve"}],"accessed":{"date-parts":[["2023",6,8]]},"issued":{"date-parts":[["2017",7,3]]}}}],"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(Vincent and Thompson, 2017)</w:t>
      </w:r>
      <w:r w:rsidR="00F9213C">
        <w:rPr>
          <w:rFonts w:ascii="var(--bs-body-font-family)" w:hAnsi="var(--bs-body-font-family)" w:hint="eastAsia"/>
          <w:lang w:val="en-US"/>
        </w:rPr>
        <w:fldChar w:fldCharType="end"/>
      </w:r>
      <w:r w:rsidRPr="23ADB1D8">
        <w:rPr>
          <w:rFonts w:ascii="var(--bs-body-font-family)" w:hAnsi="var(--bs-body-font-family)"/>
          <w:lang w:val="en-US"/>
        </w:rPr>
        <w:t xml:space="preserve">, child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in India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{"citationID":"acsI9XvI","properties":{"formattedCitation":"(Zhang {\\i{}et al.}, 2019)","plainCitation":"(Zhang et al., 2019)","noteIndex":0},"citationItems":[{"id":76,"uris":["http://zotero.org/users/local/nMxJkNMP/items/PIH3GMIY"],"itemData":{"id":76,"type":"article-journal","container-title":"Victims &amp; Offenders","issue":"7","language":"en","note":"number: 7","page":"832</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858","title":"Victims without a voice: Measuring worst forms of child labor in the Indian State of Bihar","volume":"14","author":[{"family":"Zhang","given":"S.X."},{"family":"Dank","given":"M."},{"family":"Vincent","given":"K."},{"family":"Narayanan","given":"P."},{"family":"Bharadwaj","given":"S."},{"family":"Balasubramaniam","given":"S.M."}],"issued":{"date-parts":[["2019"]]}}}],"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(Zhang </w:t>
      </w:r>
      <w:r w:rsidR="00B459A2" w:rsidRPr="00B459A2">
        <w:rPr>
          <w:rFonts w:ascii="var(--bs-body-font-family)" w:hAnsi="var(--bs-body-font-family)"/>
          <w:i/>
          <w:iCs/>
        </w:rPr>
        <w:t>et al.</w:t>
      </w:r>
      <w:r w:rsidR="00B459A2" w:rsidRPr="00B459A2">
        <w:rPr>
          <w:rFonts w:ascii="var(--bs-body-font-family)" w:hAnsi="var(--bs-body-font-family)"/>
        </w:rPr>
        <w:t>, 2019)</w:t>
      </w:r>
      <w:r w:rsidR="00F9213C">
        <w:rPr>
          <w:rFonts w:ascii="var(--bs-body-font-family)" w:hAnsi="var(--bs-body-font-family)" w:hint="eastAsia"/>
          <w:lang w:val="en-US"/>
        </w:rPr>
        <w:fldChar w:fldCharType="end"/>
      </w:r>
      <w:r w:rsidRPr="23ADB1D8">
        <w:rPr>
          <w:rFonts w:ascii="var(--bs-body-font-family)" w:hAnsi="var(--bs-body-font-family)"/>
          <w:lang w:val="en-US"/>
        </w:rPr>
        <w:t xml:space="preserve">, and commercial sexual exploitation in Nepal </w:t>
      </w:r>
      <w:r w:rsidR="00F9213C">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{"citationID":"WKZLwcQO","properties":{"formattedCitation":"(Jordan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F9213C">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F9213C">
        <w:rPr>
          <w:rFonts w:ascii="var(--bs-body-font-family)" w:hAnsi="var(--bs-body-font-family)" w:hint="eastAsia"/>
          <w:lang w:val="en-US"/>
        </w:rPr>
        <w:fldChar w:fldCharType="end"/>
      </w:r>
      <w:r w:rsidRPr="23ADB1D8">
        <w:rPr>
          <w:rFonts w:ascii="var(--bs-body-font-family)" w:hAnsi="var(--bs-body-font-family)"/>
          <w:lang w:val="en-US"/>
        </w:rPr>
        <w:t>.</w:t>
      </w:r>
    </w:p>
    <w:p w14:paraId="64B0B282" w14:textId="145B9650"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Our approach can best be described as Web-based RDS </w:t>
      </w:r>
      <w:r w:rsidR="00F9213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{"citationID":"A0RO72Sn","properties":{"formattedCitation":"(Wejnert and Heckathorn, 2008)","plainCitation":"(Wejnert and Heckathorn, 2008)","noteIndex":0},"citationItems":[{"id":74,"uris":["http://zotero.org/users/local/nMxJkNMP/items/C3QXK4VU"],"itemData":{"id":74,"type":"article-journal","container-title":"Sociological Methods &amp; Research","issue":"1","language":"en","note":"number: 1","page":"105</w:instrText>
      </w:r>
      <w:r w:rsidR="00B459A2">
        <w:rPr>
          <w:rFonts w:ascii="var(--bs-body-font-family)" w:hAnsi="var(--bs-body-font-family)" w:hint="eastAsia"/>
          <w:lang w:val="en"/>
        </w:rPr>
        <w:instrText>–</w:instrText>
      </w:r>
      <w:r w:rsidR="00B459A2">
        <w:rPr>
          <w:rFonts w:ascii="var(--bs-body-font-family)" w:hAnsi="var(--bs-body-font-family)" w:hint="eastAsia"/>
          <w:lang w:val="en"/>
        </w:rPr>
        <w:instrText xml:space="preserve">134","title":"Web-based network sampling: efficiency and efficacy of respondent-driven sampling for online research","volume":"37","author":[{"family":"Wejnert","given":"C."},{"family":"Heckathorn","given":"D.D."}],"issued":{"date-parts":[["2008"]]}}}],"schema":"https://github.com/citation-style-language/schema/raw/master/csl-citation.json"} </w:instrText>
      </w:r>
      <w:r w:rsidR="00F9213C">
        <w:rPr>
          <w:rFonts w:ascii="var(--bs-body-font-family)" w:hAnsi="var(--bs-body-font-family)" w:hint="eastAsia"/>
          <w:lang w:val="en"/>
        </w:rPr>
        <w:fldChar w:fldCharType="separate"/>
      </w:r>
      <w:r w:rsidR="00B459A2" w:rsidRPr="00B459A2">
        <w:rPr>
          <w:rFonts w:ascii="var(--bs-body-font-family)" w:hAnsi="var(--bs-body-font-family)"/>
        </w:rPr>
        <w:t>(Wejnert and Heckathorn, 2008)</w:t>
      </w:r>
      <w:r w:rsidR="00F9213C">
        <w:rPr>
          <w:rFonts w:ascii="var(--bs-body-font-family)" w:hAnsi="var(--bs-body-font-family)" w:hint="eastAsia"/>
          <w:lang w:val="en"/>
        </w:rPr>
        <w:fldChar w:fldCharType="end"/>
      </w:r>
      <w:r>
        <w:rPr>
          <w:rFonts w:ascii="var(--bs-body-font-family)" w:hAnsi="var(--bs-body-font-family)"/>
          <w:lang w:val="en"/>
        </w:rPr>
        <w:t>. We designed a web survey using the JISC online survey interface, suitable for respondents to complete via mobile phone. The main survey was conducted over five months between February and July 2023.</w:t>
      </w:r>
    </w:p>
    <w:p w14:paraId="6AB129DD" w14:textId="77777777" w:rsidR="002723AD" w:rsidRDefault="003B681D" w:rsidP="00E669D5">
      <w:pPr>
        <w:spacing w:line="480" w:lineRule="auto"/>
        <w:divId w:val="1975518704"/>
        <w:rPr>
          <w:rFonts w:eastAsia="Times New Roman"/>
          <w:i/>
          <w:iCs/>
          <w:lang w:val="en-US"/>
        </w:rPr>
      </w:pPr>
      <w:r w:rsidRPr="23ADB1D8">
        <w:rPr>
          <w:rFonts w:eastAsia="Times New Roman"/>
          <w:i/>
          <w:iCs/>
          <w:lang w:val="en-US"/>
        </w:rPr>
        <w:t>Seed Selection and Recruitment</w:t>
      </w:r>
    </w:p>
    <w:p w14:paraId="17F5C2C6" w14:textId="028CB2BA" w:rsidR="00AA7A35" w:rsidRPr="002723AD" w:rsidRDefault="00223419" w:rsidP="00E669D5">
      <w:pPr>
        <w:spacing w:line="480" w:lineRule="auto"/>
        <w:divId w:val="1975518704"/>
        <w:rPr>
          <w:rFonts w:eastAsia="Times New Roman"/>
          <w:i/>
          <w:iCs/>
          <w:lang w:val="en-US"/>
        </w:rPr>
      </w:pPr>
      <w:r w:rsidRPr="23ADB1D8">
        <w:rPr>
          <w:rFonts w:eastAsia="Times New Roman"/>
          <w:i/>
          <w:iCs/>
          <w:lang w:val="en-US"/>
        </w:rPr>
        <w:t xml:space="preserve"> </w:t>
      </w:r>
      <w:r w:rsidR="003B681D" w:rsidRPr="23ADB1D8">
        <w:rPr>
          <w:rFonts w:ascii="var(--bs-body-font-family)" w:hAnsi="var(--bs-body-font-family)"/>
          <w:lang w:val="en-US"/>
        </w:rPr>
        <w:t xml:space="preserve">We selected our first wave of participants nonrandomly by convenience sampling. Mobile phone numbers were used both to identify seed participants and to act as a unique identifier for those whom they referred. To avoid sample homophily, original sample members were selected from three distinct domestic worker communities facilitated by civil society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xml:space="preserve">. One was an exclusively online community of transnational domestic workers working in the UK, the second represented UK domestic workers of Filipino origin, and the third drew its membership from the Latin American community of domestic workers, also in the UK. Representatives from these </w:t>
      </w:r>
      <w:proofErr w:type="spellStart"/>
      <w:r w:rsidR="003B681D" w:rsidRPr="23ADB1D8">
        <w:rPr>
          <w:rFonts w:ascii="var(--bs-body-font-family)" w:hAnsi="var(--bs-body-font-family)"/>
          <w:lang w:val="en-US"/>
        </w:rPr>
        <w:t>organisations</w:t>
      </w:r>
      <w:proofErr w:type="spellEnd"/>
      <w:r w:rsidR="003B681D" w:rsidRPr="23ADB1D8">
        <w:rPr>
          <w:rFonts w:ascii="var(--bs-body-font-family)" w:hAnsi="var(--bs-body-font-family)"/>
          <w:lang w:val="en-US"/>
        </w:rPr>
        <w:t>, along with other academics with expertise in exploitation within domestic work, contributed to survey question design and facilitated piloting of an initial version of the survey, which was translated and made available in four languages: English, Spanish, Tagalog, and Portuguese.</w:t>
      </w:r>
    </w:p>
    <w:p w14:paraId="51E84D2C" w14:textId="77777777" w:rsidR="00556775" w:rsidRDefault="003B681D" w:rsidP="00E669D5">
      <w:pPr>
        <w:spacing w:line="480" w:lineRule="auto"/>
        <w:divId w:val="1975518704"/>
        <w:rPr>
          <w:rFonts w:eastAsia="Times New Roman"/>
          <w:i/>
          <w:iCs/>
          <w:lang w:val="en-US"/>
        </w:rPr>
      </w:pPr>
      <w:r w:rsidRPr="23ADB1D8">
        <w:rPr>
          <w:rFonts w:eastAsia="Times New Roman"/>
          <w:i/>
          <w:iCs/>
          <w:lang w:val="en-US"/>
        </w:rPr>
        <w:t>Incentive Design and Participation Verification</w:t>
      </w:r>
    </w:p>
    <w:p w14:paraId="443CE043" w14:textId="1226DC53" w:rsidR="00AA7A35" w:rsidRDefault="003B681D" w:rsidP="00E669D5">
      <w:pPr>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 xml:space="preserve">A double incentive scheme rewarded respondents both for completing the questionnaire and for each referral who went on to engage with the survey. The challenge of incentive design is to set the incentive at a level that adequately rewards respondents’ time and participation, but that also avoids the risk of fraudulent participation due to too high a monetary gain </w:t>
      </w:r>
      <w:r w:rsidR="005A7E4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{"citationID":"0gOGjKBY","properties":{"formattedCitation":"(Jordan {\\i{}et al.}, 2020)","plainCitation":"(Jordan et al., 2020)","noteIndex":0},"citationItems":[{"id":53,"uris":["http://zotero.org/users/local/nMxJkNMP/items/Z5UTY8FL"],"itemData":{"id":53,"type":"article-journal","container-title":"International Social Work","issue":"3","language":"en","note":"number: 3","page":"371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385","title":"Overcoming methodological challenges in prevalence studies in developing contexts with vulnerable children","volume":"63","author":[{"family":"Jordan","given":"L."},{"family":"Chui","given":"C.H.K."},{"family":"Larmar","given":"S."},{"family":"O</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Leary","given":"P."}],"issued":{"date-parts":[["2020"]]}}}],"schema":"https://github.com/citation-style-language/schema/raw/master/csl-citation.json"} </w:instrText>
      </w:r>
      <w:r w:rsidR="005A7E45">
        <w:rPr>
          <w:rFonts w:ascii="var(--bs-body-font-family)" w:hAnsi="var(--bs-body-font-family)" w:hint="eastAsia"/>
          <w:lang w:val="en-US"/>
        </w:rPr>
        <w:fldChar w:fldCharType="separate"/>
      </w:r>
      <w:r w:rsidR="00B459A2" w:rsidRPr="00B459A2">
        <w:rPr>
          <w:rFonts w:ascii="var(--bs-body-font-family)" w:hAnsi="var(--bs-body-font-family)"/>
        </w:rPr>
        <w:t xml:space="preserve">(Jordan </w:t>
      </w:r>
      <w:r w:rsidR="00B459A2" w:rsidRPr="00B459A2">
        <w:rPr>
          <w:rFonts w:ascii="var(--bs-body-font-family)" w:hAnsi="var(--bs-body-font-family)"/>
          <w:i/>
          <w:iCs/>
        </w:rPr>
        <w:t>et al.</w:t>
      </w:r>
      <w:r w:rsidR="00B459A2" w:rsidRPr="00B459A2">
        <w:rPr>
          <w:rFonts w:ascii="var(--bs-body-font-family)" w:hAnsi="var(--bs-body-font-family)"/>
        </w:rPr>
        <w:t>, 2020)</w:t>
      </w:r>
      <w:r w:rsidR="005A7E45">
        <w:rPr>
          <w:rFonts w:ascii="var(--bs-body-font-family)" w:hAnsi="var(--bs-body-font-family)" w:hint="eastAsia"/>
          <w:lang w:val="en-US"/>
        </w:rPr>
        <w:fldChar w:fldCharType="end"/>
      </w:r>
      <w:r w:rsidRPr="23ADB1D8">
        <w:rPr>
          <w:rFonts w:ascii="var(--bs-body-font-family)" w:hAnsi="var(--bs-body-font-family)"/>
          <w:lang w:val="en-US"/>
        </w:rPr>
        <w:t xml:space="preserve">. A sum of £10 was provided for survey completion with a further £5 for each successful nomination. While respondents were asked to nominate up to 10 domestic workers within their existing social network, </w:t>
      </w:r>
      <w:r w:rsidR="00B238B9">
        <w:rPr>
          <w:rFonts w:ascii="var(--bs-body-font-family)" w:hAnsi="var(--bs-body-font-family)"/>
          <w:lang w:val="en-US"/>
        </w:rPr>
        <w:t xml:space="preserve">participation from </w:t>
      </w:r>
      <w:r w:rsidRPr="23ADB1D8">
        <w:rPr>
          <w:rFonts w:ascii="var(--bs-body-font-family)" w:hAnsi="var(--bs-body-font-family)"/>
          <w:lang w:val="en-US"/>
        </w:rPr>
        <w:t xml:space="preserve">up to five of these </w:t>
      </w:r>
      <w:r w:rsidR="00B238B9">
        <w:rPr>
          <w:rFonts w:ascii="var(--bs-body-font-family)" w:hAnsi="var(--bs-body-font-family)"/>
          <w:lang w:val="en-US"/>
        </w:rPr>
        <w:t>was</w:t>
      </w:r>
      <w:r w:rsidRPr="23ADB1D8">
        <w:rPr>
          <w:rFonts w:ascii="var(--bs-body-font-family)" w:hAnsi="var(--bs-body-font-family)"/>
          <w:lang w:val="en-US"/>
        </w:rPr>
        <w:t xml:space="preserve"> requested in subsequent waves. This approach is akin to the use of vouchers in face-to-face studies as advocated by </w:t>
      </w:r>
      <w:r w:rsidRPr="23ADB1D8">
        <w:rPr>
          <w:rStyle w:val="citation"/>
          <w:rFonts w:ascii="var(--bs-body-font-family)" w:hAnsi="var(--bs-body-font-family)"/>
          <w:lang w:val="en-US"/>
        </w:rPr>
        <w:t xml:space="preserve">Thompson </w:t>
      </w:r>
      <w:r w:rsidR="005A7E45">
        <w:rPr>
          <w:rStyle w:val="citation"/>
          <w:rFonts w:ascii="var(--bs-body-font-family)" w:hAnsi="var(--bs-body-font-family)" w:hint="eastAsia"/>
          <w:lang w:val="en-US"/>
        </w:rPr>
        <w:fldChar w:fldCharType="begin"/>
      </w:r>
      <w:r w:rsidR="00B83316">
        <w:rPr>
          <w:rStyle w:val="citation"/>
          <w:rFonts w:ascii="var(--bs-body-font-family)" w:hAnsi="var(--bs-body-font-family)" w:hint="eastAsia"/>
          <w:lang w:val="en-US"/>
        </w:rPr>
        <w:instrText xml:space="preserve"> ADDIN ZOTERO_ITEM CSL_CITATION {"citationID":"dbYKtwle","properties":{"formattedCitation":"(2020)","plainCitation":"(2020)","noteIndex":0},"citationItems":[{"id":70,"uris":["http://zotero.org/users/local/nMxJkNMP/items/2HA59DAC"],"itemData":{"id":70,"type":"document","language":"en","note":"tex.arxiv: 2002.01350","title":"New estimates for network sampling","author":[{"family":"Thompson","given":"S."}],"issued":{"date-parts":[["2020"]]}},"suppress-author":true}],"schema":"https://github.com/citation-style-language/schema/raw/master/csl-citation.json"} </w:instrText>
      </w:r>
      <w:r w:rsidR="005A7E45">
        <w:rPr>
          <w:rStyle w:val="citation"/>
          <w:rFonts w:ascii="var(--bs-body-font-family)" w:hAnsi="var(--bs-body-font-family)" w:hint="eastAsia"/>
          <w:lang w:val="en-US"/>
        </w:rPr>
        <w:fldChar w:fldCharType="separate"/>
      </w:r>
      <w:r w:rsidR="00B83316" w:rsidRPr="00B83316">
        <w:rPr>
          <w:rFonts w:ascii="var(--bs-body-font-family)" w:hAnsi="var(--bs-body-font-family)"/>
        </w:rPr>
        <w:t>(2020)</w:t>
      </w:r>
      <w:r w:rsidR="005A7E45">
        <w:rPr>
          <w:rStyle w:val="citation"/>
          <w:rFonts w:ascii="var(--bs-body-font-family)" w:hAnsi="var(--bs-body-font-family)" w:hint="eastAsia"/>
          <w:lang w:val="en-US"/>
        </w:rPr>
        <w:fldChar w:fldCharType="end"/>
      </w:r>
      <w:r w:rsidRPr="23ADB1D8">
        <w:rPr>
          <w:rFonts w:ascii="var(--bs-body-font-family)" w:hAnsi="var(--bs-body-font-family)"/>
          <w:lang w:val="en-US"/>
        </w:rPr>
        <w:t>.</w:t>
      </w:r>
    </w:p>
    <w:p w14:paraId="4D4346C6" w14:textId="77777777" w:rsidR="007E6C65" w:rsidRDefault="007E6C65" w:rsidP="00E669D5">
      <w:pPr>
        <w:spacing w:line="480" w:lineRule="auto"/>
        <w:divId w:val="1975518704"/>
        <w:rPr>
          <w:rFonts w:ascii="var(--bs-body-font-family)" w:hAnsi="var(--bs-body-font-family)" w:hint="eastAsia"/>
          <w:lang w:val="en"/>
        </w:rPr>
      </w:pPr>
    </w:p>
    <w:p w14:paraId="70E75D1B" w14:textId="74479C0E" w:rsidR="00796E48" w:rsidRDefault="003B681D" w:rsidP="00796E48">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ethical and practical issues related to the design and effective use of incentives for RDS among vulnerable populations has been much discussed in the literature; see, for example, </w:t>
      </w:r>
      <w:r w:rsidRPr="23ADB1D8">
        <w:rPr>
          <w:rStyle w:val="citation"/>
          <w:rFonts w:ascii="var(--bs-body-font-family)" w:hAnsi="var(--bs-body-font-family)"/>
          <w:lang w:val="en-US"/>
        </w:rPr>
        <w:t xml:space="preserve">Wang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{"citationID":"o5WrKUba","properties":{"formattedCitation":"(2005)","plainCitation":"(2005)","noteIndex":0},"citationItems":[{"id":73,"uris":["http://zotero.org/users/local/nMxJkNMP/items/AZ3BVIWI"],"itemData":{"id":73,"type":"article-journal","container-title":"Drug and alcohol dependence","issue":"2","language":"en","note":"number: 2","page":"147</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157","title":"Respondent-driven sampling to recruit MDMA users: a methodological assessment","volume":"78","author":[{"family":"Wang","given":"J."},{"family":"Carlson","given":"R.G."},{"family":"Falck","given":"R.S."},{"family":"Siegal","given":"H.A."},{"family":"Rahman","given":"A."},{"family":"Li","given":"L."}],"issued":{"date-parts":[["2005"]]}},"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(2005)</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Abdul-Quader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{"citationID":"6FXqDGuH","properties":{"formattedCitation":"(2006)","plainCitation":"(2006)","noteIndex":0},"citationItems":[{"id":33,"uris":["http://zotero.org/users/local/nMxJkNMP/items/ZVHBIQFL"],"itemData":{"id":33,"type":"article-journal","container-title":"Journal of Urban Health","issue":"3","language":"en","note":"number: 3","page":"459</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76","title":"Effectiveness of respondent-driven sampling for recruiting drug users in New York City: findings from a pilot study","volume":"83","author":[{"family":"Abdul-Quader","given":"A.S."},{"family":"Heckathorn","given":"D.D."},{"family":"McKnight","given":"C."},{"family":"Bramson","given":"H."},{"family":"Nemeth","given":"C."},{"family":"Sabin","given":"K."},{"family":"Gallagher","given":"K."},{"family":"Jarlais","given":"D.C."}],"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Singer and </w:t>
      </w:r>
      <w:proofErr w:type="spellStart"/>
      <w:r w:rsidRPr="23ADB1D8">
        <w:rPr>
          <w:rStyle w:val="citation"/>
          <w:rFonts w:ascii="var(--bs-body-font-family)" w:hAnsi="var(--bs-body-font-family)"/>
          <w:lang w:val="en-US"/>
        </w:rPr>
        <w:t>Bossarte</w:t>
      </w:r>
      <w:proofErr w:type="spellEnd"/>
      <w:r w:rsidR="00622510">
        <w:rPr>
          <w:rStyle w:val="citation"/>
          <w:rFonts w:ascii="var(--bs-body-font-family)" w:hAnsi="var(--bs-body-font-family)"/>
          <w:lang w:val="en-US"/>
        </w:rPr>
        <w:t xml:space="preserve">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{"citationID":"nXTfPqTa","properties":{"formattedCitation":"(2006)","plainCitation":"(2006)","noteIndex":0},"citationItems":[{"id":68,"uris":["http://zotero.org/users/local/nMxJkNMP/items/42XBX9VD"],"itemData":{"id":68,"type":"article-journal","container-title":"American journal of preventive medicine","issue":"5","language":"en","note":"number: 5","page":"411</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418","title":"Incentives for survey participation: when are they </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coercive</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?","volume":"31","author":[{"family":"Singer","given":"E."},{"family":"Bossarte","given":"R.M."}],"issued":{"date-parts":[["2006"]]}},"suppress-author":true}],"schema":"https://github.com/citation-style-language/schema/raw/master/csl-citation.json"}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(2006)</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DeJong et al. </w:t>
      </w:r>
      <w:r w:rsidR="00622510">
        <w:rPr>
          <w:rStyle w:val="citation"/>
          <w:rFonts w:ascii="var(--bs-body-font-family)" w:hAnsi="var(--bs-body-font-family)" w:hint="eastAsia"/>
          <w:lang w:val="en-US"/>
        </w:rPr>
        <w:fldChar w:fldCharType="begin"/>
      </w:r>
      <w:r w:rsidR="00622510">
        <w:rPr>
          <w:rStyle w:val="citation"/>
          <w:rFonts w:ascii="var(--bs-body-font-family)" w:hAnsi="var(--bs-body-font-family)" w:hint="eastAsia"/>
          <w:lang w:val="en-US"/>
        </w:rPr>
        <w:instrText xml:space="preserve"> ADDIN ZOTERO_ITEM CSL_CITATION {"citationID":"guih9I1Z","properties":{"formattedCitation":"(2009)","plainCitation":"(2009)","noteIndex":0},"citationItems":[{"id":38,"uris":["http://zotero.org/users/local/nMxJkNMP/items/DVVDNC9X"],"itemData":{"id":38,"type":"article-journal","container-title":"American Journal of Public Health","issue":"9","language":"en","note":"number: 9","page":"1562</w:instrText>
      </w:r>
      <w:r w:rsidR="00622510">
        <w:rPr>
          <w:rStyle w:val="citation"/>
          <w:rFonts w:ascii="var(--bs-body-font-family)" w:hAnsi="var(--bs-body-font-family)" w:hint="eastAsia"/>
          <w:lang w:val="en-US"/>
        </w:rPr>
        <w:instrText>–</w:instrText>
      </w:r>
      <w:r w:rsidR="00622510">
        <w:rPr>
          <w:rStyle w:val="citation"/>
          <w:rFonts w:ascii="var(--bs-body-font-family)" w:hAnsi="var(--bs-body-font-family)" w:hint="eastAsia"/>
          <w:lang w:val="en-US"/>
        </w:rPr>
        <w:instrText xml:space="preserve">1567","title":"Ethical considerations in HIV/AIDS biobehavioral surveys that use respondent-driven sampling: illustrations from Lebanon","volume":"99","author":[{"family":"DeJong","given":"J."},{"family":"Mahfoud","given":"Z."},{"family":"Khoury","given":"D."},{"family":"Barbir","given":"F."},{"family":"Afifi","given":"R.A."}],"issued":{"date-parts":[["2009"]]}},"suppress-author":true}],"schema":"https://github.com/citation-style-language/schema/raw/master/csl-citation.json"} </w:instrText>
      </w:r>
      <w:r w:rsidR="00622510">
        <w:rPr>
          <w:rStyle w:val="citation"/>
          <w:rFonts w:ascii="var(--bs-body-font-family)" w:hAnsi="var(--bs-body-font-family)" w:hint="eastAsia"/>
          <w:lang w:val="en-US"/>
        </w:rPr>
        <w:fldChar w:fldCharType="separate"/>
      </w:r>
      <w:r w:rsidR="00622510" w:rsidRPr="00622510">
        <w:rPr>
          <w:rFonts w:ascii="var(--bs-body-font-family)" w:hAnsi="var(--bs-body-font-family)"/>
        </w:rPr>
        <w:t>(2009)</w:t>
      </w:r>
      <w:r w:rsidR="00622510">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 et al.</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{"citationID":"FtYwv80C","properties":{"formattedCitation":"(2009)","plainCitation":"(2009)","noteIndex":0},"citationItems":[{"id":66,"uris":["http://zotero.org/users/local/nMxJkNMP/items/4NIEDF6L"],"itemData":{"id":66,"type":"article-journal","container-title":"International Journal of Drug Policy","issue":"1","language":"en","note":"number: 1","page":"14</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27","title":"Ethical and regulatory considerations in HIV prevention studies employing respondent-driven sampling","volume":"20","author":[{"family":"Semaan","given":"S."},{"family":"Santibanez","given":"S."},{"family":"Garfein","given":"R.S."},{"family":"Heckathorn","given":"D.D."},{"family":"Jarlais","given":"D.C."}],"issued":{"date-parts":[["2009"]]}},"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(2009)</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proofErr w:type="spellStart"/>
      <w:r w:rsidRPr="23ADB1D8">
        <w:rPr>
          <w:rStyle w:val="citation"/>
          <w:rFonts w:ascii="var(--bs-body-font-family)" w:hAnsi="var(--bs-body-font-family)"/>
          <w:lang w:val="en-US"/>
        </w:rPr>
        <w:t>Brunovskis</w:t>
      </w:r>
      <w:proofErr w:type="spellEnd"/>
      <w:r w:rsidRPr="23ADB1D8">
        <w:rPr>
          <w:rStyle w:val="citation"/>
          <w:rFonts w:ascii="var(--bs-body-font-family)" w:hAnsi="var(--bs-body-font-family)"/>
          <w:lang w:val="en-US"/>
        </w:rPr>
        <w:t xml:space="preserve"> and Surtees</w:t>
      </w:r>
      <w:r w:rsidR="00E50072">
        <w:rPr>
          <w:rStyle w:val="citation"/>
          <w:rFonts w:ascii="var(--bs-body-font-family)" w:hAnsi="var(--bs-body-font-family)"/>
          <w:lang w:val="en-US"/>
        </w:rPr>
        <w:t xml:space="preserve"> </w:t>
      </w:r>
      <w:r w:rsidR="00E50072">
        <w:rPr>
          <w:rStyle w:val="citation"/>
          <w:rFonts w:ascii="var(--bs-body-font-family)" w:hAnsi="var(--bs-body-font-family)" w:hint="eastAsia"/>
          <w:lang w:val="en-US"/>
        </w:rPr>
        <w:fldChar w:fldCharType="begin"/>
      </w:r>
      <w:r w:rsidR="00E50072">
        <w:rPr>
          <w:rStyle w:val="citation"/>
          <w:rFonts w:ascii="var(--bs-body-font-family)" w:hAnsi="var(--bs-body-font-family)" w:hint="eastAsia"/>
          <w:lang w:val="en-US"/>
        </w:rPr>
        <w:instrText xml:space="preserve"> ADDIN ZOTERO_ITEM CSL_CITATION {"citationID":"M8qMm8jf","properties":{"formattedCitation":"(2010)","plainCitation":"(2010)","noteIndex":0},"citationItems":[{"id":36,"uris":["http://zotero.org/users/local/nMxJkNMP/items/98MI22VS"],"itemData":{"id":36,"type":"article-journal","container-title":"International Migration","issue":"4","language":"en","note":"number: 4","page":"1</w:instrText>
      </w:r>
      <w:r w:rsidR="00E50072">
        <w:rPr>
          <w:rStyle w:val="citation"/>
          <w:rFonts w:ascii="var(--bs-body-font-family)" w:hAnsi="var(--bs-body-font-family)" w:hint="eastAsia"/>
          <w:lang w:val="en-US"/>
        </w:rPr>
        <w:instrText>–</w:instrText>
      </w:r>
      <w:r w:rsidR="00E50072">
        <w:rPr>
          <w:rStyle w:val="citation"/>
          <w:rFonts w:ascii="var(--bs-body-font-family)" w:hAnsi="var(--bs-body-font-family)" w:hint="eastAsia"/>
          <w:lang w:val="en-US"/>
        </w:rPr>
        <w:instrText xml:space="preserve">37","title":"Untold stories: biases and selection effects in research with victims of trafficking for sexual exploitation","volume":"48","author":[{"family":"Brunovskis","given":"A."},{"family":"Surtees","given":"R."}],"issued":{"date-parts":[["2010"]]}},"suppress-author":true}],"schema":"https://github.com/citation-style-language/schema/raw/master/csl-citation.json"} </w:instrText>
      </w:r>
      <w:r w:rsidR="00E50072">
        <w:rPr>
          <w:rStyle w:val="citation"/>
          <w:rFonts w:ascii="var(--bs-body-font-family)" w:hAnsi="var(--bs-body-font-family)" w:hint="eastAsia"/>
          <w:lang w:val="en-US"/>
        </w:rPr>
        <w:fldChar w:fldCharType="separate"/>
      </w:r>
      <w:r w:rsidR="00E50072" w:rsidRPr="00E50072">
        <w:rPr>
          <w:rFonts w:ascii="var(--bs-body-font-family)" w:hAnsi="var(--bs-body-font-family)"/>
        </w:rPr>
        <w:t>(2010)</w:t>
      </w:r>
      <w:r w:rsidR="00E50072">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Semaan</w:t>
      </w:r>
      <w:r w:rsidR="00DF4735">
        <w:rPr>
          <w:rStyle w:val="citation"/>
          <w:rFonts w:ascii="var(--bs-body-font-family)" w:hAnsi="var(--bs-body-font-family)"/>
          <w:lang w:val="en-US"/>
        </w:rPr>
        <w:t xml:space="preserve">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{"citationID":"XdhIv4CM","properties":{"formattedCitation":"(2010)","plainCitation":"(2010)","noteIndex":0},"citationItems":[{"id":67,"uris":["http://zotero.org/users/local/nMxJkNMP/items/FTZHW8IZ"],"itemData":{"id":67,"type":"article-journal","container-title":"Methodological Innovations Online","issue":"2","language":"en","note":"number: 2","page":"60</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75","title":"Time-space sampling and respondent-driven sampling with hard-to-reach populations","volume":"5","author":[{"family":"Semaan","given":"S."}],"issued":{"date-parts":[["2010"]]}},"suppress-author":true}],"schema":"https://github.com/citation-style-language/schema/raw/master/csl-citation.json"}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622510">
        <w:rPr>
          <w:rFonts w:ascii="var(--bs-body-font-family)" w:hAnsi="var(--bs-body-font-family)"/>
        </w:rPr>
        <w:t>(2010)</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xml:space="preserve">; </w:t>
      </w:r>
      <w:r w:rsidRPr="23ADB1D8">
        <w:rPr>
          <w:rStyle w:val="citation"/>
          <w:rFonts w:ascii="var(--bs-body-font-family)" w:hAnsi="var(--bs-body-font-family)"/>
          <w:lang w:val="en-US"/>
        </w:rPr>
        <w:t xml:space="preserve">Platt, Luthra, and Frere-Smith </w:t>
      </w:r>
      <w:r w:rsidR="00DF4735">
        <w:rPr>
          <w:rStyle w:val="citation"/>
          <w:rFonts w:ascii="var(--bs-body-font-family)" w:hAnsi="var(--bs-body-font-family)" w:hint="eastAsia"/>
          <w:lang w:val="en-US"/>
        </w:rPr>
        <w:fldChar w:fldCharType="begin"/>
      </w:r>
      <w:r w:rsidR="00DF4735">
        <w:rPr>
          <w:rStyle w:val="citation"/>
          <w:rFonts w:ascii="var(--bs-body-font-family)" w:hAnsi="var(--bs-body-font-family)" w:hint="eastAsia"/>
          <w:lang w:val="en-US"/>
        </w:rPr>
        <w:instrText xml:space="preserve"> ADDIN ZOTERO_ITEM CSL_CITATION {"citationID":"15H4e1oH","properties":{"formattedCitation":"(2015)","plainCitation":"(2015)","noteIndex":0},"citationItems":[{"id":63,"uris":["http://zotero.org/users/local/nMxJkNMP/items/4SLFC6UU"],"itemData":{"id":63,"type":"article-journal","container-title":"Demographic Research","language":"en","page":"665</w:instrText>
      </w:r>
      <w:r w:rsidR="00DF4735">
        <w:rPr>
          <w:rStyle w:val="citation"/>
          <w:rFonts w:ascii="var(--bs-body-font-family)" w:hAnsi="var(--bs-body-font-family)" w:hint="eastAsia"/>
          <w:lang w:val="en-US"/>
        </w:rPr>
        <w:instrText>–</w:instrText>
      </w:r>
      <w:r w:rsidR="00DF4735">
        <w:rPr>
          <w:rStyle w:val="citation"/>
          <w:rFonts w:ascii="var(--bs-body-font-family)" w:hAnsi="var(--bs-body-font-family)" w:hint="eastAsia"/>
          <w:lang w:val="en-US"/>
        </w:rPr>
        <w:instrText xml:space="preserve">700","title":"Adapting chain referral methods to sample new migrants: Possibilities and limitations","volume":"33","author":[{"family":"Platt","given":"L."},{"family":"Luthra","given":"R."},{"family":"Frere-Smith","given":"T."}],"issued":{"date-parts":[["2015"]]}},"suppress-author":true}],"schema":"https://github.com/citation-style-language/schema/raw/master/csl-citation.json"} </w:instrText>
      </w:r>
      <w:r w:rsidR="00DF4735">
        <w:rPr>
          <w:rStyle w:val="citation"/>
          <w:rFonts w:ascii="var(--bs-body-font-family)" w:hAnsi="var(--bs-body-font-family)" w:hint="eastAsia"/>
          <w:lang w:val="en-US"/>
        </w:rPr>
        <w:fldChar w:fldCharType="separate"/>
      </w:r>
      <w:r w:rsidR="00DF4735" w:rsidRPr="00DF4735">
        <w:rPr>
          <w:rFonts w:ascii="var(--bs-body-font-family)" w:hAnsi="var(--bs-body-font-family)"/>
        </w:rPr>
        <w:t>(2015)</w:t>
      </w:r>
      <w:r w:rsidR="00DF4735">
        <w:rPr>
          <w:rStyle w:val="citation"/>
          <w:rFonts w:ascii="var(--bs-body-font-family)" w:hAnsi="var(--bs-body-font-family)" w:hint="eastAsia"/>
          <w:lang w:val="en-US"/>
        </w:rPr>
        <w:fldChar w:fldCharType="end"/>
      </w:r>
      <w:r w:rsidRPr="23ADB1D8">
        <w:rPr>
          <w:rFonts w:ascii="var(--bs-body-font-family)" w:hAnsi="var(--bs-body-font-family)"/>
          <w:lang w:val="en-US"/>
        </w:rPr>
        <w:t>, including the specificities of incentive use within web-based surveys</w:t>
      </w:r>
      <w:r w:rsidR="00DF4735">
        <w:rPr>
          <w:rFonts w:ascii="var(--bs-body-font-family)" w:hAnsi="var(--bs-body-font-family)"/>
          <w:lang w:val="en-US"/>
        </w:rPr>
        <w:t xml:space="preserve"> </w:t>
      </w:r>
      <w:r w:rsidR="00DF4735">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{"citationID":"FJM9XK9W","properties":{"formattedCitation":"(Cobanoglu and Cobanoglu, 2003)","plainCitation":"(Cobanoglu and Cobanoglu, 2003)","noteIndex":0},"citationItems":[{"id":37,"uris":["http://zotero.org/users/local/nMxJkNMP/items/4296TQE7"],"itemData":{"id":37,"type":"article-journal","container-title":"International Journal of Market Research","issue":"4","language":"en","note":"number: 4","page":"1</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13","title":"The effect of incentives in web surveys: application and ethical considerations","volume":"45","author":[{"family":"Cobanoglu","given":"C."},{"family":"Cobanoglu","given":"N."}],"issued":{"date-parts":[["2003"]]}}}],"schema":"https://github.com/citation-style-language/schema/raw/master/csl-citation.json"} </w:instrText>
      </w:r>
      <w:r w:rsidR="00DF4735">
        <w:rPr>
          <w:rFonts w:ascii="var(--bs-body-font-family)" w:hAnsi="var(--bs-body-font-family)" w:hint="eastAsia"/>
          <w:lang w:val="en-US"/>
        </w:rPr>
        <w:fldChar w:fldCharType="separate"/>
      </w:r>
      <w:r w:rsidR="00B459A2" w:rsidRPr="00B459A2">
        <w:rPr>
          <w:rFonts w:ascii="var(--bs-body-font-family)" w:hAnsi="var(--bs-body-font-family)"/>
        </w:rPr>
        <w:t>(Cobanoglu and Cobanoglu, 2003)</w:t>
      </w:r>
      <w:r w:rsidR="00DF4735">
        <w:rPr>
          <w:rFonts w:ascii="var(--bs-body-font-family)" w:hAnsi="var(--bs-body-font-family)" w:hint="eastAsia"/>
          <w:lang w:val="en-US"/>
        </w:rPr>
        <w:fldChar w:fldCharType="end"/>
      </w:r>
      <w:r w:rsidRPr="23ADB1D8">
        <w:rPr>
          <w:rFonts w:ascii="var(--bs-body-font-family)" w:hAnsi="var(--bs-body-font-family)"/>
          <w:lang w:val="en-US"/>
        </w:rPr>
        <w:t xml:space="preserve">. Following the principles of lottery use established by </w:t>
      </w:r>
      <w:r w:rsidRPr="23ADB1D8">
        <w:rPr>
          <w:rStyle w:val="citation"/>
          <w:rFonts w:ascii="var(--bs-body-font-family)" w:hAnsi="var(--bs-body-font-family)"/>
          <w:lang w:val="en-US"/>
        </w:rPr>
        <w:t>Brown, Schonfeld, and Gordon</w:t>
      </w:r>
      <w:r w:rsidR="002C6A0D">
        <w:rPr>
          <w:rStyle w:val="citation"/>
          <w:rFonts w:ascii="var(--bs-body-font-family)" w:hAnsi="var(--bs-body-font-family)"/>
          <w:lang w:val="en-US"/>
        </w:rPr>
        <w:t xml:space="preserve"> </w:t>
      </w:r>
      <w:r w:rsidR="002C6A0D">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{"citationID":"mqx0sWoY","properties":{"formattedCitation":"(2006)","plainCitation":"(2006)","noteIndex":0},"citationItems":[{"id":35,"uris":["http://zotero.org/users/local/nMxJkNMP/items/UR9F5PNF"],"itemData":{"id":35,"type":"article-journal","container-title":"IRB: Ethics &amp; Human Research","issue":"1","language":"en","note":"number: 1","page":"12</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16","title":"You may have already won...</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 An examination of the use of lottery payments in research","volume":"28","author":[{"family":"Brown","given":"J.S."},{"family":"Schonfeld","given":"T.L."},{"family":"Gordon","given":"B.G."}],"issued":{"date-parts":[["2006"]]}},"suppress-author":true}],"schema":"https://github.com/citation-style-language/schema/raw/master/csl-citation.json"} </w:instrText>
      </w:r>
      <w:r w:rsidR="002C6A0D">
        <w:rPr>
          <w:rStyle w:val="citation"/>
          <w:rFonts w:ascii="var(--bs-body-font-family)" w:hAnsi="var(--bs-body-font-family)" w:hint="eastAsia"/>
          <w:lang w:val="en-US"/>
        </w:rPr>
        <w:fldChar w:fldCharType="separate"/>
      </w:r>
      <w:r w:rsidR="001F6E18" w:rsidRPr="001F6E18">
        <w:rPr>
          <w:rFonts w:ascii="var(--bs-body-font-family)" w:hAnsi="var(--bs-body-font-family)"/>
        </w:rPr>
        <w:t>(2006)</w:t>
      </w:r>
      <w:r w:rsidR="002C6A0D">
        <w:rPr>
          <w:rStyle w:val="citation"/>
          <w:rFonts w:ascii="var(--bs-body-font-family)" w:hAnsi="var(--bs-body-font-family)" w:hint="eastAsia"/>
          <w:lang w:val="en-US"/>
        </w:rPr>
        <w:fldChar w:fldCharType="end"/>
      </w:r>
      <w:r w:rsidRPr="23ADB1D8">
        <w:rPr>
          <w:rStyle w:val="citation"/>
          <w:rFonts w:ascii="var(--bs-body-font-family)" w:hAnsi="var(--bs-body-font-family)"/>
          <w:lang w:val="en-US"/>
        </w:rPr>
        <w:t xml:space="preserve"> </w:t>
      </w:r>
      <w:r w:rsidRPr="23ADB1D8">
        <w:rPr>
          <w:rFonts w:ascii="var(--bs-body-font-family)" w:hAnsi="var(--bs-body-font-family)"/>
          <w:lang w:val="en-US"/>
        </w:rPr>
        <w:t xml:space="preserve">and </w:t>
      </w:r>
      <w:proofErr w:type="spellStart"/>
      <w:r w:rsidRPr="23ADB1D8">
        <w:rPr>
          <w:rStyle w:val="citation"/>
          <w:rFonts w:ascii="var(--bs-body-font-family)" w:hAnsi="var(--bs-body-font-family)"/>
          <w:lang w:val="en-US"/>
        </w:rPr>
        <w:t>Laguilles</w:t>
      </w:r>
      <w:proofErr w:type="spellEnd"/>
      <w:r w:rsidRPr="23ADB1D8">
        <w:rPr>
          <w:rStyle w:val="citation"/>
          <w:rFonts w:ascii="var(--bs-body-font-family)" w:hAnsi="var(--bs-body-font-family)"/>
          <w:lang w:val="en-US"/>
        </w:rPr>
        <w:t xml:space="preserve">, Williams, and Saunders </w:t>
      </w:r>
      <w:r w:rsidR="001F6E18">
        <w:rPr>
          <w:rStyle w:val="citation"/>
          <w:rFonts w:ascii="var(--bs-body-font-family)" w:hAnsi="var(--bs-body-font-family)" w:hint="eastAsia"/>
          <w:lang w:val="en-US"/>
        </w:rPr>
        <w:fldChar w:fldCharType="begin"/>
      </w:r>
      <w:r w:rsidR="001F6E18">
        <w:rPr>
          <w:rStyle w:val="citation"/>
          <w:rFonts w:ascii="var(--bs-body-font-family)" w:hAnsi="var(--bs-body-font-family)" w:hint="eastAsia"/>
          <w:lang w:val="en-US"/>
        </w:rPr>
        <w:instrText xml:space="preserve"> ADDIN ZOTERO_ITEM CSL_CITATION {"citationID":"ScupYhjp","properties":{"formattedCitation":"(2011)","plainCitation":"(2011)","noteIndex":0},"citationItems":[{"id":56,"uris":["http://zotero.org/users/local/nMxJkNMP/items/KX8WBVV2"],"itemData":{"id":56,"type":"article-journal","container-title":"Research in Higher Education","issue":"5","language":"en","note":"number: 5","page":"537</w:instrText>
      </w:r>
      <w:r w:rsidR="001F6E18">
        <w:rPr>
          <w:rStyle w:val="citation"/>
          <w:rFonts w:ascii="var(--bs-body-font-family)" w:hAnsi="var(--bs-body-font-family)" w:hint="eastAsia"/>
          <w:lang w:val="en-US"/>
        </w:rPr>
        <w:instrText>–</w:instrText>
      </w:r>
      <w:r w:rsidR="001F6E18">
        <w:rPr>
          <w:rStyle w:val="citation"/>
          <w:rFonts w:ascii="var(--bs-body-font-family)" w:hAnsi="var(--bs-body-font-family)" w:hint="eastAsia"/>
          <w:lang w:val="en-US"/>
        </w:rPr>
        <w:instrText xml:space="preserve">553","title":"Can lottery incentives boost web survey response rates? Findings from four experiments","volume":"52","author":[{"family":"Laguilles","given":"J.S."},{"family":"Williams","given":"E.A."},{"family":"Saunders","given":"D.B."}],"issued":{"date-parts":[["2011"]]}},"suppress-author":true}],"schema":"https://github.com/citation-style-language/schema/raw/master/csl-citation.json"} </w:instrText>
      </w:r>
      <w:r w:rsidR="001F6E18">
        <w:rPr>
          <w:rStyle w:val="citation"/>
          <w:rFonts w:ascii="var(--bs-body-font-family)" w:hAnsi="var(--bs-body-font-family)" w:hint="eastAsia"/>
          <w:lang w:val="en-US"/>
        </w:rPr>
        <w:fldChar w:fldCharType="separate"/>
      </w:r>
      <w:r w:rsidR="001F6E18" w:rsidRPr="001F6E18">
        <w:rPr>
          <w:rFonts w:ascii="var(--bs-body-font-family)" w:hAnsi="var(--bs-body-font-family)"/>
        </w:rPr>
        <w:t>(2011)</w:t>
      </w:r>
      <w:r w:rsidR="001F6E18">
        <w:rPr>
          <w:rStyle w:val="citation"/>
          <w:rFonts w:ascii="var(--bs-body-font-family)" w:hAnsi="var(--bs-body-font-family)" w:hint="eastAsia"/>
          <w:lang w:val="en-US"/>
        </w:rPr>
        <w:fldChar w:fldCharType="end"/>
      </w:r>
      <w:r w:rsidRPr="23ADB1D8">
        <w:rPr>
          <w:rFonts w:ascii="var(--bs-body-font-family)" w:hAnsi="var(--bs-body-font-family)"/>
          <w:lang w:val="en-US"/>
        </w:rPr>
        <w:t xml:space="preserve">, we also designed our survey to encourage the maximum extent of participation by entering all respondents completing the questionnaire into a free prize draw for £150. Research suggests that a high lottery provides the most cost-effective incentive for obtaining complete responses </w:t>
      </w:r>
      <w:r w:rsidR="001F6E18">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{"citationID":"MLB1mM2K","properties":{"formattedCitation":"(Gajic, Cameron and Hurley, 2012)","plainCitation":"(Gajic, Cameron and Hurley, 2012)","noteIndex":0},"citationItems":[{"id":40,"uris":["http://zotero.org/users/local/nMxJkNMP/items/EB6EIWTZ"],"itemData":{"id":40,"type":"article-journal","container-title":"The European Journal of Health Economics","issue":"6","language":"en","note":"number: 6","page":"789</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799","title":"The cost-effectiveness of cash versus lottery incentives for a web-based, stated-preference community survey","volume":"13","author":[{"family":"Gajic","given":"A."},{"family":"Cameron","given":"D."},{"family":"Hurley","given":"J."}],"issued":{"date-parts":[["2012"]]}}}],"schema":"https://github.com/citation-style-language/schema/raw/master/csl-citation.json"} </w:instrText>
      </w:r>
      <w:r w:rsidR="001F6E18">
        <w:rPr>
          <w:rFonts w:ascii="var(--bs-body-font-family)" w:hAnsi="var(--bs-body-font-family)" w:hint="eastAsia"/>
          <w:lang w:val="en-US"/>
        </w:rPr>
        <w:fldChar w:fldCharType="separate"/>
      </w:r>
      <w:r w:rsidR="00B459A2" w:rsidRPr="00B459A2">
        <w:rPr>
          <w:rFonts w:ascii="var(--bs-body-font-family)" w:hAnsi="var(--bs-body-font-family)"/>
        </w:rPr>
        <w:t>(Gajic, Cameron and Hurley, 2012)</w:t>
      </w:r>
      <w:r w:rsidR="001F6E18">
        <w:rPr>
          <w:rFonts w:ascii="var(--bs-body-font-family)" w:hAnsi="var(--bs-body-font-family)" w:hint="eastAsia"/>
          <w:lang w:val="en-US"/>
        </w:rPr>
        <w:fldChar w:fldCharType="end"/>
      </w:r>
      <w:r w:rsidRPr="23ADB1D8">
        <w:rPr>
          <w:rFonts w:ascii="var(--bs-body-font-family)" w:hAnsi="var(--bs-body-font-family)"/>
          <w:lang w:val="en-US"/>
        </w:rPr>
        <w:t xml:space="preserve">. While using incentives to encourage participation would seem to be desirable, it is worth noting the potential downside of respondents fabricating responses to increase their remuneration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{"citationID":"5eJGO10c","properties":{"formattedCitation":"(Robinson, 2014)","plainCitation":"(Robinson, 2014)","noteIndex":0},"citationItems":[{"id":64,"uris":["http://zotero.org/users/local/nMxJkNMP/items/U5Z2QYDU"],"itemData":{"id":64,"type":"article-journal","container-title":"Qualitative research in psychology","issue":"1","language":"en","note":"number: 1","page":"25</w:instrText>
      </w:r>
      <w:r w:rsidR="001F6E18">
        <w:rPr>
          <w:rFonts w:ascii="var(--bs-body-font-family)" w:hAnsi="var(--bs-body-font-family)" w:hint="eastAsia"/>
          <w:lang w:val="en-US"/>
        </w:rPr>
        <w:instrText>–</w:instrText>
      </w:r>
      <w:r w:rsidR="001F6E18">
        <w:rPr>
          <w:rFonts w:ascii="var(--bs-body-font-family)" w:hAnsi="var(--bs-body-font-family)" w:hint="eastAsia"/>
          <w:lang w:val="en-US"/>
        </w:rPr>
        <w:instrText xml:space="preserve">41","title":"Sampling in interview-based qualitative research: A theoretical and practical guide","volume":"11","author":[{"family":"Robinson","given":"O.C."}],"issued":{"date-parts":[["2014"]]}}}],"schema":"https://github.com/citation-style-language/schema/raw/master/csl-citation.json"}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(Robinson, 2014)</w:t>
      </w:r>
      <w:r w:rsidR="001F6E18">
        <w:rPr>
          <w:rFonts w:ascii="var(--bs-body-font-family)" w:hAnsi="var(--bs-body-font-family)" w:hint="eastAsia"/>
          <w:lang w:val="en-US"/>
        </w:rPr>
        <w:fldChar w:fldCharType="end"/>
      </w:r>
      <w:r w:rsidRPr="23ADB1D8">
        <w:rPr>
          <w:rFonts w:ascii="var(--bs-body-font-family)" w:hAnsi="var(--bs-body-font-family)"/>
          <w:lang w:val="en-US"/>
        </w:rPr>
        <w:t xml:space="preserve">. To </w:t>
      </w:r>
      <w:proofErr w:type="spellStart"/>
      <w:r w:rsidRPr="23ADB1D8">
        <w:rPr>
          <w:rFonts w:ascii="var(--bs-body-font-family)" w:hAnsi="var(--bs-body-font-family)"/>
          <w:lang w:val="en-US"/>
        </w:rPr>
        <w:t>minimise</w:t>
      </w:r>
      <w:proofErr w:type="spellEnd"/>
      <w:r w:rsidRPr="23ADB1D8">
        <w:rPr>
          <w:rFonts w:ascii="var(--bs-body-font-family)" w:hAnsi="var(--bs-body-font-family)"/>
          <w:lang w:val="en-US"/>
        </w:rPr>
        <w:t xml:space="preserve"> this risk, mobile phone numbers for each respondent and those whom they referred were collated, and each of these numbers was </w:t>
      </w:r>
      <w:r w:rsidRPr="23ADB1D8">
        <w:rPr>
          <w:rFonts w:ascii="var(--bs-body-font-family)" w:hAnsi="var(--bs-body-font-family)"/>
          <w:lang w:val="en-US"/>
        </w:rPr>
        <w:lastRenderedPageBreak/>
        <w:t>called by one of the authors of the paper to ascertain the veracity of the respondent as a migrant domestic worker.</w:t>
      </w:r>
      <w:r w:rsidR="00796E48">
        <w:rPr>
          <w:rFonts w:ascii="var(--bs-body-font-family)" w:hAnsi="var(--bs-body-font-family)"/>
          <w:lang w:val="en-US"/>
        </w:rPr>
        <w:t xml:space="preserve"> </w:t>
      </w:r>
      <w:r w:rsidR="00796E48" w:rsidRPr="23ADB1D8">
        <w:rPr>
          <w:rFonts w:ascii="var(--bs-body-font-family)" w:hAnsi="var(--bs-body-font-family)"/>
          <w:lang w:val="en-US"/>
        </w:rPr>
        <w:t xml:space="preserve">The data collection that underpins the analysis presented in this paper was given </w:t>
      </w:r>
      <w:proofErr w:type="spellStart"/>
      <w:r w:rsidR="00796E48" w:rsidRPr="23ADB1D8">
        <w:rPr>
          <w:rFonts w:ascii="var(--bs-body-font-family)" w:hAnsi="var(--bs-body-font-family)"/>
          <w:lang w:val="en-US"/>
        </w:rPr>
        <w:t>favourable</w:t>
      </w:r>
      <w:proofErr w:type="spellEnd"/>
      <w:r w:rsidR="00796E48" w:rsidRPr="23ADB1D8">
        <w:rPr>
          <w:rFonts w:ascii="var(--bs-body-font-family)" w:hAnsi="var(--bs-body-font-family)"/>
          <w:lang w:val="en-US"/>
        </w:rPr>
        <w:t xml:space="preserve"> ethical approval by the lead author’s School Research Ethics Committee in January 2023. All participants were informed about the aims of the study, provided informed consent, and were assured that participation was voluntary and confidential.</w:t>
      </w:r>
    </w:p>
    <w:p w14:paraId="7AF006D5" w14:textId="7989DCBA" w:rsidR="00AA7A35" w:rsidRPr="00776FD7" w:rsidRDefault="3FA09C2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.2</w:t>
      </w:r>
      <w:r w:rsidR="007E6C65">
        <w:tab/>
      </w:r>
      <w:r w:rsidR="007E6C65" w:rsidRPr="752265D2">
        <w:rPr>
          <w:rFonts w:eastAsia="Times New Roman"/>
          <w:u w:val="single"/>
          <w:lang w:val="en"/>
        </w:rPr>
        <w:t>Survey Instrument and Indicators</w:t>
      </w:r>
    </w:p>
    <w:p w14:paraId="65430B0B" w14:textId="6F429F0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The survey instrument was designed to capture both egocentric (ego-based) and </w:t>
      </w:r>
      <w:proofErr w:type="spellStart"/>
      <w:r w:rsidRPr="23ADB1D8">
        <w:rPr>
          <w:rFonts w:ascii="var(--bs-body-font-family)" w:hAnsi="var(--bs-body-font-family)"/>
          <w:lang w:val="en-US"/>
        </w:rPr>
        <w:t>altercentric</w:t>
      </w:r>
      <w:proofErr w:type="spellEnd"/>
      <w:r w:rsidRPr="23ADB1D8">
        <w:rPr>
          <w:rFonts w:ascii="var(--bs-body-font-family)" w:hAnsi="var(--bs-body-font-family)"/>
          <w:lang w:val="en-US"/>
        </w:rPr>
        <w:t xml:space="preserve"> (alter-based) network information, enabling the application of both RDS and NSUM estimation methods</w:t>
      </w:r>
      <w:r w:rsidR="00A27FB6">
        <w:rPr>
          <w:rFonts w:ascii="var(--bs-body-font-family)" w:hAnsi="var(--bs-body-font-family)"/>
          <w:lang w:val="en-US"/>
        </w:rPr>
        <w:t>.</w:t>
      </w:r>
      <w:r w:rsidR="000A71DC">
        <w:rPr>
          <w:rFonts w:ascii="var(--bs-body-font-family)" w:hAnsi="var(--bs-body-font-family)"/>
          <w:lang w:val="en-US"/>
        </w:rPr>
        <w:t xml:space="preserve"> </w:t>
      </w:r>
      <w:r w:rsidRPr="23ADB1D8">
        <w:rPr>
          <w:rFonts w:ascii="var(--bs-body-font-family)" w:hAnsi="var(--bs-body-font-family)"/>
          <w:lang w:val="en-US"/>
        </w:rPr>
        <w:t xml:space="preserve">Composite measures to quantify the extent to which respondents were at risk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including severe forms of exploitation such as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were constructed from existing exploitation typologies, notably the ILO’s Indicators of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w:t>
      </w:r>
      <w:r w:rsidR="001F6E18">
        <w:rPr>
          <w:rFonts w:ascii="var(--bs-body-font-family)" w:hAnsi="var(--bs-body-font-family)" w:hint="eastAsia"/>
          <w:lang w:val="en-US"/>
        </w:rPr>
        <w:fldChar w:fldCharType="begin"/>
      </w:r>
      <w:r w:rsidR="001F6E18">
        <w:rPr>
          <w:rFonts w:ascii="var(--bs-body-font-family)" w:hAnsi="var(--bs-body-font-family)" w:hint="eastAsia"/>
          <w:lang w:val="en-US"/>
        </w:rPr>
        <w:instrText xml:space="preserve"> ADDIN ZOTERO_ITEM CSL_CITATION {"citationID":"h0ji8nbR","properties":{"formattedCitation":"(I.L.O., 2012)","plainCitation":"(I.L.O., 2012)","noteIndex":0},"citationItems":[{"id":49,"uris":["http://zotero.org/users/local/nMxJkNMP/items/RQQPTP7U"],"itemData":{"id":49,"type":"document","language":"en","note":"Citation Key: ILO11-indicators","title":"ILO indicators of forced labour","URL":"https://www.ilo.org/global/topics/forced-labour/publications/WCMS_203832/lang--en/index.htm","author":[{"literal":"I.L.O."}],"issued":{"date-parts":[["2012"]]}}}],"schema":"https://github.com/citation-style-language/schema/raw/master/csl-citation.json"} </w:instrText>
      </w:r>
      <w:r w:rsidR="001F6E18">
        <w:rPr>
          <w:rFonts w:ascii="var(--bs-body-font-family)" w:hAnsi="var(--bs-body-font-family)" w:hint="eastAsia"/>
          <w:lang w:val="en-US"/>
        </w:rPr>
        <w:fldChar w:fldCharType="separate"/>
      </w:r>
      <w:r w:rsidR="001F6E18" w:rsidRPr="001F6E18">
        <w:rPr>
          <w:rFonts w:ascii="var(--bs-body-font-family)" w:hAnsi="var(--bs-body-font-family)"/>
        </w:rPr>
        <w:t>(I.L.O., 2012)</w:t>
      </w:r>
      <w:r w:rsidR="001F6E18">
        <w:rPr>
          <w:rFonts w:ascii="var(--bs-body-font-family)" w:hAnsi="var(--bs-body-font-family)" w:hint="eastAsia"/>
          <w:lang w:val="en-US"/>
        </w:rPr>
        <w:fldChar w:fldCharType="end"/>
      </w:r>
      <w:r w:rsidRPr="23ADB1D8">
        <w:rPr>
          <w:rFonts w:ascii="var(--bs-body-font-family)" w:hAnsi="var(--bs-body-font-family)"/>
          <w:lang w:val="en-US"/>
        </w:rPr>
        <w:t>.</w:t>
      </w:r>
    </w:p>
    <w:p w14:paraId="580B93F7"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The survey consisted of 11 composite indicators and included questions related to domestic workers’ level of job satisfaction, employment conditions, and demographic data such as nationality, age, and gender. Based on these indicators, we operationalize exploitation in two ways: (1) five dichotomous (binary) indicators classifying respondents as exploited or not exploited based on threshold criteria, and (2) one continuous risk index designed to capture gradations of vulnerability across the full sample.</w:t>
      </w:r>
    </w:p>
    <w:p w14:paraId="4F3844F2" w14:textId="5F31465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Ego-based questions capture respondents’ own experiences of exploitation (used for RDS estimation), while alter-based questions ask respondents to report on the exploitation experiences of domestic workers they know (used for NSUM estimation). See </w:t>
      </w:r>
      <w:r w:rsidR="009A5AD0">
        <w:rPr>
          <w:rFonts w:ascii="var(--bs-body-font-family)" w:hAnsi="var(--bs-body-font-family)"/>
          <w:lang w:val="en"/>
        </w:rPr>
        <w:t xml:space="preserve">Online </w:t>
      </w:r>
      <w:r w:rsidR="009A5AD0">
        <w:rPr>
          <w:rFonts w:ascii="var(--bs-body-font-family)" w:hAnsi="var(--bs-body-font-family)"/>
          <w:lang w:val="en"/>
        </w:rPr>
        <w:lastRenderedPageBreak/>
        <w:t xml:space="preserve">Resource </w:t>
      </w:r>
      <w:r w:rsidR="00A27FB6">
        <w:rPr>
          <w:rFonts w:ascii="var(--bs-body-font-family)" w:hAnsi="var(--bs-body-font-family)"/>
          <w:lang w:val="en"/>
        </w:rPr>
        <w:t xml:space="preserve">ESM_1 and ESM_2 </w:t>
      </w:r>
      <w:r>
        <w:rPr>
          <w:rFonts w:ascii="var(--bs-body-font-family)" w:hAnsi="var(--bs-body-font-family)"/>
          <w:lang w:val="en"/>
        </w:rPr>
        <w:t xml:space="preserve">for details of these survey questions and </w:t>
      </w:r>
      <w:r w:rsidRPr="00915E84">
        <w:rPr>
          <w:rFonts w:ascii="var(--bs-body-font-family)" w:hAnsi="var(--bs-body-font-family)"/>
          <w:lang w:val="en"/>
        </w:rPr>
        <w:t>the construction of comparable ego- and alter-based indicators.</w:t>
      </w:r>
    </w:p>
    <w:p w14:paraId="3CB9C611" w14:textId="6C626E10" w:rsidR="00AA7A35" w:rsidRPr="00EB21B3" w:rsidRDefault="3CCEEAA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.3</w:t>
      </w:r>
      <w:r w:rsidR="007E6C65">
        <w:tab/>
      </w:r>
      <w:r w:rsidR="007E6C65" w:rsidRPr="752265D2">
        <w:rPr>
          <w:rFonts w:eastAsia="Times New Roman"/>
          <w:u w:val="single"/>
          <w:lang w:val="en"/>
        </w:rPr>
        <w:t>Sample Characteristics</w:t>
      </w:r>
    </w:p>
    <w:p w14:paraId="3DF03EF6" w14:textId="7396ED6A"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In total, we received completed online surveys from 97 respondents. Twelve participants reported knowing zero domestic workers in the UK—that</w:t>
      </w:r>
      <w:r w:rsidR="00915E84">
        <w:rPr>
          <w:rFonts w:ascii="var(--bs-body-font-family)" w:hAnsi="var(--bs-body-font-family)"/>
          <w:lang w:val="en-US"/>
        </w:rPr>
        <w:t xml:space="preserve"> </w:t>
      </w:r>
      <w:r w:rsidRPr="481442D0">
        <w:rPr>
          <w:rFonts w:ascii="var(--bs-body-font-family)" w:hAnsi="var(--bs-body-font-family)"/>
          <w:lang w:val="en-US"/>
        </w:rPr>
        <w:t>is, having a null social network—and were excluded from RDS analysis because network degree information is required for RDS weighting procedures. This resulted in an analytical sample of 85 respondents for RDS-based estimation.</w:t>
      </w:r>
      <w:r w:rsidR="209EFF71" w:rsidRPr="481442D0">
        <w:rPr>
          <w:rFonts w:ascii="var(--bs-body-font-family)" w:hAnsi="var(--bs-body-font-family)"/>
          <w:lang w:val="en-US"/>
        </w:rPr>
        <w:t xml:space="preserve"> </w:t>
      </w:r>
      <w:r w:rsidR="0F08B12A" w:rsidRPr="481442D0">
        <w:rPr>
          <w:lang w:val="en-US"/>
        </w:rPr>
        <w:t xml:space="preserve"> Although the analytic sample comprises 85 respondents, this is within the range used in comparable respondent-driven sampling (RDS) and network scale-up (NSUM) studies of hidden populations </w:t>
      </w:r>
      <w:r w:rsidR="00EF5404">
        <w:rPr>
          <w:lang w:val="en-US"/>
        </w:rPr>
        <w:fldChar w:fldCharType="begin"/>
      </w:r>
      <w:r w:rsidR="00B459A2">
        <w:rPr>
          <w:lang w:val="en-US"/>
        </w:rPr>
        <w:instrText xml:space="preserve"> ADDIN ZOTERO_ITEM CSL_CITATION {"citationID":"6TAdvONR","properties":{"formattedCitation":"(Gile and Handcock, 2010; Goel and Salganik, 2010; Gile, 2011)","plainCitation":"(Gile and Handcock, 2010; Goel and Salganik, 2010; 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J."}],"accessed":{"date-parts":[["2025",12,19]]},"issued":{"date-parts":[["2011",3,1]]}}},{"id":694,"uris":["http://zotero.org/users/local/nMxJkNMP/items/RFNTGFKL"],"itemData":{"id":694,"type":"article-journal","abstract":"Respondent-driven sampling (RDS) employs a variant of a link-tracing network sampling strategy to collect data from hard-to-reach populations. By tracing the links in the underlying social network, the process exploits the social structure to expand the sample and reduce its dependence on the initial (convenience) sample. The current estimators of population averages make strong assumptions in order to treat the data as a probability sample. We evaluate three critical sensitivities of the estimators: (1) to bias induced by the initial sample, (2) to uncontrollable features of respondent behavior, and (3) to the without-replacement structure of sampling. Our analysis indicates: (1) that the convenience sample of seeds can induce bias, and the number of sample waves typically used in RDS is likely insufficient for the type of nodal mixing required to obtain the reputed asymptotic unbiasedness; (2) that preferential referral behavior by respondents leads to bias; (3) that when a substantial fraction of the target population is sampled the current estimators can have substantial bias. This paper sounds a cautionary note for the users of RDS. While current RDS methodology is powerful and clever, the favorable statistical properties claimed for the current estimates are shown to be heavily dependent on often unrealistic assumptions. We recommend ways to improve the methodology.","container-title":"Sociological Methodology","DOI":"10.1111/j.1467-9531.2010.01223.x","ISSN":"1467-9531","issue":"1","language":"en","license":"© 2010 by American Sociological Association","note":"_eprint: https://onlinelibrary.wiley.com/doi/pdf/10.1111/j.1467-9531.2010.01223.x","page":"285-327","source":"Wiley Online Library","title":"Respondent-Driven Sampling: An Assessment of Current Methodology","title-short":"Respondent-Driven Sampling","URL":"https://onlinelibrary.wiley.com/doi/abs/10.1111/j.1467-9531.2010.01223.x","volume":"40","author":[{"family":"Gile","given":"Krista J."},{"family":"Handcock","given":"Mark S."}],"accessed":{"date-parts":[["2025",12,19]]},"issued":{"date-parts":[["2010"]]}}},{"id":697,"uris":["http://zotero.org/users/local/nMxJkNMP/items/AJ5ALCK4"],"itemData":{"id":697,"type":"article-journal","abstract":"Respondent-driven sampling (RDS) is a network-based technique for estimating traits in hard-to-reach populations, for example, the prevalence of HIV among drug injectors. In recent years RDS has been used in more than 120 studies in more than 20 countries and by leading public health organizations, including the Centers for Disease Control and Prevention in the United States. Despite the widespread use and growing popularity of RDS, there has been little empirical validation of the methodology. Here we investigate the performance of RDS by simulating sampling from 85 known, network populations. Across a variety of traits we find that RDS is substantially less accurate than generally acknowledged and that reported RDS confidence intervals are misleadingly narrow. Moreover, because we model a best-case scenario in which the theoretical RDS sampling assumptions hold exactly, it is unlikely that RDS performs any better in practice than in our simulations. Notably, the poor performance of RDS is driven not by the bias but by the high variance of estimates, a possibility that had been largely overlooked in the RDS literature. Given the consistency of our results across networks and our generous sampling conditions, we conclude that RDS as currently practiced may not be suitable for key aspects of public health surveillance where it is now extensively applied.","container-title":"Proceedings of the National Academy of Sciences","DOI":"10.1073/pnas.1000261107","ISSN":"0027-8424, 1091-6490","issue":"15","journalAbbreviation":"Proc. Natl. Acad. Sci. U.S.A.","language":"en","page":"6743-6747","source":"DOI.org (Crossref)","title":"Assessing respondent-driven sampling","URL":"https://pnas.org/doi/full/10.1073/pnas.1000261107","volume":"107","author":[{"family":"Goel","given":"Sharad"},{"family":"Salganik","given":"Matthew J."}],"accessed":{"date-parts":[["2025",12,19]]},"issued":{"date-parts":[["2010",4,13]]}}}],"schema":"https://github.com/citation-style-language/schema/raw/master/csl-citation.json"} </w:instrText>
      </w:r>
      <w:r w:rsidR="00EF5404">
        <w:rPr>
          <w:lang w:val="en-US"/>
        </w:rPr>
        <w:fldChar w:fldCharType="separate"/>
      </w:r>
      <w:r w:rsidR="00B459A2" w:rsidRPr="00B459A2">
        <w:t>(Gile and Handcock, 2010; Goel and Salganik, 2010; Gile, 2011)</w:t>
      </w:r>
      <w:r w:rsidR="00EF5404">
        <w:rPr>
          <w:lang w:val="en-US"/>
        </w:rPr>
        <w:fldChar w:fldCharType="end"/>
      </w:r>
      <w:r w:rsidR="0F08B12A" w:rsidRPr="481442D0">
        <w:rPr>
          <w:lang w:val="en-US"/>
        </w:rPr>
        <w:t xml:space="preserve">. Statistical inference in these designs depends not on the absolute sample size but on the structure of the recruitment network, degree distribution, and convergence to equilibrium </w:t>
      </w:r>
      <w:r w:rsidR="00985E43">
        <w:rPr>
          <w:lang w:val="en-US"/>
        </w:rPr>
        <w:fldChar w:fldCharType="begin"/>
      </w:r>
      <w:r w:rsidR="00B459A2">
        <w:rPr>
          <w:lang w:val="en-US"/>
        </w:rPr>
        <w:instrText xml:space="preserve"> ADDIN ZOTERO_ITEM CSL_CITATION {"citationID":"r80vlQzw","properties":{"formattedCitation":"(Salganik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985E43">
        <w:rPr>
          <w:lang w:val="en-US"/>
        </w:rPr>
        <w:fldChar w:fldCharType="separate"/>
      </w:r>
      <w:r w:rsidR="00B459A2" w:rsidRPr="00B459A2">
        <w:t>(Salganik and Heckathorn, 2004)</w:t>
      </w:r>
      <w:r w:rsidR="00985E43">
        <w:rPr>
          <w:lang w:val="en-US"/>
        </w:rPr>
        <w:fldChar w:fldCharType="end"/>
      </w:r>
      <w:r w:rsidR="0F08B12A" w:rsidRPr="481442D0">
        <w:rPr>
          <w:lang w:val="en-US"/>
        </w:rPr>
        <w:t xml:space="preserve">. Furthermore, model-assisted and Bayesian RDS estimators </w:t>
      </w:r>
      <w:r w:rsidR="001526B2">
        <w:rPr>
          <w:lang w:val="en-US"/>
        </w:rPr>
        <w:fldChar w:fldCharType="begin"/>
      </w:r>
      <w:r w:rsidR="00B459A2">
        <w:rPr>
          <w:lang w:val="en-US"/>
        </w:rPr>
        <w:instrText xml:space="preserve"> ADDIN ZOTERO_ITEM CSL_CITATION {"citationID":"exGouKqQ","properties":{"formattedCitation":"(Gile, 2011; Gile {\\i{}et al.}, 2018)","plainCitation":"(Gile, 2011; Gile et al., 2018)","noteIndex":0},"citationItems":[{"id":699,"uris":["http://zotero.org/users/local/nMxJkNMP/items/3NVXGXZB"],"itemData":{"id":699,"type":"article-journal","abstract":"Respondent-driven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1526B2">
        <w:rPr>
          <w:lang w:val="en-US"/>
        </w:rPr>
        <w:fldChar w:fldCharType="separate"/>
      </w:r>
      <w:r w:rsidR="00B459A2" w:rsidRPr="00B459A2">
        <w:t xml:space="preserve">(Gile, 2011; Gile </w:t>
      </w:r>
      <w:r w:rsidR="00B459A2" w:rsidRPr="00B459A2">
        <w:rPr>
          <w:i/>
          <w:iCs/>
        </w:rPr>
        <w:t>et al.</w:t>
      </w:r>
      <w:r w:rsidR="00B459A2" w:rsidRPr="00B459A2">
        <w:t>, 2018)</w:t>
      </w:r>
      <w:r w:rsidR="001526B2">
        <w:rPr>
          <w:lang w:val="en-US"/>
        </w:rPr>
        <w:fldChar w:fldCharType="end"/>
      </w:r>
      <w:r w:rsidR="0F08B12A" w:rsidRPr="481442D0">
        <w:rPr>
          <w:lang w:val="en-US"/>
        </w:rPr>
        <w:t xml:space="preserve"> provide valid population estimates even for modest sample sizes, particularly when uncertainty is appropriately quantified through resampling or posterior distributions. In this study, we additionally employ a </w:t>
      </w:r>
      <w:proofErr w:type="spellStart"/>
      <w:r w:rsidR="0F08B12A" w:rsidRPr="481442D0">
        <w:rPr>
          <w:lang w:val="en-US"/>
        </w:rPr>
        <w:t>neighbourhood</w:t>
      </w:r>
      <w:proofErr w:type="spellEnd"/>
      <w:r w:rsidR="0F08B12A" w:rsidRPr="481442D0">
        <w:rPr>
          <w:lang w:val="en-US"/>
        </w:rPr>
        <w:t xml:space="preserve"> bootstrap procedure that propagates sampling and network uncertainty, providing robust confidence intervals consistent with small-sample design-based inference </w:t>
      </w:r>
      <w:r w:rsidR="0052019D">
        <w:rPr>
          <w:lang w:val="en-US"/>
        </w:rPr>
        <w:fldChar w:fldCharType="begin"/>
      </w:r>
      <w:r w:rsidR="00B459A2">
        <w:rPr>
          <w:lang w:val="en-US"/>
        </w:rPr>
        <w:instrText xml:space="preserve"> ADDIN ZOTERO_ITEM CSL_CITATION {"citationID":"cMsC2BVK","properties":{"formattedCitation":"(Handcock, Gile and Mar, 2014)","plainCitation":"(Handcock, Gile and Mar, 2014)","noteIndex":0},"citationItems":[{"id":701,"uris":["http://zotero.org/users/local/nMxJkNMP/items/5FK9VPZX"],"itemData":{"id":701,"type":"article-journal","abstract":"Respondent-Driven Sampling (RDS) is n approach to sampling design and inference in hard-to-reach human populations. It is often used in situations where the target population is rare and/or stigmatized in the larger population, so that it is prohibitively expensive to contact them through the available frames. Common examples include injecting drug users, men who have sex with men, and female sex workers. Most analysis of RDS data has focused on estimating aggregate characteristics, such as disease prevalence. However, RDS is often conducted in settings where the population size is unknown and of great independent interest. This paper presents an approach to estimating the size of a target population based on data collected through RDS. The proposed approach uses a successive sampling approximation to RDS to leverage information in the ordered sequence of observed personal network sizes. The inference uses the Bayesian framework, allowing for the incorporation of prior knowledge. A flexible class of priors for the population size is used that aids elicitation. An extensive simulation study provides insight into the performance of the method for estimating population size under a broad range of conditions. A further study shows the approach also improves estimation of aggregate characteristics. Finally, the method demonstrates sensible results when used to estimate the size of known networked populations from the National Longitudinal Study of Adolescent Health, and when used to estimate the size of a hard-to-reach population at high risk for HIV.","container-title":"Electronic Journal of Statistics","DOI":"10.1214/14-EJS923","ISSN":"1935-7524","issue":"1","journalAbbreviation":"Electron J Stat","language":"eng","note":"PMID: 26180577\nPMCID: PMC4500293","page":"1491-1521","source":"PubMed","title":"Estimating hidden population size using Respondent-Driven Sampling data","volume":"8","author":[{"family":"Handcock","given":"Mark S."},{"family":"Gile","given":"Krista J."},{"family":"Mar","given":"Corinne M."}],"issued":{"date-parts":[["2014"]]}}}],"schema":"https://github.com/citation-style-language/schema/raw/master/csl-citation.json"} </w:instrText>
      </w:r>
      <w:r w:rsidR="0052019D">
        <w:rPr>
          <w:lang w:val="en-US"/>
        </w:rPr>
        <w:fldChar w:fldCharType="separate"/>
      </w:r>
      <w:r w:rsidR="00B459A2" w:rsidRPr="00B459A2">
        <w:t>(Handcock, Gile and Mar, 2014)</w:t>
      </w:r>
      <w:r w:rsidR="0052019D">
        <w:rPr>
          <w:lang w:val="en-US"/>
        </w:rPr>
        <w:fldChar w:fldCharType="end"/>
      </w:r>
      <w:r w:rsidR="0F08B12A" w:rsidRPr="481442D0">
        <w:rPr>
          <w:lang w:val="en-US"/>
        </w:rPr>
        <w:t>.</w:t>
      </w:r>
    </w:p>
    <w:p w14:paraId="44AC3377" w14:textId="7409E02C"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Of the 97 initial respondents, 90 identified themselves as transnational migrants. Forty-five percent regarded themselves as self-employed, 39% identified themselves as employees, and 16% </w:t>
      </w:r>
      <w:proofErr w:type="spellStart"/>
      <w:r w:rsidRPr="23ADB1D8">
        <w:rPr>
          <w:rFonts w:ascii="var(--bs-body-font-family)" w:hAnsi="var(--bs-body-font-family)"/>
          <w:lang w:val="en-US"/>
        </w:rPr>
        <w:t>categorised</w:t>
      </w:r>
      <w:proofErr w:type="spellEnd"/>
      <w:r w:rsidRPr="23ADB1D8">
        <w:rPr>
          <w:rFonts w:ascii="var(--bs-body-font-family)" w:hAnsi="var(--bs-body-font-family)"/>
          <w:lang w:val="en-US"/>
        </w:rPr>
        <w:t xml:space="preserve"> their employment status as that of a worker. The largest single nationality group, comprising 64 respondents (66% of the total), reported a Filipina background. Other nationalities represented included Dominican, Brazilian, </w:t>
      </w:r>
      <w:r w:rsidRPr="23ADB1D8">
        <w:rPr>
          <w:rFonts w:ascii="var(--bs-body-font-family)" w:hAnsi="var(--bs-body-font-family)"/>
          <w:lang w:val="en-US"/>
        </w:rPr>
        <w:lastRenderedPageBreak/>
        <w:t>Spanish, Colombian, Bolivian, Venezuelan, Cuban, and Panamanian. Female domestic workers made up 97% of the sample, with 3% of the sample comprised of male domestic workers. The age structure of the domestic workers was skewed towards those over 45 years old, with such workers representing over half of the sample (see Table 1).</w:t>
      </w:r>
    </w:p>
    <w:p w14:paraId="1E09F6B4" w14:textId="7943788B"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5E6F0A">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1 inserted below]</w:t>
      </w:r>
    </w:p>
    <w:p>
      <w:pPr>
        <w:jc w:val="center"/>
      </w:pPr>
      <w:r>
        <w:drawing>
          <wp:inline xmlns:a="http://schemas.openxmlformats.org/drawingml/2006/main" xmlns:pic="http://schemas.openxmlformats.org/drawingml/2006/picture">
            <wp:extent cx="5486400" cy="3918857"/>
            <wp:docPr id="7" name="Picture 7"/>
            <wp:cNvGraphicFramePr>
              <a:graphicFrameLocks noChangeAspect="1"/>
            </wp:cNvGraphicFramePr>
            <a:graphic>
              <a:graphicData uri="http://schemas.openxmlformats.org/drawingml/2006/picture">
                <pic:pic>
                  <pic:nvPicPr>
                    <pic:cNvPr id="0" name="main_fig1_recruitment_network.png"/>
                    <pic:cNvPicPr/>
                  </pic:nvPicPr>
                  <pic:blipFill>
                    <a:blip r:embed="rId17"/>
                    <a:stretch>
                      <a:fillRect/>
                    </a:stretch>
                  </pic:blipFill>
                  <pic:spPr>
                    <a:xfrm>
                      <a:off x="0" y="0"/>
                      <a:ext cx="5486400" cy="3918857"/>
                    </a:xfrm>
                    <a:prstGeom prst="rect"/>
                  </pic:spPr>
                </pic:pic>
              </a:graphicData>
            </a:graphic>
          </wp:inline>
        </w:drawing>
      </w:r>
    </w:p>
    <w:p>
      <w:pPr>
        <w:jc w:val="center"/>
      </w:pPr>
      <w:r>
        <w:rPr>
          <w:i/>
          <w:sz w:val="20"/>
        </w:rPr>
        <w:t>Figure 1. RDS Recruitment Network Structure. Recruitment chains showing seed nodes (triangles) and recruit nodes (circles). Node colours represent nationality clusters; node size is proportional to network degree. Lines show recruiter-recruit relationships. Source: Authors' own work.</w:t>
      </w:r>
    </w:p>
    <w:p w14:paraId="532BB267" w14:textId="77777777" w:rsidR="005E6F0A" w:rsidRDefault="005E6F0A" w:rsidP="00E669D5">
      <w:pPr>
        <w:spacing w:line="480" w:lineRule="auto"/>
        <w:rPr>
          <w:rFonts w:ascii="var(--bs-body-font-family)" w:eastAsia="Times New Roman" w:hAnsi="var(--bs-body-font-family)"/>
          <w:lang w:val="en"/>
        </w:rPr>
      </w:pPr>
    </w:p>
    <w:p w14:paraId="23BC662D" w14:textId="669881AE" w:rsidR="00AA7A35" w:rsidRDefault="005E6F0A"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1 inserted below]</w:t>
      </w:r>
    </w:p>
    <w:p>
      <w:pPr>
        <w:jc w:val="center"/>
      </w:pPr>
      <w:r>
        <w:drawing>
          <wp:inline xmlns:a="http://schemas.openxmlformats.org/drawingml/2006/main" xmlns:pic="http://schemas.openxmlformats.org/drawingml/2006/picture">
            <wp:extent cx="4182058" cy="771633"/>
            <wp:docPr id="5" name="Picture 5"/>
            <wp:cNvGraphicFramePr>
              <a:graphicFrameLocks noChangeAspect="1"/>
            </wp:cNvGraphicFramePr>
            <a:graphic>
              <a:graphicData uri="http://schemas.openxmlformats.org/drawingml/2006/picture">
                <pic:pic>
                  <pic:nvPicPr>
                    <pic:cNvPr id="0" name="tmp8zzulf3t.png"/>
                    <pic:cNvPicPr/>
                  </pic:nvPicPr>
                  <pic:blipFill>
                    <a:blip r:embed="rId15"/>
                    <a:stretch>
                      <a:fillRect/>
                    </a:stretch>
                  </pic:blipFill>
                  <pic:spPr>
                    <a:xfrm>
                      <a:off x="0" y="0"/>
                      <a:ext cx="4182058" cy="771633"/>
                    </a:xfrm>
                    <a:prstGeom prst="rect"/>
                  </pic:spPr>
                </pic:pic>
              </a:graphicData>
            </a:graphic>
          </wp:inline>
        </w:drawing>
      </w:r>
    </w:p>
    <w:p>
      <w:pPr>
        <w:jc w:val="center"/>
      </w:pPr>
      <w:r>
        <w:rPr>
          <w:sz w:val="20"/>
          <w:i/>
        </w:rPr>
        <w:t xml:space="preserve">Table 1 RDS Sample Characteristics by Nationality Cluster and Recruitment Wave. Source: Authors’ Own Work.</w:t>
      </w:r>
    </w:p>
    <w:p w14:paraId="252FE10D" w14:textId="77777777" w:rsidR="00DA17B6" w:rsidRDefault="00DA17B6" w:rsidP="00E669D5">
      <w:pPr>
        <w:spacing w:line="480" w:lineRule="auto"/>
        <w:rPr>
          <w:rFonts w:ascii="var(--bs-body-font-family)" w:eastAsia="Times New Roman" w:hAnsi="var(--bs-body-font-family)"/>
          <w:lang w:val="en"/>
        </w:rPr>
      </w:pPr>
    </w:p>
    <w:p w14:paraId="5693CEC7" w14:textId="4AF681E5" w:rsidR="00AA7A35" w:rsidRPr="00770951" w:rsidRDefault="5D64726D"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4</w:t>
      </w:r>
      <w:r w:rsidR="007E6C65">
        <w:tab/>
      </w:r>
      <w:r w:rsidR="007E6C65" w:rsidRPr="752265D2">
        <w:rPr>
          <w:rFonts w:eastAsia="Times New Roman"/>
          <w:u w:val="single"/>
          <w:lang w:val="en"/>
        </w:rPr>
        <w:t>Estimation Framework</w:t>
      </w:r>
    </w:p>
    <w:p w14:paraId="7F70807B" w14:textId="7342F0E5" w:rsidR="00AA7A35" w:rsidRDefault="003B681D" w:rsidP="752265D2">
      <w:pPr>
        <w:pStyle w:val="NormalWeb"/>
        <w:spacing w:line="480" w:lineRule="auto"/>
        <w:rPr>
          <w:rFonts w:ascii="var(--bs-body-font-family)" w:hAnsi="var(--bs-body-font-family)" w:hint="eastAsia"/>
          <w:lang w:val="en-US"/>
        </w:rPr>
      </w:pPr>
      <w:r w:rsidRPr="752265D2">
        <w:rPr>
          <w:rFonts w:ascii="var(--bs-body-font-family)" w:hAnsi="var(--bs-body-font-family)"/>
          <w:lang w:val="en-US"/>
        </w:rPr>
        <w:t xml:space="preserve">We </w:t>
      </w:r>
      <w:proofErr w:type="spellStart"/>
      <w:r w:rsidRPr="752265D2">
        <w:rPr>
          <w:rFonts w:ascii="var(--bs-body-font-family)" w:hAnsi="var(--bs-body-font-family)"/>
          <w:lang w:val="en-US"/>
        </w:rPr>
        <w:t>analysed</w:t>
      </w:r>
      <w:proofErr w:type="spellEnd"/>
      <w:r w:rsidRPr="752265D2">
        <w:rPr>
          <w:rFonts w:ascii="var(--bs-body-font-family)" w:hAnsi="var(--bs-body-font-family)"/>
          <w:lang w:val="en-US"/>
        </w:rPr>
        <w:t xml:space="preserve"> the survey sample using multiple estimation models to assess robustness and conduct sensitivity analyses (see </w:t>
      </w:r>
      <w:r w:rsidR="5B618448" w:rsidRPr="752265D2">
        <w:rPr>
          <w:rFonts w:ascii="var(--bs-body-font-family)" w:hAnsi="var(--bs-body-font-family)"/>
          <w:lang w:val="en-US"/>
        </w:rPr>
        <w:t>ESM_2</w:t>
      </w:r>
      <w:r w:rsidRPr="752265D2">
        <w:rPr>
          <w:rFonts w:ascii="var(--bs-body-font-family)" w:hAnsi="var(--bs-body-font-family)"/>
          <w:lang w:val="en-US"/>
        </w:rPr>
        <w:t>). The dual structure of our survey instrument—capturing both ego-based and alter-based network information—enables two fundamentally different estimation strategies: Respondent-Driven Sampling (RDS) estimators and Network Scale-Up Methods (NSUM).</w:t>
      </w:r>
    </w:p>
    <w:p w14:paraId="19FDE6DF" w14:textId="545FD486"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To the best of the authors’ knowledge, the combined use of both methods in the same study is rare in peer-reviewed academic research, though it has appeared in government-funded reports and technical documents from NGOs and research organizations </w:t>
      </w:r>
      <w:r w:rsidR="002C79FC">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{"citationID":"PPomTfRE","properties":{"formattedCitation":"(IST Research and University of California, Los Angeles, 2020; Hickman {\\i{}et al.}, 2025)","plainCitation":"(IST Research and University of California, Los Angeles, 2020; Hickman et al., 2025)","noteIndex":0},"citationItems":[{"id":706,"uris":["http://zotero.org/users/local/nMxJkNMP/items/M9DZRK7V"],"itemData":{"id":706,"type":"webpage","language":"en","title":"Human Trafficking Prevalence Estimation Feasibility Study | Bureau of Justice Statistics","URL":"https://bjs.ojp.gov/library/publications/human-trafficking-prevalence-estimation-feasibility-study","author":[{"family":"Hickman","given":"Shelby"},{"family":"Lopez-Jauffret","given":"Charlotte"},{"family":"Fahy","given":"Stephanie"},{"family":"Masick","given":"Vanessa"}],"accessed":{"date-parts":[["2025",12,19]]},"issued":{"date-parts":[["2025"]]}}},{"id":705,"uris":["http://zotero.org/users/local/nMxJkNMP/items/5MSBCTV2"],"itemData":{"id":705,"type":"report","genre":"Technical Report","publisher":"Global Fund to End Modern Slavery","title":"Estimating the Prevalence of Child Sex Trafficking in Mahashtra, India","author":[{"family":"IST Research","given":""},{"family":"University of California, Los Angeles","given":""}],"issued":{"date-parts":[["2020"]]}}}],"schema":"https://github.com/citation-style-language/schema/raw/master/csl-citation.json"} </w:instrText>
      </w:r>
      <w:r w:rsidR="002C79FC">
        <w:rPr>
          <w:rFonts w:ascii="var(--bs-body-font-family)" w:hAnsi="var(--bs-body-font-family)" w:hint="eastAsia"/>
          <w:lang w:val="en"/>
        </w:rPr>
        <w:fldChar w:fldCharType="separate"/>
      </w:r>
      <w:r w:rsidR="00B459A2" w:rsidRPr="00B459A2">
        <w:rPr>
          <w:rFonts w:ascii="var(--bs-body-font-family)" w:hAnsi="var(--bs-body-font-family)"/>
        </w:rPr>
        <w:t xml:space="preserve">(IST Research and University of California, Los Angeles, 2020; Hickman </w:t>
      </w:r>
      <w:r w:rsidR="00B459A2" w:rsidRPr="00B459A2">
        <w:rPr>
          <w:rFonts w:ascii="var(--bs-body-font-family)" w:hAnsi="var(--bs-body-font-family)"/>
          <w:i/>
          <w:iCs/>
        </w:rPr>
        <w:t>et al.</w:t>
      </w:r>
      <w:r w:rsidR="00B459A2" w:rsidRPr="00B459A2">
        <w:rPr>
          <w:rFonts w:ascii="var(--bs-body-font-family)" w:hAnsi="var(--bs-body-font-family)"/>
        </w:rPr>
        <w:t>, 2025)</w:t>
      </w:r>
      <w:r w:rsidR="002C79FC">
        <w:rPr>
          <w:rFonts w:ascii="var(--bs-body-font-family)" w:hAnsi="var(--bs-body-font-family)" w:hint="eastAsia"/>
          <w:lang w:val="en"/>
        </w:rPr>
        <w:fldChar w:fldCharType="end"/>
      </w:r>
      <w:r>
        <w:rPr>
          <w:rFonts w:ascii="var(--bs-body-font-family)" w:hAnsi="var(--bs-body-font-family)"/>
          <w:lang w:val="en"/>
        </w:rPr>
        <w:t>. This paper contributes to the emerging methodological literature on combining RDS and NSUM in survey research for hidden populations. We also developed a novel three-step bootstrap procedure to address uncertainty in NSUM estimates.</w:t>
      </w:r>
    </w:p>
    <w:p w14:paraId="4A8171CE" w14:textId="5DDC8AA1" w:rsidR="00AA7A35" w:rsidRDefault="003B681D" w:rsidP="00E669D5">
      <w:pPr>
        <w:spacing w:line="480" w:lineRule="auto"/>
        <w:divId w:val="1975518704"/>
        <w:rPr>
          <w:rFonts w:ascii="var(--bs-body-font-family)" w:hAnsi="var(--bs-body-font-family)" w:hint="eastAsia"/>
          <w:lang w:val="en-US"/>
        </w:rPr>
      </w:pPr>
      <w:r w:rsidRPr="23ADB1D8">
        <w:rPr>
          <w:rFonts w:eastAsia="Times New Roman"/>
          <w:i/>
          <w:iCs/>
          <w:lang w:val="en-US"/>
        </w:rPr>
        <w:t>RDS Estimation</w:t>
      </w:r>
      <w:r w:rsidR="007E6C65" w:rsidRPr="23ADB1D8">
        <w:rPr>
          <w:rFonts w:eastAsia="Times New Roman"/>
          <w:i/>
          <w:iCs/>
          <w:lang w:val="en-US"/>
        </w:rPr>
        <w:t xml:space="preserve">: </w:t>
      </w:r>
      <w:r w:rsidRPr="23ADB1D8">
        <w:rPr>
          <w:rFonts w:ascii="var(--bs-body-font-family)" w:hAnsi="var(--bs-body-font-family)"/>
          <w:lang w:val="en-US"/>
        </w:rPr>
        <w:t xml:space="preserve">We implemented three RDS estimators, each with distinct assumptions: RDS-I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{"citationID":"fwk76AEP","properties":{"formattedCitation":"(Salganik and Heckathorn, 2004)","plainCitation":"(Salganik and Heckathorn, 2004)","noteIndex":0},"citationItems":[{"id":179,"uris":["http://zotero.org/users/local/nMxJkNMP/items/CMR5ZPN7"],"itemData":{"id":179,"type":"article-journal","abstract":"Standard statistical methods often provide no way to make accurate estimates about the characteristics of hidden populations such as injection drug users, the homeless, and artists. In this paper, we further develop a sampling and estimation technique called respondent-driven sampling, which allows researchers to make asymptotically unbiased estimates about these hidden populations. The sample is selected with a snowball-type design that can be done more cheaply, quickly, and easily than other methods currently in use. Further, we can show that under certain specified (and quite general) conditions, our estimates for the percentage of the population with a specific trait are asymptotically unbiased. We further show that these estimates are asymptotically unbiased no matter how the seeds are selected. We conclude with a comparison of respondent-driven samples of jazz musicians in New York and San Francisco, with corresponding institutional samples of jazz musicians from these cities. The results show that some standard methods for studying hidden populations can produce misleading results.","container-title":"Sociological Methodology","DOI":"10.1111/j.0081-1750.2004.00152.x","ISSN":"0081-1750, 1467-9531","issue":"1","journalAbbreviation":"Sociological Methodology","language":"en","license":"https://journals.sagepub.com/page/policies/text-and-data-mining-license","page":"193-240","source":"DOI.org (Crossref)","title":"5. Sampling and Estimation in Hidden Populations Using Respondent-Driven Sampling","URL":"https://journals.sagepub.com/doi/10.1111/j.0081-1750.2004.00152.x","volume":"34","author":[{"family":"Salganik","given":"Matthew J."},{"family":"Heckathorn","given":"Douglas D."}],"accessed":{"date-parts":[["2024",10,28]]},"issued":{"date-parts":[["2004",12]]}}}],"schema":"https://github.com/citation-style-language/schema/raw/master/csl-citation.json"}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(Salganik and Heckathorn, 2004)</w:t>
      </w:r>
      <w:r w:rsidR="005F2FEE">
        <w:rPr>
          <w:rFonts w:ascii="var(--bs-body-font-family)" w:hAnsi="var(--bs-body-font-family)" w:hint="eastAsia"/>
          <w:lang w:val="en-US"/>
        </w:rPr>
        <w:fldChar w:fldCharType="end"/>
      </w:r>
      <w:r w:rsidRPr="23ADB1D8">
        <w:rPr>
          <w:rFonts w:ascii="var(--bs-body-font-family)" w:hAnsi="var(--bs-body-font-family)"/>
          <w:lang w:val="en-US"/>
        </w:rPr>
        <w:t xml:space="preserve">, the Volz–Heckathorn (VH) estimator </w:t>
      </w:r>
      <w:r w:rsidR="005F2FEE">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{"citationID":"VMXbkGDn","properties":{"formattedCitation":"(Volz and Heckathorn, 2008)","plainCitation":"(Volz and Heckathorn, 2008)","noteIndex":0},"citationItems":[{"id":181,"uris":["http://zotero.org/users/local/nMxJkNMP/items/S5KRUP8J"],"itemData":{"id":181,"type":"article-journal","abstract":"Many populations of interest present special challenges for traditional survey methodology when it is difficult or impossible to obtain a traditional sampling frame. In the case of such \"hidden\" populations at risk of HIV/AIDS, many researchers have resorted to chain-referral sampling. Recent progress on the theory of chain-referral sampling has led to Respondent Driven Sampling (RDS), a rigorous chain-referral method which allows unbiased estimation of the target population. In this article we present new probability-theoretic methods for making estimates from RDS data. The new estimators offer improved simplicity, analytical tractability, and allow the estimation of continuous variables. An analytical variance estimator is proposed in the case of estimating categorical variables. The properties of the estimator and the associated variance estimator are explored in a simulation study, and compared to alternative RDS estimators using data from a study of New York City jazz musicians. The new estimator gives results consistent with alternative RDS estimators in the study of jazz musicians, and demonstrates greater precision than alternative estimators in the simulation study.","container-title":"Journal of Official Statistics","journalAbbreviation":"Journal of Official Statistics","page":"79-97","source":"ResearchGate","title":"Probability Based Estimation Theory for Respondent Driven Sampling","volume":"24","author":[{"family":"Volz","given":"Erik"},{"family":"Heckathorn","given":"Douglas"}],"issued":{"date-parts":[["2008",3,1]]}}}],"schema":"https://github.com/citation-style-language/schema/raw/master/csl-citation.json"} </w:instrText>
      </w:r>
      <w:r w:rsidR="005F2FEE">
        <w:rPr>
          <w:rFonts w:ascii="var(--bs-body-font-family)" w:hAnsi="var(--bs-body-font-family)" w:hint="eastAsia"/>
          <w:lang w:val="en-US"/>
        </w:rPr>
        <w:fldChar w:fldCharType="separate"/>
      </w:r>
      <w:r w:rsidR="00B459A2" w:rsidRPr="00B459A2">
        <w:rPr>
          <w:rFonts w:ascii="var(--bs-body-font-family)" w:hAnsi="var(--bs-body-font-family)"/>
        </w:rPr>
        <w:t xml:space="preserve">(Volz and </w:t>
      </w:r>
      <w:r w:rsidR="00B459A2" w:rsidRPr="00B459A2">
        <w:rPr>
          <w:rFonts w:ascii="var(--bs-body-font-family)" w:hAnsi="var(--bs-body-font-family)"/>
        </w:rPr>
        <w:lastRenderedPageBreak/>
        <w:t>Heckathorn, 2008)</w:t>
      </w:r>
      <w:r w:rsidR="005F2FEE">
        <w:rPr>
          <w:rFonts w:ascii="var(--bs-body-font-family)" w:hAnsi="var(--bs-body-font-family)" w:hint="eastAsia"/>
          <w:lang w:val="en-US"/>
        </w:rPr>
        <w:fldChar w:fldCharType="end"/>
      </w:r>
      <w:r w:rsidRPr="23ADB1D8">
        <w:rPr>
          <w:rFonts w:ascii="var(--bs-body-font-family)" w:hAnsi="var(--bs-body-font-family)"/>
          <w:lang w:val="en-US"/>
        </w:rPr>
        <w:t xml:space="preserve">, and Gile’s Successive Sampling (RDS-SS) estimator </w:t>
      </w:r>
      <w:r w:rsidR="0015350A">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{"citationID":"6L9SjSU1","properties":{"formattedCitation":"(Gile,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15350A">
        <w:rPr>
          <w:rFonts w:ascii="var(--bs-body-font-family)" w:hAnsi="var(--bs-body-font-family)" w:hint="eastAsia"/>
          <w:lang w:val="en-US"/>
        </w:rPr>
        <w:fldChar w:fldCharType="separate"/>
      </w:r>
      <w:r w:rsidR="0015350A" w:rsidRPr="0015350A">
        <w:rPr>
          <w:rFonts w:ascii="var(--bs-body-font-family)" w:hAnsi="var(--bs-body-font-family)"/>
        </w:rPr>
        <w:t>(Gile, 2011)</w:t>
      </w:r>
      <w:r w:rsidR="0015350A">
        <w:rPr>
          <w:rFonts w:ascii="var(--bs-body-font-family)" w:hAnsi="var(--bs-body-font-family)" w:hint="eastAsia"/>
          <w:lang w:val="en-US"/>
        </w:rPr>
        <w:fldChar w:fldCharType="end"/>
      </w:r>
      <w:r w:rsidRPr="23ADB1D8">
        <w:rPr>
          <w:rFonts w:ascii="var(--bs-body-font-family)" w:hAnsi="var(--bs-body-font-family)"/>
          <w:lang w:val="en-US"/>
        </w:rPr>
        <w:t>. Given our small sample (85 respondents) and non-negligible sampling fraction, RDS-SS serves as our primary estimator for binary outcomes because it accounts for finite population effects. RDS-I, which performs poorly in small samples and is highly sensitive to seed dependence, is retained as a historical benchmark.</w:t>
      </w:r>
    </w:p>
    <w:p w14:paraId="62F7B856" w14:textId="423C8484"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For continuous outcomes such as the exploitation risk index, we employ Model-Assisted (MA-RDS) estimators</w:t>
      </w:r>
      <w:r w:rsidR="00881DF4">
        <w:rPr>
          <w:rFonts w:ascii="var(--bs-body-font-family)" w:hAnsi="var(--bs-body-font-family)"/>
          <w:lang w:val="en-US"/>
        </w:rPr>
        <w:t xml:space="preserve"> </w:t>
      </w:r>
      <w:r w:rsidR="00881DF4">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{"citationID":"9ZTFlJ2J","properties":{"formattedCitation":"(Gile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881DF4">
        <w:rPr>
          <w:rFonts w:ascii="var(--bs-body-font-family)" w:hAnsi="var(--bs-body-font-family)" w:hint="eastAsia"/>
          <w:lang w:val="en-US"/>
        </w:rPr>
        <w:fldChar w:fldCharType="separate"/>
      </w:r>
      <w:r w:rsidR="00B459A2" w:rsidRPr="00B459A2">
        <w:rPr>
          <w:rFonts w:ascii="var(--bs-body-font-family)" w:hAnsi="var(--bs-body-font-family)"/>
        </w:rPr>
        <w:t>(Gile and Handcock, 2015)</w:t>
      </w:r>
      <w:r w:rsidR="00881DF4">
        <w:rPr>
          <w:rFonts w:ascii="var(--bs-body-font-family)" w:hAnsi="var(--bs-body-font-family)" w:hint="eastAsia"/>
          <w:lang w:val="en-US"/>
        </w:rPr>
        <w:fldChar w:fldCharType="end"/>
      </w:r>
      <w:r w:rsidRPr="23ADB1D8">
        <w:rPr>
          <w:rFonts w:ascii="var(--bs-body-font-family)" w:hAnsi="var(--bs-body-font-family)"/>
          <w:lang w:val="en-US"/>
        </w:rPr>
        <w:t>. MA-RDS is design-based yet leverages a working Exponential Random Graph Model (ERGM) with degree and homophily terms to approximate inclusion probabilities conditional on observed seeds. This approach directly addresses seed bias and homophily that conventional RDS estimators cannot correct, accommodates finite-population effects through successive-sampling logic, and supports valid estimation of both binary and continuous outcomes. By conditioning on actual seed composition and subgroup structure, the method reduces bias, improves efficiency, and provides design-compatible bootstrap uncertainty</w:t>
      </w:r>
      <w:r w:rsidR="00AE3A52">
        <w:rPr>
          <w:rFonts w:ascii="var(--bs-body-font-family)" w:hAnsi="var(--bs-body-font-family)"/>
          <w:lang w:val="en-US"/>
        </w:rPr>
        <w:t xml:space="preserve"> </w:t>
      </w:r>
      <w:r w:rsidR="00AE3A52">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{"citationID":"ZL5cERiz","properties":{"formattedCitation":"(Gile, 2011)","plainCitation":"(Gile, 2011)","noteIndex":0},"citationItems":[{"id":699,"uris":["http://zotero.org/users/local/nMxJkNMP/items/3NVXGXZB"],"itemData":{"id":699,"type":"article-journal","abstract":"Respondent-driven sampling is a form of link-tracing network sampling, which is widely used to study hard-to-reach populations, often to estimate population proportions. Previous treatments of this process have used a with-replacement approximation, which we show induces bias in estimates for large sample fractions and differential network connectedness by characteristic of interest. We present a treatment of respondent-driven sampling as a successive sampling process. Unlike existing representations, our approach respects the essential without-replacement feature of the process, while converging to an existing with-replacement representation for small sample fractions, and to the sample mean for a full-population sample. We present a successive-sampling based estimator for population means based on respondent-driven sampling data, and demonstrate its superior performance when the size of the hidden population is known. We present sensitivity analyses for unknown population sizes. In addition, we note that like other existing estimators, our new estimator is subject to bias induced by the selection of the initial sample. Using data collected among three populations in two countries, we illustrate the application of this approach to populations with varying characteristics. We conclude that the successive sampling estimator improves on existing estimators, and can also be used as a diagnostic tool when population size is not known. This article has supplementary material online.","container-title":"Journal of the American Statistical Association","DOI":"10.1198/jasa.2011.ap09475","ISSN":"0162-1459","issue":"493","note":"publisher: Taylor &amp; Francis\n_eprint: https://doi.org/10.1198/jasa.2011.ap09475","page":"135-146","source":"Taylor and Francis+NEJM","title":"Improved Inference for Respondent-Driven Sampling Data With Application to HIV Prevalence Estimation","URL":"https://doi.org/10.1198/jasa.2011.ap09475","volume":"106","author":[{"family":"Gile","given":"Krista J."}],"accessed":{"date-parts":[["2025",12,19]]},"issued":{"date-parts":[["2011",3,1]]}}}],"schema":"https://github.com/citation-style-language/schema/raw/master/csl-citation.json"} </w:instrText>
      </w:r>
      <w:r w:rsidR="00AE3A52">
        <w:rPr>
          <w:rFonts w:ascii="var(--bs-body-font-family)" w:hAnsi="var(--bs-body-font-family)" w:hint="eastAsia"/>
          <w:lang w:val="en-US"/>
        </w:rPr>
        <w:fldChar w:fldCharType="separate"/>
      </w:r>
      <w:r w:rsidR="00AE3A52" w:rsidRPr="00AE3A52">
        <w:rPr>
          <w:rFonts w:ascii="var(--bs-body-font-family)" w:hAnsi="var(--bs-body-font-family)"/>
        </w:rPr>
        <w:t>(Gile, 2011)</w:t>
      </w:r>
      <w:r w:rsidR="00AE3A52">
        <w:rPr>
          <w:rFonts w:ascii="var(--bs-body-font-family)" w:hAnsi="var(--bs-body-font-family)" w:hint="eastAsia"/>
          <w:lang w:val="en-US"/>
        </w:rPr>
        <w:fldChar w:fldCharType="end"/>
      </w:r>
      <w:r w:rsidRPr="23ADB1D8">
        <w:rPr>
          <w:rFonts w:ascii="var(--bs-body-font-family)" w:hAnsi="var(--bs-body-font-family)"/>
          <w:lang w:val="en-US"/>
        </w:rPr>
        <w:t>.</w:t>
      </w:r>
    </w:p>
    <w:p w14:paraId="192D8504" w14:textId="01AC2273" w:rsidR="00AA7A35" w:rsidRDefault="003B681D" w:rsidP="4BCEB955">
      <w:pPr>
        <w:spacing w:line="480" w:lineRule="auto"/>
        <w:divId w:val="1975518704"/>
        <w:rPr>
          <w:rFonts w:ascii="var(--bs-body-font-family)" w:hAnsi="var(--bs-body-font-family)" w:hint="eastAsia"/>
          <w:lang w:val="en-US"/>
        </w:rPr>
      </w:pPr>
      <w:r w:rsidRPr="4BCEB955">
        <w:rPr>
          <w:rFonts w:eastAsia="Times New Roman"/>
          <w:i/>
          <w:iCs/>
          <w:lang w:val="en"/>
        </w:rPr>
        <w:t>NSUM Estimation</w:t>
      </w:r>
      <w:r w:rsidR="007E6C65" w:rsidRPr="4BCEB955">
        <w:rPr>
          <w:rFonts w:eastAsia="Times New Roman"/>
          <w:i/>
          <w:iCs/>
          <w:lang w:val="en"/>
        </w:rPr>
        <w:t xml:space="preserve">: </w:t>
      </w:r>
      <w:r w:rsidRPr="4BCEB955">
        <w:rPr>
          <w:rFonts w:ascii="var(--bs-body-font-family)" w:hAnsi="var(--bs-body-font-family)"/>
          <w:lang w:val="en"/>
        </w:rPr>
        <w:t xml:space="preserve">We employ the Modified Basic Scale-Up (MBSU) model </w:t>
      </w:r>
      <w:r w:rsidRPr="4BCEB955">
        <w:rPr>
          <w:rFonts w:ascii="var(--bs-body-font-family)" w:hAnsi="var(--bs-body-font-family)"/>
          <w:lang w:val="en"/>
        </w:rPr>
        <w:fldChar w:fldCharType="begin"/>
      </w:r>
      <w:r w:rsidR="00B459A2">
        <w:rPr>
          <w:rFonts w:ascii="var(--bs-body-font-family)" w:hAnsi="var(--bs-body-font-family)" w:hint="eastAsia"/>
          <w:lang w:val="en"/>
        </w:rPr>
        <w:instrText xml:space="preserve"> ADDIN ZOTERO_ITEM CSL_CITATION {"citationID":"EMT4fWpY","properties":{"formattedCitation":"(Feehan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Pr="4BCEB955">
        <w:rPr>
          <w:rFonts w:ascii="var(--bs-body-font-family)" w:hAnsi="var(--bs-body-font-family)"/>
          <w:lang w:val="en"/>
        </w:rPr>
        <w:fldChar w:fldCharType="separate"/>
      </w:r>
      <w:r w:rsidR="00B459A2" w:rsidRPr="00B459A2">
        <w:rPr>
          <w:rFonts w:ascii="var(--bs-body-font-family)" w:hAnsi="var(--bs-body-font-family)"/>
        </w:rPr>
        <w:t>(Feehan and Salganick, 2016)</w:t>
      </w:r>
      <w:r w:rsidRPr="4BCEB955">
        <w:rPr>
          <w:rFonts w:ascii="var(--bs-body-font-family)" w:hAnsi="var(--bs-body-font-family)"/>
          <w:lang w:val="en"/>
        </w:rPr>
        <w:fldChar w:fldCharType="end"/>
      </w:r>
      <w:r w:rsidRPr="4BCEB955">
        <w:rPr>
          <w:rFonts w:ascii="var(--bs-body-font-family)" w:hAnsi="var(--bs-body-font-family)"/>
          <w:lang w:val="en"/>
        </w:rPr>
        <w:t>, which improves upon the original Basic Scale-Up Method by accounting for key sources of bias</w:t>
      </w:r>
      <w:r w:rsidR="20623E89" w:rsidRPr="4BCEB955">
        <w:rPr>
          <w:rFonts w:ascii="var(--bs-body-font-family)" w:hAnsi="var(--bs-body-font-family)"/>
          <w:lang w:val="en"/>
        </w:rPr>
        <w:t xml:space="preserve">. The traditional method assumes that respondents can accurately report how many </w:t>
      </w:r>
      <w:r w:rsidR="2498C434" w:rsidRPr="4BCEB955">
        <w:rPr>
          <w:rFonts w:ascii="var(--bs-body-font-family)" w:hAnsi="var(--bs-body-font-family)"/>
          <w:lang w:val="en"/>
        </w:rPr>
        <w:t xml:space="preserve">people they know in the hidden population and that all members are equally likely to be known. These assumptions often fail due to stigma, recall issues, or social barriers. </w:t>
      </w:r>
    </w:p>
    <w:p w14:paraId="15FA7BE4" w14:textId="29DFB17D" w:rsidR="00AA7A35" w:rsidRDefault="20623E89" w:rsidP="004C516E">
      <w:pPr>
        <w:spacing w:line="480" w:lineRule="auto"/>
        <w:divId w:val="1975518704"/>
        <w:rPr>
          <w:rFonts w:ascii="var(--bs-body-font-family)" w:hAnsi="var(--bs-body-font-family)" w:hint="eastAsia"/>
          <w:lang w:val="en-US"/>
        </w:rPr>
      </w:pPr>
      <w:r w:rsidRPr="4BCEB955">
        <w:rPr>
          <w:rFonts w:ascii="var(--bs-body-font-family)" w:hAnsi="var(--bs-body-font-family)"/>
          <w:lang w:val="en"/>
        </w:rPr>
        <w:t xml:space="preserve">The MBSU addresses this through two primary adjustments. First, the degree ratio adjustment (δ) accounts for differences in network size between the hidden population and frame population. Second, the visibility/true positive rate adjustment (τ) corrects for underreporting of connections to hidden population members due to stigma or lack of </w:t>
      </w:r>
      <w:r w:rsidRPr="4BCEB955">
        <w:rPr>
          <w:rFonts w:ascii="var(--bs-body-font-family)" w:hAnsi="var(--bs-body-font-family)"/>
          <w:lang w:val="en"/>
        </w:rPr>
        <w:lastRenderedPageBreak/>
        <w:t xml:space="preserve">awareness. We apply these adjustments with sensitivity analysis across multiple parameter values: δ ∈ {0.8, 0.9, 1.0} and τ ∈ {0.7, 0.85, 1.0}, where δ=1.0 and τ=1.0 represent the unadjusted baseline scenario.  </w:t>
      </w:r>
    </w:p>
    <w:p w14:paraId="456F8C41" w14:textId="62BECF7B" w:rsidR="00AA7A35" w:rsidRPr="00770951" w:rsidRDefault="13D8F00B"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5</w:t>
      </w:r>
      <w:r w:rsidR="007E6C65">
        <w:tab/>
      </w:r>
      <w:r w:rsidR="007E6C65" w:rsidRPr="752265D2">
        <w:rPr>
          <w:rFonts w:eastAsia="Times New Roman"/>
          <w:u w:val="single"/>
          <w:lang w:val="en"/>
        </w:rPr>
        <w:t>Comparative Rationale: Ego-Based vs. Alter-Based Inference</w:t>
      </w:r>
    </w:p>
    <w:p w14:paraId="63647CD1"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RDS and NSUM both exploit social network structures but use fundamentally different information for inference. RDS uses ego-based information: respondents report their own characteristics and network degree, which are combined with recruitment wave to adjust for unequal inclusion probabilities. The underlying logic is that individuals with larger networks are more likely to be recruited, creating bias toward highly connected respondents. RDS estimators explicitly correct for this by weighting observations according to network degree and recruitment path.</w:t>
      </w:r>
    </w:p>
    <w:p w14:paraId="21154AA6"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NSUM uses alter-based information – respondents serve as informants about the wider hidden population, reporting how many people they know with specific traits. These reports are scaled up using assumptions about network size and visibility to infer prevalence in the broader population. NSUM does not depend on recruitment chains but instead on the accuracy of respondents’ knowledge about others in their social circles.</w:t>
      </w:r>
    </w:p>
    <w:p w14:paraId="48DD8B49" w14:textId="77777777"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Applying both methods to the same dataset allows for triangulation across two fundamentally different inferential logics—one anchored in “who recruited whom” (RDS), the other in “how many alters fit this category” (NSUM).</w:t>
      </w:r>
    </w:p>
    <w:p w14:paraId="76354635" w14:textId="4FC29429" w:rsidR="00AA7A35" w:rsidRPr="00E063D0" w:rsidRDefault="65DF30FE" w:rsidP="00E669D5">
      <w:pPr>
        <w:spacing w:line="480" w:lineRule="auto"/>
        <w:divId w:val="1975518704"/>
        <w:rPr>
          <w:rFonts w:eastAsia="Times New Roman"/>
          <w:u w:val="single"/>
          <w:lang w:val="en"/>
        </w:rPr>
      </w:pPr>
      <w:r w:rsidRPr="752265D2">
        <w:rPr>
          <w:rFonts w:eastAsia="Times New Roman"/>
          <w:lang w:val="en"/>
        </w:rPr>
        <w:t>3</w:t>
      </w:r>
      <w:r w:rsidR="007E6C65" w:rsidRPr="752265D2">
        <w:rPr>
          <w:rFonts w:eastAsia="Times New Roman"/>
          <w:lang w:val="en"/>
        </w:rPr>
        <w:t>.</w:t>
      </w:r>
      <w:r w:rsidR="00057305" w:rsidRPr="752265D2">
        <w:rPr>
          <w:rFonts w:eastAsia="Times New Roman"/>
          <w:lang w:val="en"/>
        </w:rPr>
        <w:t>6</w:t>
      </w:r>
      <w:r w:rsidR="007E6C65">
        <w:tab/>
      </w:r>
      <w:r w:rsidR="007E6C65" w:rsidRPr="752265D2">
        <w:rPr>
          <w:rFonts w:eastAsia="Times New Roman"/>
          <w:u w:val="single"/>
          <w:lang w:val="en"/>
        </w:rPr>
        <w:t>Bootstrap and Sensitivity Procedures</w:t>
      </w:r>
    </w:p>
    <w:p w14:paraId="4AB55DEF" w14:textId="6DFFAE16"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 xml:space="preserve">To appropriately </w:t>
      </w:r>
      <w:proofErr w:type="spellStart"/>
      <w:r w:rsidRPr="481442D0">
        <w:rPr>
          <w:rFonts w:ascii="var(--bs-body-font-family)" w:hAnsi="var(--bs-body-font-family)"/>
          <w:lang w:val="en-US"/>
        </w:rPr>
        <w:t>characterise</w:t>
      </w:r>
      <w:proofErr w:type="spellEnd"/>
      <w:r w:rsidRPr="481442D0">
        <w:rPr>
          <w:rFonts w:ascii="var(--bs-body-font-family)" w:hAnsi="var(--bs-body-font-family)"/>
          <w:lang w:val="en-US"/>
        </w:rPr>
        <w:t xml:space="preserve"> uncertainty in NSUM estimates, we developed a novel three-step bootstrap procedure. This approach resamples respondents, their reported alters, and the exploitation classifications simultaneously, thereby capturing uncertainty </w:t>
      </w:r>
      <w:r w:rsidRPr="481442D0">
        <w:rPr>
          <w:rFonts w:ascii="var(--bs-body-font-family)" w:hAnsi="var(--bs-body-font-family)"/>
          <w:lang w:val="en-US"/>
        </w:rPr>
        <w:lastRenderedPageBreak/>
        <w:t xml:space="preserve">at each stage of the inference process. This procedure provides more realistic confidence intervals than those generated by conventional variance estimators, particularly for small samples such as ours. Details of the bootstrap implementation and diagnostic checks are provided in </w:t>
      </w:r>
      <w:r w:rsidR="009A5AD0">
        <w:rPr>
          <w:rFonts w:ascii="var(--bs-body-font-family)" w:hAnsi="var(--bs-body-font-family)"/>
          <w:lang w:val="en-US"/>
        </w:rPr>
        <w:t xml:space="preserve">Online Resource </w:t>
      </w:r>
      <w:r w:rsidR="00554FB3">
        <w:rPr>
          <w:rFonts w:ascii="var(--bs-body-font-family)" w:hAnsi="var(--bs-body-font-family)"/>
          <w:lang w:val="en-US"/>
        </w:rPr>
        <w:t>ESM_3</w:t>
      </w:r>
      <w:r w:rsidRPr="481442D0">
        <w:rPr>
          <w:rFonts w:ascii="var(--bs-body-font-family)" w:hAnsi="var(--bs-body-font-family)"/>
          <w:lang w:val="en-US"/>
        </w:rPr>
        <w:t>.</w:t>
      </w:r>
      <w:r w:rsidR="73017EAA" w:rsidRPr="481442D0">
        <w:rPr>
          <w:rFonts w:ascii="var(--bs-body-font-family)" w:hAnsi="var(--bs-body-font-family)"/>
          <w:lang w:val="en-US"/>
        </w:rPr>
        <w:t xml:space="preserve"> Several of the estimation procedures implemented here adopt Bayesian or model-assisted frameworks, which are particularly appropriate for modest sample sizes because they incorporate uncertainty directly into the estimation process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{"citationID":"U73znvsz","properties":{"formattedCitation":"(Gile {\\i{}et al.}, 2018)","plainCitation":"(Gile et al., 2018)","noteIndex":0},"citationItems":[{"id":29,"uris":["http://zotero.org/users/local/nMxJkNMP/items/J37HTG87"],"itemData":{"id":29,"type":"article-journal","abstract":"Respondent-driven sampling is a commonly used method for sampling from hard-to-reach human populations connected by an underlying social network of relations. Beginning with a convenience sample, participants pass coupons to invite their contacts to join the sample. Although the method is often effective at attaining large and varied samples, its reliance on convenience samples, social network contacts, and participant decisions makes it subject to a large number of statistical concerns. This article reviews inferential methods available for data collected by respondent-driven sampling.","container-title":"Annual Review of Statistics and Its Application","DOI":"10.1146/annurev-statistics-031017-100704","ISSN":"2326-8298, 2326-831X","issue":"1","journalAbbreviation":"Annu. Rev. Stat. Appl.","language":"en","note":"number: 1\nCitation Key: gile18-methods\ntex.ids= gile18-methodsa","page":"65-93","source":"DOI.org (Crossref)","title":"Methods for inference from respondent-driven sampling data","URL":"https://www.annualreviews.org/doi/10.1146/annurev-statistics-031017-100704","volume":"5","author":[{"family":"Gile","given":"Krista J."},{"family":"Beaudry","given":"Isabelle S."},{"family":"Handcock","given":"Mark S."},{"family":"Ott","given":"Miles Q."}],"accessed":{"date-parts":[["2023",4,25]]},"issued":{"date-parts":[["2018",3,7]]}}}],"schema":"https://github.com/citation-style-language/schema/raw/master/csl-citation.json"}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(Gile </w:t>
      </w:r>
      <w:r w:rsidR="00B459A2" w:rsidRPr="00B459A2">
        <w:rPr>
          <w:rFonts w:ascii="var(--bs-body-font-family)" w:hAnsi="var(--bs-body-font-family)"/>
          <w:i/>
          <w:iCs/>
        </w:rPr>
        <w:t>et al.</w:t>
      </w:r>
      <w:r w:rsidR="00B459A2" w:rsidRPr="00B459A2">
        <w:rPr>
          <w:rFonts w:ascii="var(--bs-body-font-family)" w:hAnsi="var(--bs-body-font-family)"/>
        </w:rPr>
        <w:t>, 2018)</w:t>
      </w:r>
      <w:r w:rsidR="004957DB">
        <w:rPr>
          <w:rFonts w:ascii="var(--bs-body-font-family)" w:hAnsi="var(--bs-body-font-family)" w:hint="eastAsia"/>
          <w:lang w:val="en-US"/>
        </w:rPr>
        <w:fldChar w:fldCharType="end"/>
      </w:r>
      <w:r w:rsidR="73017EAA" w:rsidRPr="481442D0">
        <w:rPr>
          <w:rFonts w:ascii="var(--bs-body-font-family)" w:hAnsi="var(--bs-body-font-family)"/>
          <w:lang w:val="en-US"/>
        </w:rPr>
        <w:t xml:space="preserve">. Our custom </w:t>
      </w:r>
      <w:proofErr w:type="spellStart"/>
      <w:r w:rsidR="73017EAA" w:rsidRPr="481442D0">
        <w:rPr>
          <w:rFonts w:ascii="var(--bs-body-font-family)" w:hAnsi="var(--bs-body-font-family)"/>
          <w:lang w:val="en-US"/>
        </w:rPr>
        <w:t>neighbourhood</w:t>
      </w:r>
      <w:proofErr w:type="spellEnd"/>
      <w:r w:rsidR="73017EAA" w:rsidRPr="481442D0">
        <w:rPr>
          <w:rFonts w:ascii="var(--bs-body-font-family)" w:hAnsi="var(--bs-body-font-family)"/>
          <w:lang w:val="en-US"/>
        </w:rPr>
        <w:t xml:space="preserve"> bootstrap procedure similarly quantifies uncertainty by repeatedly resampling ego and </w:t>
      </w:r>
      <w:proofErr w:type="gramStart"/>
      <w:r w:rsidR="73017EAA" w:rsidRPr="481442D0">
        <w:rPr>
          <w:rFonts w:ascii="var(--bs-body-font-family)" w:hAnsi="var(--bs-body-font-family)"/>
          <w:lang w:val="en-US"/>
        </w:rPr>
        <w:t>alter</w:t>
      </w:r>
      <w:proofErr w:type="gramEnd"/>
      <w:r w:rsidR="73017EAA" w:rsidRPr="481442D0">
        <w:rPr>
          <w:rFonts w:ascii="var(--bs-body-font-family)" w:hAnsi="var(--bs-body-font-family)"/>
          <w:lang w:val="en-US"/>
        </w:rPr>
        <w:t xml:space="preserve"> information, producing empirically grounded confidence intervals rather than relying on asymptotic approximations that assume large samples. </w:t>
      </w:r>
    </w:p>
    <w:p w14:paraId="6CEAB2B3" w14:textId="4C8846E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For RDS estimators, we employ neighborhood bootstrap methods that preserve the network structure while resampling</w:t>
      </w:r>
      <w:r w:rsidR="004957DB">
        <w:rPr>
          <w:rFonts w:ascii="var(--bs-body-font-family)" w:hAnsi="var(--bs-body-font-family)"/>
          <w:lang w:val="en-US"/>
        </w:rPr>
        <w:t xml:space="preserve"> </w:t>
      </w:r>
      <w:r w:rsidR="004957D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{"citationID":"xZ2eyYXa","properties":{"formattedCitation":"(Yauck {\\i{}et al.}, 2022)","plainCitation":"(Yauck et al., 2022)","noteIndex":0},"citationItems":[{"id":94,"uris":["http://zotero.org/users/local/nMxJkNMP/items/LBK4SDHG"],"itemData":{"id":94,"type":"article-journal","abstract":"Respondent-driven sampling (RDS) is a form of link-tracing sampling, a sampling technique used for </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hard-to-reach</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populations that aims to leverage individuals</w:instrText>
      </w:r>
      <w:r w:rsidR="00B459A2">
        <w:rPr>
          <w:rFonts w:ascii="var(--bs-body-font-family)" w:hAnsi="var(--bs-body-font-family)" w:hint="eastAsia"/>
          <w:lang w:val="en-US"/>
        </w:rPr>
        <w:instrText>’</w:instrText>
      </w:r>
      <w:r w:rsidR="00B459A2">
        <w:rPr>
          <w:rFonts w:ascii="var(--bs-body-font-family)" w:hAnsi="var(--bs-body-font-family)" w:hint="eastAsia"/>
          <w:lang w:val="en-US"/>
        </w:rPr>
        <w:instrText xml:space="preserve"> social relationships to reach potential participants. There is a growing interest in the estimation of uncertainty for RDS as recent findings suggest that most variance estimators underestimate variability. Recently, Baraff et al. proposed the tree bootstrap method based on resampling the RDS recruitment tree, and empirically showed that this method outperforms current bootstrap methods. However, some findings suggest that the tree bootstrap (severely) overestimates uncertainty. In this article, we propose the neighborhood bootstrap method for quantifying uncertainty in RDS. We prove the consistency of our method under some conditions and investigate its finite sample performance, through a simulation study, under realistic RDS sampling assumptions.","container-title":"Journal of Survey Statistics and Methodology","DOI":"10.1093/jssam/smab057","ISSN":"2325-0984","issue":"2","journalAbbreviation":"Journal of Survey Statistics and Methodology","page":"419-438","source":"Silverchair","title":"Neighborhood Bootstrap for Respondent-Driven Sampling","URL":"https://doi.org/10.1093/jssam/smab057","volume":"10","author":[{"family":"Yauck","given":"Mamadou"},{"family":"Moodie","given":"Erica E M"},{"family":"Apelian","given":"Herak"},{"family":"Fourmigue","given":"Alain"},{"family":"Grace","given":"Daniel"},{"family":"Hart","given":"Trevor A"},{"family":"Lambert","given":"Gilles"},{"family":"Cox","given":"Joseph"}],"accessed":{"date-parts":[["2024",10,4]]},"issued":{"date-parts":[["2022",4,1]]}}}],"schema":"https://github.com/citation-style-language/schema/raw/master/csl-citation.json"} </w:instrText>
      </w:r>
      <w:r w:rsidR="004957DB">
        <w:rPr>
          <w:rFonts w:ascii="var(--bs-body-font-family)" w:hAnsi="var(--bs-body-font-family)" w:hint="eastAsia"/>
          <w:lang w:val="en-US"/>
        </w:rPr>
        <w:fldChar w:fldCharType="separate"/>
      </w:r>
      <w:r w:rsidR="00B459A2" w:rsidRPr="00B459A2">
        <w:rPr>
          <w:rFonts w:ascii="var(--bs-body-font-family)" w:hAnsi="var(--bs-body-font-family)"/>
        </w:rPr>
        <w:t xml:space="preserve">(Yauck </w:t>
      </w:r>
      <w:r w:rsidR="00B459A2" w:rsidRPr="00B459A2">
        <w:rPr>
          <w:rFonts w:ascii="var(--bs-body-font-family)" w:hAnsi="var(--bs-body-font-family)"/>
          <w:i/>
          <w:iCs/>
        </w:rPr>
        <w:t>et al.</w:t>
      </w:r>
      <w:r w:rsidR="00B459A2" w:rsidRPr="00B459A2">
        <w:rPr>
          <w:rFonts w:ascii="var(--bs-body-font-family)" w:hAnsi="var(--bs-body-font-family)"/>
        </w:rPr>
        <w:t>, 2022)</w:t>
      </w:r>
      <w:r w:rsidR="004957DB">
        <w:rPr>
          <w:rFonts w:ascii="var(--bs-body-font-family)" w:hAnsi="var(--bs-body-font-family)" w:hint="eastAsia"/>
          <w:lang w:val="en-US"/>
        </w:rPr>
        <w:fldChar w:fldCharType="end"/>
      </w:r>
      <w:r w:rsidRPr="481442D0">
        <w:rPr>
          <w:rFonts w:ascii="var(--bs-body-font-family)" w:hAnsi="var(--bs-body-font-family)"/>
          <w:lang w:val="en-US"/>
        </w:rPr>
        <w:t xml:space="preserve">. Sensitivity analyses examine robustness to population size assumptions (50K, 100K, 980K, 1.74M) and NSUM adjustment factor values. Full results are reported </w:t>
      </w:r>
      <w:r w:rsidR="00B84E8C">
        <w:rPr>
          <w:rFonts w:ascii="var(--bs-body-font-family)" w:hAnsi="var(--bs-body-font-family)"/>
          <w:lang w:val="en-US"/>
        </w:rPr>
        <w:t xml:space="preserve">in </w:t>
      </w:r>
      <w:r w:rsidR="009A5AD0">
        <w:rPr>
          <w:rFonts w:ascii="var(--bs-body-font-family)" w:hAnsi="var(--bs-body-font-family)"/>
          <w:lang w:val="en-US"/>
        </w:rPr>
        <w:t xml:space="preserve">Online Resource </w:t>
      </w:r>
      <w:r w:rsidR="00B84E8C">
        <w:rPr>
          <w:rFonts w:ascii="var(--bs-body-font-family)" w:hAnsi="var(--bs-body-font-family)"/>
          <w:lang w:val="en-US"/>
        </w:rPr>
        <w:t>ESM_</w:t>
      </w:r>
      <w:r w:rsidR="004E6F9F">
        <w:rPr>
          <w:rFonts w:ascii="var(--bs-body-font-family)" w:hAnsi="var(--bs-body-font-family)"/>
          <w:lang w:val="en-US"/>
        </w:rPr>
        <w:t>4.</w:t>
      </w:r>
    </w:p>
    <w:p w14:paraId="4277F670" w14:textId="5D097DEB" w:rsidR="005A3473" w:rsidRDefault="1E9D9EBD" w:rsidP="00E669D5">
      <w:pPr>
        <w:pStyle w:val="NormalWeb"/>
        <w:spacing w:line="480" w:lineRule="auto"/>
        <w:divId w:val="1975518704"/>
        <w:rPr>
          <w:rFonts w:ascii="var(--bs-body-font-family)" w:hAnsi="var(--bs-body-font-family)" w:hint="eastAsia"/>
          <w:lang w:val="en-US"/>
        </w:rPr>
      </w:pPr>
      <w:r w:rsidRPr="752265D2">
        <w:rPr>
          <w:rFonts w:ascii="var(--bs-body-font-family)" w:hAnsi="var(--bs-body-font-family)"/>
          <w:lang w:val="en-US"/>
        </w:rPr>
        <w:t>3</w:t>
      </w:r>
      <w:r w:rsidR="005A3473" w:rsidRPr="752265D2">
        <w:rPr>
          <w:rFonts w:ascii="var(--bs-body-font-family)" w:hAnsi="var(--bs-body-font-family)"/>
          <w:lang w:val="en-US"/>
        </w:rPr>
        <w:t>.7</w:t>
      </w:r>
      <w:r w:rsidR="00EB72B9" w:rsidRPr="752265D2">
        <w:rPr>
          <w:rFonts w:ascii="var(--bs-body-font-family)" w:hAnsi="var(--bs-body-font-family)"/>
          <w:lang w:val="en-US"/>
        </w:rPr>
        <w:t xml:space="preserve"> </w:t>
      </w:r>
      <w:r w:rsidR="00EB72B9" w:rsidRPr="752265D2">
        <w:rPr>
          <w:rFonts w:ascii="var(--bs-body-font-family)" w:hAnsi="var(--bs-body-font-family)"/>
          <w:u w:val="single"/>
          <w:lang w:val="en-US"/>
        </w:rPr>
        <w:t>Use of AI</w:t>
      </w:r>
    </w:p>
    <w:p w14:paraId="4AD58BDE" w14:textId="49526307" w:rsidR="00EB72B9" w:rsidRDefault="00EB72B9"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Large Language Models (LLMs) were used for brainstorming the organization of the paper and some textual editing. Code co-pilot (Claude Code) was used to test and debug R scripts</w:t>
      </w:r>
      <w:r w:rsidR="00A50F28">
        <w:rPr>
          <w:rFonts w:ascii="var(--bs-body-font-family)" w:hAnsi="var(--bs-body-font-family)"/>
          <w:lang w:val="en-US"/>
        </w:rPr>
        <w:t xml:space="preserve"> employed in the statistical analysis. No generative models were used to generate or simulate data</w:t>
      </w:r>
      <w:r w:rsidR="00E2406F">
        <w:rPr>
          <w:rFonts w:ascii="var(--bs-body-font-family)" w:hAnsi="var(--bs-body-font-family)"/>
          <w:lang w:val="en-US"/>
        </w:rPr>
        <w:t>.</w:t>
      </w:r>
    </w:p>
    <w:p w14:paraId="02D661F6" w14:textId="2D23254B" w:rsidR="00AA7A35" w:rsidRPr="00E063D0" w:rsidRDefault="00770951" w:rsidP="00ED6819">
      <w:pPr>
        <w:pStyle w:val="Heading1"/>
        <w:divId w:val="1975518704"/>
      </w:pPr>
      <w:r w:rsidRPr="752265D2">
        <w:t xml:space="preserve"> </w:t>
      </w:r>
      <w:r w:rsidR="411D23BD" w:rsidRPr="752265D2">
        <w:t xml:space="preserve">4. </w:t>
      </w:r>
      <w:r w:rsidRPr="752265D2">
        <w:t>Results</w:t>
      </w:r>
    </w:p>
    <w:p w14:paraId="7578C141" w14:textId="1B255D8B" w:rsidR="00AA7A35" w:rsidRPr="006C4698" w:rsidRDefault="75531725" w:rsidP="00E669D5">
      <w:pPr>
        <w:spacing w:line="480" w:lineRule="auto"/>
        <w:divId w:val="1975518704"/>
        <w:rPr>
          <w:rFonts w:eastAsia="Times New Roman"/>
          <w:u w:val="single"/>
          <w:lang w:val="en"/>
        </w:rPr>
      </w:pPr>
      <w:r w:rsidRPr="752265D2">
        <w:rPr>
          <w:rFonts w:eastAsia="Times New Roman"/>
          <w:lang w:val="en"/>
        </w:rPr>
        <w:t>4</w:t>
      </w:r>
      <w:r w:rsidR="007E6C65" w:rsidRPr="752265D2">
        <w:rPr>
          <w:rFonts w:eastAsia="Times New Roman"/>
          <w:lang w:val="en"/>
        </w:rPr>
        <w:t>.1</w:t>
      </w:r>
      <w:r w:rsidR="007E6C65">
        <w:tab/>
      </w:r>
      <w:r w:rsidR="007E6C65" w:rsidRPr="752265D2">
        <w:rPr>
          <w:rFonts w:eastAsia="Times New Roman"/>
          <w:u w:val="single"/>
          <w:lang w:val="en"/>
        </w:rPr>
        <w:t>Descriptive Overview</w:t>
      </w:r>
    </w:p>
    <w:p w14:paraId="349ABEDF" w14:textId="2033283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lastRenderedPageBreak/>
        <w:t>Sample characteristics are presented in Table 1 and Fig1. In total, 97 respondents completed the survey, of whom 85 had non-zero network degree and were included in RDS analysis. The analytical sample comprised 90 transnational migrants (93%), with the largest nationality cluster being Filipino (66%). Female domestic workers constituted 97% of the sample, with over half aged 45 or older. Self-employment status was reported by 45% of respondents.</w:t>
      </w:r>
    </w:p>
    <w:p w14:paraId="2F993CC4" w14:textId="12A0DB1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.2</w:t>
      </w:r>
      <w:r w:rsidR="007E6C65">
        <w:tab/>
      </w:r>
      <w:r w:rsidR="007E6C65" w:rsidRPr="006C4698">
        <w:rPr>
          <w:rFonts w:eastAsia="Times New Roman"/>
          <w:u w:val="single"/>
          <w:lang w:val="en"/>
        </w:rPr>
        <w:t>Model-Assisted Estimates of the Continuous Risk Index</w:t>
      </w:r>
    </w:p>
    <w:p w14:paraId="24BCF72F"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One of the central contributions of this study is the introduction of a continuous risk index to measure degrees of exposure to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The index was constructed from multiple indicators aligned with the ILO’s forced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framework, weighted inductively and refined through expert consultation. Rather than treating exploitation as a dichotomy, the risk index </w:t>
      </w:r>
      <w:proofErr w:type="spellStart"/>
      <w:r w:rsidRPr="23ADB1D8">
        <w:rPr>
          <w:rFonts w:ascii="var(--bs-body-font-family)" w:hAnsi="var(--bs-body-font-family)"/>
          <w:lang w:val="en-US"/>
        </w:rPr>
        <w:t>conceptualises</w:t>
      </w:r>
      <w:proofErr w:type="spellEnd"/>
      <w:r w:rsidRPr="23ADB1D8">
        <w:rPr>
          <w:rFonts w:ascii="var(--bs-body-font-family)" w:hAnsi="var(--bs-body-font-family)"/>
          <w:lang w:val="en-US"/>
        </w:rPr>
        <w:t xml:space="preserve"> all domestic workers as facing some degree of potential exploitation, albeit with significant variation in intensity.</w:t>
      </w:r>
    </w:p>
    <w:p w14:paraId="00638099" w14:textId="6149EE2B"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Because continuous traits cannot be estimated directly with conventional RDS estimators or NSUM, we employed model-assisted inference methods </w:t>
      </w:r>
      <w:r w:rsidR="00B15EAB">
        <w:rPr>
          <w:rFonts w:ascii="var(--bs-body-font-family)" w:hAnsi="var(--bs-body-font-family)" w:hint="eastAsia"/>
          <w:lang w:val="en-US"/>
        </w:rPr>
        <w:fldChar w:fldCharType="begin"/>
      </w:r>
      <w:r w:rsidR="00B459A2">
        <w:rPr>
          <w:rFonts w:ascii="var(--bs-body-font-family)" w:hAnsi="var(--bs-body-font-family)" w:hint="eastAsia"/>
          <w:lang w:val="en-US"/>
        </w:rPr>
        <w:instrText xml:space="preserve"> ADDIN ZOTERO_ITEM CSL_CITATION {"citationID":"MjMQufs9","properties":{"formattedCitation":"(Gile and Handcock, 2015)","plainCitation":"(Gile and Handcock, 2015)","noteIndex":0},"citationItems":[{"id":708,"uris":["http://zotero.org/users/local/nMxJkNMP/items/ZZRQE8DD"],"itemData":{"id":708,"type":"article-journal","abstract":"Respondent-Driven Sampling is a widely-used method for sampling hard-to-reach human populations by link-tracing over their social networks. Inference from such data requires specialized techniques because the sampling process is both partially beyond the control of the researcher, and partially implicitly defined. Therefore, it is not generally possible to directly compute the sampling weights for traditional design-based inference, and likelihood inference requires modeling the complex sampling process. As an alternative, we introduce a model-assisted approach, resulting in a design-based estimator leveraging a working network model. We derive a new class of estimators for population means and a corresponding bootstrap standard error estimator. We demonstrate improved performance compared to existing estimators, including adjustment for an initial convenience sample. We also apply the method and an extension to the estimation of HIV prevalence in a high-risk population.","container-title":"Journal of the Royal Statistical Society. Series A, (Statistics in Society)","DOI":"10.1111/rssa.12091","ISSN":"0964-1998","issue":"3","journalAbbreviation":"J R Stat Soc Ser A Stat Soc","language":"eng","note":"PMID: 26640328\nPMCID: PMC4669074","page":"619-639","source":"PubMed","title":"Network Model-Assisted Inference from Respondent-Driven Sampling Data","volume":"178","author":[{"family":"Gile","given":"Krista J."},{"family":"Handcock","given":"Mark S."}],"issued":{"date-parts":[["2015",6]]}}}],"schema":"https://github.com/citation-style-language/schema/raw/master/csl-citation.json"} </w:instrText>
      </w:r>
      <w:r w:rsidR="00B15EAB">
        <w:rPr>
          <w:rFonts w:ascii="var(--bs-body-font-family)" w:hAnsi="var(--bs-body-font-family)" w:hint="eastAsia"/>
          <w:lang w:val="en-US"/>
        </w:rPr>
        <w:fldChar w:fldCharType="separate"/>
      </w:r>
      <w:r w:rsidR="00B459A2" w:rsidRPr="00B459A2">
        <w:rPr>
          <w:rFonts w:ascii="var(--bs-body-font-family)" w:hAnsi="var(--bs-body-font-family)"/>
        </w:rPr>
        <w:t>(Gile and Handcock, 2015)</w:t>
      </w:r>
      <w:r w:rsidR="00B15EAB">
        <w:rPr>
          <w:rFonts w:ascii="var(--bs-body-font-family)" w:hAnsi="var(--bs-body-font-family)" w:hint="eastAsia"/>
          <w:lang w:val="en-US"/>
        </w:rPr>
        <w:fldChar w:fldCharType="end"/>
      </w:r>
      <w:r w:rsidRPr="23ADB1D8">
        <w:rPr>
          <w:rFonts w:ascii="var(--bs-body-font-family)" w:hAnsi="var(--bs-body-font-family)"/>
          <w:lang w:val="en-US"/>
        </w:rPr>
        <w:t>. These methods adjust for the non-random structure of RDS recruitment while permitting reliable estimation of means and distributions of continuous outcomes.</w:t>
      </w:r>
    </w:p>
    <w:p w14:paraId="04491BBE" w14:textId="2C745672"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sidR="00C15A01">
        <w:rPr>
          <w:rFonts w:ascii="var(--bs-body-font-family)" w:eastAsia="Times New Roman" w:hAnsi="var(--bs-body-font-family)"/>
          <w:lang w:val="en"/>
        </w:rPr>
      </w:r>
      <w:r>
        <w:rPr>
          <w:rFonts w:ascii="var(--bs-body-font-family)" w:eastAsia="Times New Roman" w:hAnsi="var(--bs-body-font-family)"/>
          <w:lang w:val="en"/>
        </w:rPr>
      </w:r>
      <w:r w:rsidR="009F0392">
        <w:rPr>
          <w:rFonts w:ascii="var(--bs-body-font-family)" w:eastAsia="Times New Roman" w:hAnsi="var(--bs-body-font-family)"/>
          <w:noProof/>
          <w:lang w:val="en"/>
        </w:rPr>
      </w:r>
      <w:r w:rsidR="00301116">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2 inserted below]</w:t>
      </w:r>
    </w:p>
    <w:p>
      <w:pPr>
        <w:jc w:val="center"/>
      </w:pPr>
      <w:r>
        <w:drawing>
          <wp:inline xmlns:a="http://schemas.openxmlformats.org/drawingml/2006/main" xmlns:pic="http://schemas.openxmlformats.org/drawingml/2006/picture">
            <wp:extent cx="5486400" cy="2438400"/>
            <wp:docPr id="8" name="Picture 8"/>
            <wp:cNvGraphicFramePr>
              <a:graphicFrameLocks noChangeAspect="1"/>
            </wp:cNvGraphicFramePr>
            <a:graphic>
              <a:graphicData uri="http://schemas.openxmlformats.org/drawingml/2006/picture">
                <pic:pic>
                  <pic:nvPicPr>
                    <pic:cNvPr id="0" name="main_fig2_composite_risk_comparison.png"/>
                    <pic:cNvPicPr/>
                  </pic:nvPicPr>
                  <pic:blipFill>
                    <a:blip r:embed="rId18"/>
                    <a:stretch>
                      <a:fillRect/>
                    </a:stretch>
                  </pic:blipFill>
                  <pic:spPr>
                    <a:xfrm>
                      <a:off x="0" y="0"/>
                      <a:ext cx="5486400" cy="2438400"/>
                    </a:xfrm>
                    <a:prstGeom prst="rect"/>
                  </pic:spPr>
                </pic:pic>
              </a:graphicData>
            </a:graphic>
          </wp:inline>
        </w:drawing>
      </w:r>
    </w:p>
    <w:p>
      <w:pPr>
        <w:jc w:val="center"/>
      </w:pPr>
      <w:r>
        <w:rPr>
          <w:i/>
          <w:sz w:val="20"/>
        </w:rPr>
        <w:t>Figure 2. Composite Risk Index: Comparison of Three Estimators. Mean composite risk index across the observed RDS sample (descriptive; n=85), the RDS-SS adjusted estimator (Gile's Successive Sampling with bootstrap 95% CI), and the Bayesian Model-Assisted (MA) estimator (with 95% credible interval). The wide MA credible interval reflects known limitations of model-assisted inference for continuous outcomes; the RDS-SS estimate is the more reliable population-adjusted figure. Source: Authors' own work.</w:t>
      </w:r>
    </w:p>
    <w:p w14:paraId="0BF7D323" w14:textId="77777777" w:rsidR="00301116" w:rsidRDefault="00301116" w:rsidP="00E669D5">
      <w:pPr>
        <w:spacing w:line="480" w:lineRule="auto"/>
        <w:rPr>
          <w:rFonts w:ascii="var(--bs-body-font-family)" w:eastAsia="Times New Roman" w:hAnsi="var(--bs-body-font-family)"/>
          <w:lang w:val="en"/>
        </w:rPr>
      </w:pPr>
    </w:p>
    <w:p w14:paraId="105144CA" w14:textId="61334DE9" w:rsidR="00AA7A35" w:rsidRDefault="003B681D" w:rsidP="00E669D5">
      <w:pPr>
        <w:pStyle w:val="NormalWeb"/>
        <w:spacing w:line="480" w:lineRule="auto"/>
        <w:divId w:val="1975518704"/>
        <w:rPr>
          <w:rFonts w:ascii="var(--bs-body-font-family)" w:hAnsi="var(--bs-body-font-family)" w:hint="eastAsia"/>
          <w:lang w:val="en-US"/>
        </w:rPr>
      </w:pPr>
      <w:r w:rsidRPr="79432F5C">
        <w:rPr>
          <w:rFonts w:ascii="var(--bs-body-font-family)" w:hAnsi="var(--bs-body-font-family)"/>
          <w:lang w:val="en-US"/>
        </w:rPr>
        <w:t xml:space="preserve">Figure 2 presents the comparison between the observed sample distribution and the model-assisted population estimates, demonstrating how the bias correction affects our understanding of exploitation risk in the broader domestic worker population. The population-weighted average risk is </w:t>
      </w:r>
      <w:r w:rsidRPr="79432F5C">
        <w:rPr>
          <w:rStyle w:val="math"/>
          <w:rFonts w:ascii="var(--bs-body-font-family)" w:hAnsi="var(--bs-body-font-family)"/>
          <w:lang w:val="en-US"/>
        </w:rPr>
        <w:t>\(0.0124\)</w:t>
      </w:r>
      <w:r w:rsidRPr="79432F5C">
        <w:rPr>
          <w:rFonts w:ascii="var(--bs-body-font-family)" w:hAnsi="var(--bs-body-font-family)"/>
          <w:lang w:val="en-US"/>
        </w:rPr>
        <w:t xml:space="preserve"> This represents the Model-Assisted </w:t>
      </w:r>
      <w:r w:rsidRPr="79432F5C">
        <w:rPr>
          <w:rFonts w:ascii="var(--bs-body-font-family)" w:hAnsi="var(--bs-body-font-family)"/>
          <w:lang w:val="en-US"/>
        </w:rPr>
        <w:lastRenderedPageBreak/>
        <w:t xml:space="preserve">estimate of mean exploitation risk in the population, adjusted for RDS sampling bias. It is a design-based estimate that corrects for the non-random recruitment process in RDS. The population-adjusted distribution shows less concentration in the lower risk values compared to the raw sample. The MA estimate suggests that </w:t>
      </w:r>
      <w:r w:rsidRPr="79432F5C">
        <w:rPr>
          <w:rStyle w:val="math"/>
          <w:rFonts w:ascii="var(--bs-body-font-family)" w:hAnsi="var(--bs-body-font-family)"/>
          <w:lang w:val="en-US"/>
        </w:rPr>
        <w:t>\(~7.2\%\)</w:t>
      </w:r>
      <w:r w:rsidRPr="79432F5C">
        <w:rPr>
          <w:rFonts w:ascii="var(--bs-body-font-family)" w:hAnsi="var(--bs-body-font-family)"/>
          <w:lang w:val="en-US"/>
        </w:rPr>
        <w:t xml:space="preserve"> of DWs in the UK have moderate risk (0.1725) This pattern reinforces the conceptual claim that exploitation is best understood as a continuum rather than a simple binary condition.</w:t>
      </w:r>
      <w:r w:rsidR="00C02B29" w:rsidRPr="79432F5C">
        <w:rPr>
          <w:rFonts w:ascii="var(--bs-body-font-family)" w:hAnsi="var(--bs-body-font-family)"/>
          <w:lang w:val="en-US"/>
        </w:rPr>
        <w:t xml:space="preserve"> </w:t>
      </w:r>
    </w:p>
    <w:p w14:paraId="18C8B7B1" w14:textId="0DE1D542"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Binary Exploitation Indicators: Comparative RDS–NSUM Estimates</w:t>
      </w:r>
    </w:p>
    <w:p w14:paraId="673BD0E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complement the continuous measure, we </w:t>
      </w:r>
      <w:proofErr w:type="spellStart"/>
      <w:r w:rsidRPr="23ADB1D8">
        <w:rPr>
          <w:rFonts w:ascii="var(--bs-body-font-family)" w:hAnsi="var(--bs-body-font-family)"/>
          <w:lang w:val="en-US"/>
        </w:rPr>
        <w:t>operationalised</w:t>
      </w:r>
      <w:proofErr w:type="spellEnd"/>
      <w:r w:rsidRPr="23ADB1D8">
        <w:rPr>
          <w:rFonts w:ascii="var(--bs-body-font-family)" w:hAnsi="var(--bs-body-font-family)"/>
          <w:lang w:val="en-US"/>
        </w:rPr>
        <w:t xml:space="preserve"> exploitation as binary outcomes. Respondents were classified as exploited if they met threshold indicators consistent with ILO definitions. We present prevalence estimates from three approaches: (1) Model-Assisted (MA-RDS) Bayesian estimates that adjust for RDS sampling bias, (2) frequentist RDS estimators (RDS-I and RDS-SS) for comparison, and (3) Network Scale-Up Method (NSUM) estimates with multiple adjustment factor scenarios.</w:t>
      </w:r>
    </w:p>
    <w:p w14:paraId="4934139B" w14:textId="7C8219B6"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Figure 3 provides a comprehensive comparison of prevalence estimates across all three approaches. While absolute values differ—reflecting the fundamental differences between ego-based (RDS) and alter-based (NSUM) inference—the overall pattern is remarkably stable. Excessive hours consistently </w:t>
      </w:r>
      <w:proofErr w:type="gramStart"/>
      <w:r w:rsidRPr="23ADB1D8">
        <w:rPr>
          <w:rFonts w:ascii="var(--bs-body-font-family)" w:hAnsi="var(--bs-body-font-family)"/>
          <w:lang w:val="en-US"/>
        </w:rPr>
        <w:t>shows</w:t>
      </w:r>
      <w:proofErr w:type="gramEnd"/>
      <w:r w:rsidRPr="23ADB1D8">
        <w:rPr>
          <w:rFonts w:ascii="var(--bs-body-font-family)" w:hAnsi="var(--bs-body-font-family)"/>
          <w:lang w:val="en-US"/>
        </w:rPr>
        <w:t xml:space="preserve"> the highest prevalence across all methods, followed by threats/abuse and pay-related issues. Model-Assisted estimates generally fall between RDS frequentist estimates and NSUM baseline estimates, though NSUM estimates are highly sensitive to adjustment factor assumptions.</w:t>
      </w:r>
    </w:p>
    <w:p w14:paraId="690E1728" w14:textId="5B548A1B" w:rsidR="008435B2" w:rsidRDefault="00143806"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r>
      <w:r w:rsidR="00ED6819">
        <w:rPr>
          <w:rFonts w:ascii="var(--bs-body-font-family)" w:hAnsi="var(--bs-body-font-family)"/>
          <w:lang w:val="en-US"/>
        </w:rPr>
      </w:r>
      <w:r>
        <w:rPr>
          <w:rFonts w:ascii="var(--bs-body-font-family)" w:hAnsi="var(--bs-body-font-family)"/>
          <w:lang w:val="en-US"/>
        </w:rPr>
      </w:r>
      <w:r>
        <w:rPr>
          <w:i/>
          <w:color w:val="999999"/>
          <w:sz w:val="18"/>
        </w:rPr>
        <w:t>[Figure 3 inserted below]</w:t>
      </w:r>
    </w:p>
    <w:p>
      <w:pPr>
        <w:jc w:val="center"/>
      </w:pPr>
      <w:r>
        <w:drawing>
          <wp:inline xmlns:a="http://schemas.openxmlformats.org/drawingml/2006/main" xmlns:pic="http://schemas.openxmlformats.org/drawingml/2006/picture">
            <wp:extent cx="5486400" cy="3429000"/>
            <wp:docPr id="9" name="Picture 9"/>
            <wp:cNvGraphicFramePr>
              <a:graphicFrameLocks noChangeAspect="1"/>
            </wp:cNvGraphicFramePr>
            <a:graphic>
              <a:graphicData uri="http://schemas.openxmlformats.org/drawingml/2006/picture">
                <pic:pic>
                  <pic:nvPicPr>
                    <pic:cNvPr id="0" name="main_fig3_ma_forest_plot.png"/>
                    <pic:cNvPicPr/>
                  </pic:nvPicPr>
                  <pic:blipFill>
                    <a:blip r:embed="rId19"/>
                    <a:stretch>
                      <a:fillRect/>
                    </a:stretch>
                  </pic:blipFill>
                  <pic:spPr>
                    <a:xfrm>
                      <a:off x="0" y="0"/>
                      <a:ext cx="5486400" cy="3429000"/>
                    </a:xfrm>
                    <a:prstGeom prst="rect"/>
                  </pic:spPr>
                </pic:pic>
              </a:graphicData>
            </a:graphic>
          </wp:inline>
        </w:drawing>
      </w:r>
    </w:p>
    <w:p>
      <w:pPr>
        <w:jc w:val="center"/>
      </w:pPr>
      <w:r>
        <w:rPr>
          <w:i/>
          <w:sz w:val="20"/>
        </w:rPr>
        <w:t>Figure 3. Model-Assisted Estimates of Exploitation Prevalence. Population prevalence estimates with 95% credible intervals for each exploitation indicator, ordered by prevalence magnitude. Posterior intervals are from Bayesian Model-Assisted inference (Gile &amp; Handcock, 2015) at N=50,000 with seed.selection='degree'. Source: Authors' own work.</w:t>
      </w:r>
    </w:p>
    <w:p w14:paraId="6DE10CE7" w14:textId="0749FFD3"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Model-Assisted Bayesian Estimates</w:t>
      </w:r>
    </w:p>
    <w:p w14:paraId="589F7A17" w14:textId="77777777" w:rsidR="006031D3" w:rsidRDefault="006031D3" w:rsidP="00E669D5">
      <w:pPr>
        <w:spacing w:line="480" w:lineRule="auto"/>
        <w:rPr>
          <w:rFonts w:ascii="var(--bs-body-font-family)" w:eastAsia="Times New Roman" w:hAnsi="var(--bs-body-font-family)"/>
          <w:lang w:val="en"/>
        </w:rPr>
      </w:pPr>
    </w:p>
    <w:p w14:paraId="358F0A15" w14:textId="3EF9E5F1" w:rsidR="007811A3" w:rsidRDefault="007811A3" w:rsidP="00E669D5">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2 inserted below]</w:t>
      </w:r>
    </w:p>
    <w:p>
      <w:r>
        <w:rPr>
          <w:b/>
        </w:rPr>
        <w:t xml:space="preserve">Table 2 Model-Assisted Estimates of Binary Exploitation Indicators: Population prevalence estimates adjusted for RDS sampling bias. Values represent the estimated proportion of domestic workers experiencing each form of exploitation. Source: Authors’ Own Work</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10"/>
        <w:gridCol w:w="2490"/>
      </w:tblGrid>
      <w:tr w:rsidR="002D7196" w:rsidRPr="002D7196" w14:paraId="524E634A"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4A66A735" w14:textId="77777777" w:rsidR="002D7196" w:rsidRPr="002D7196" w:rsidRDefault="002D7196" w:rsidP="002D7196">
            <w:pPr>
              <w:rPr>
                <w:rFonts w:asciiTheme="majorHAnsi" w:hAnsiTheme="majorHAnsi"/>
              </w:rPr>
            </w:pPr>
            <w:r w:rsidRPr="002D7196">
              <w:rPr>
                <w:rFonts w:asciiTheme="majorHAnsi" w:hAnsiTheme="majorHAnsi"/>
                <w:b/>
                <w:bCs/>
              </w:rPr>
              <w:t>Exploitation Indicator</w:t>
            </w:r>
            <w:r w:rsidRPr="002D7196">
              <w:rPr>
                <w:rFonts w:asciiTheme="majorHAnsi" w:hAnsiTheme="majorHAnsi"/>
              </w:rPr>
              <w:t>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F296682" w14:textId="77777777" w:rsidR="002D7196" w:rsidRPr="002D7196" w:rsidRDefault="002D7196" w:rsidP="002D7196">
            <w:pPr>
              <w:rPr>
                <w:rFonts w:asciiTheme="majorHAnsi" w:hAnsiTheme="majorHAnsi"/>
              </w:rPr>
            </w:pPr>
            <w:r w:rsidRPr="002D7196">
              <w:rPr>
                <w:rFonts w:asciiTheme="majorHAnsi" w:hAnsiTheme="majorHAnsi"/>
                <w:b/>
                <w:bCs/>
              </w:rPr>
              <w:t xml:space="preserve">Population Prevalence (95% </w:t>
            </w:r>
            <w:proofErr w:type="spellStart"/>
            <w:r w:rsidRPr="002D7196">
              <w:rPr>
                <w:rFonts w:asciiTheme="majorHAnsi" w:hAnsiTheme="majorHAnsi"/>
                <w:b/>
                <w:bCs/>
              </w:rPr>
              <w:t>CrI</w:t>
            </w:r>
            <w:proofErr w:type="spellEnd"/>
            <w:r w:rsidRPr="002D7196">
              <w:rPr>
                <w:rFonts w:asciiTheme="majorHAnsi" w:hAnsiTheme="majorHAnsi"/>
                <w:b/>
                <w:bCs/>
              </w:rPr>
              <w:t>)</w:t>
            </w:r>
            <w:r w:rsidRPr="002D7196">
              <w:rPr>
                <w:rFonts w:asciiTheme="majorHAnsi" w:hAnsiTheme="majorHAnsi"/>
              </w:rPr>
              <w:t> </w:t>
            </w:r>
          </w:p>
        </w:tc>
      </w:tr>
      <w:tr w:rsidR="002D7196" w:rsidRPr="002D7196" w14:paraId="2C02638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443F476" w14:textId="77777777" w:rsidR="002D7196" w:rsidRPr="002D7196" w:rsidRDefault="002D7196" w:rsidP="002D7196">
            <w:r w:rsidRPr="002D7196">
              <w:t>Any Exploitation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5E061FE4" w14:textId="77777777" w:rsidR="002D7196" w:rsidRPr="002D7196" w:rsidRDefault="002D7196" w:rsidP="002D7196">
            <w:r w:rsidRPr="002D7196">
              <w:t>95.0% (62.2-100.0%) </w:t>
            </w:r>
          </w:p>
        </w:tc>
      </w:tr>
      <w:tr w:rsidR="002D7196" w:rsidRPr="002D7196" w14:paraId="5B0BC571"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2B18CAE" w14:textId="77777777" w:rsidR="002D7196" w:rsidRPr="002D7196" w:rsidRDefault="002D7196" w:rsidP="002D7196">
            <w:r w:rsidRPr="002D7196">
              <w:t>Excessive Hours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206EF077" w14:textId="77777777" w:rsidR="002D7196" w:rsidRPr="002D7196" w:rsidRDefault="002D7196" w:rsidP="002D7196">
            <w:r w:rsidRPr="002D7196">
              <w:t>83.7% (71.9-95.6%) </w:t>
            </w:r>
          </w:p>
        </w:tc>
      </w:tr>
      <w:tr w:rsidR="002D7196" w:rsidRPr="002D7196" w14:paraId="2F9181A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DA27370" w14:textId="77777777" w:rsidR="002D7196" w:rsidRPr="002D7196" w:rsidRDefault="002D7196" w:rsidP="002D7196">
            <w:r w:rsidRPr="002D7196">
              <w:t>Limited Access to Help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0C338567" w14:textId="77777777" w:rsidR="002D7196" w:rsidRPr="002D7196" w:rsidRDefault="002D7196" w:rsidP="002D7196">
            <w:r w:rsidRPr="002D7196">
              <w:t>58.3% (46.1-70.6%) </w:t>
            </w:r>
          </w:p>
        </w:tc>
      </w:tr>
      <w:tr w:rsidR="002D7196" w:rsidRPr="002D7196" w14:paraId="07280C76"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7C28D210" w14:textId="77777777" w:rsidR="002D7196" w:rsidRPr="002D7196" w:rsidRDefault="002D7196" w:rsidP="002D7196">
            <w:r w:rsidRPr="002D7196">
              <w:t>Threats/Abuse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450FB88F" w14:textId="77777777" w:rsidR="002D7196" w:rsidRPr="002D7196" w:rsidRDefault="002D7196" w:rsidP="002D7196">
            <w:r w:rsidRPr="002D7196">
              <w:t>57.3% (35.4-79.3%) </w:t>
            </w:r>
          </w:p>
        </w:tc>
      </w:tr>
      <w:tr w:rsidR="002D7196" w:rsidRPr="002D7196" w14:paraId="2B60D63C"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2672BB6C" w14:textId="77777777" w:rsidR="002D7196" w:rsidRPr="002D7196" w:rsidRDefault="002D7196" w:rsidP="002D7196">
            <w:r w:rsidRPr="002D7196">
              <w:t>Pay-Related Issues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1A8CECB0" w14:textId="77777777" w:rsidR="002D7196" w:rsidRPr="002D7196" w:rsidRDefault="002D7196" w:rsidP="002D7196">
            <w:r w:rsidRPr="002D7196">
              <w:t>49.5% (35.6-63.5%) </w:t>
            </w:r>
          </w:p>
        </w:tc>
      </w:tr>
      <w:tr w:rsidR="002D7196" w:rsidRPr="002D7196" w14:paraId="699A9B1F"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3D077B69" w14:textId="77777777" w:rsidR="002D7196" w:rsidRPr="002D7196" w:rsidRDefault="002D7196" w:rsidP="002D7196">
            <w:r w:rsidRPr="002D7196">
              <w:t>Document Withholding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63164D26" w14:textId="77777777" w:rsidR="002D7196" w:rsidRPr="002D7196" w:rsidRDefault="002D7196" w:rsidP="002D7196">
            <w:r w:rsidRPr="002D7196">
              <w:t>34.3% (16.4-52.2%) </w:t>
            </w:r>
          </w:p>
        </w:tc>
      </w:tr>
      <w:tr w:rsidR="002D7196" w:rsidRPr="002D7196" w14:paraId="0B3FB7BB" w14:textId="77777777" w:rsidTr="4D95AEC0">
        <w:trPr>
          <w:trHeight w:val="300"/>
        </w:trPr>
        <w:tc>
          <w:tcPr>
            <w:tcW w:w="6510" w:type="dxa"/>
            <w:tcBorders>
              <w:top w:val="single" w:sz="6" w:space="0" w:color="auto"/>
              <w:left w:val="single" w:sz="6" w:space="0" w:color="auto"/>
              <w:bottom w:val="single" w:sz="6" w:space="0" w:color="auto"/>
              <w:right w:val="single" w:sz="6" w:space="0" w:color="auto"/>
            </w:tcBorders>
            <w:vAlign w:val="center"/>
            <w:hideMark/>
          </w:tcPr>
          <w:p w14:paraId="6B3DD8D0" w14:textId="77777777" w:rsidR="002D7196" w:rsidRPr="002D7196" w:rsidRDefault="002D7196" w:rsidP="002D7196">
            <w:r w:rsidRPr="002D7196">
              <w:rPr>
                <w:i/>
                <w:iCs/>
              </w:rPr>
              <w:t>Note:</w:t>
            </w:r>
            <w:r w:rsidRPr="002D7196">
              <w:t xml:space="preserve"> Estimates adjusted for RDS sampling bias using Bayesian Model Assisted Inference of Gile &amp; Handcock (2015) (N=980,000, sample seed selection). Credible intervals from posterior distribution. </w:t>
            </w:r>
          </w:p>
        </w:tc>
        <w:tc>
          <w:tcPr>
            <w:tcW w:w="2490" w:type="dxa"/>
            <w:tcBorders>
              <w:top w:val="single" w:sz="6" w:space="0" w:color="auto"/>
              <w:left w:val="single" w:sz="6" w:space="0" w:color="auto"/>
              <w:bottom w:val="single" w:sz="6" w:space="0" w:color="auto"/>
              <w:right w:val="single" w:sz="6" w:space="0" w:color="auto"/>
            </w:tcBorders>
            <w:vAlign w:val="center"/>
            <w:hideMark/>
          </w:tcPr>
          <w:p w14:paraId="3EB39AA0" w14:textId="77777777" w:rsidR="002D7196" w:rsidRPr="002D7196" w:rsidRDefault="002D7196" w:rsidP="002D7196">
            <w:r w:rsidRPr="002D7196">
              <w:t> </w:t>
            </w:r>
          </w:p>
        </w:tc>
      </w:tr>
    </w:tbl>
    <w:p/>
    <w:p w14:paraId="2E5FA6B7" w14:textId="77777777" w:rsidR="007811A3" w:rsidRDefault="003B681D" w:rsidP="00E669D5">
      <w:pPr>
        <w:spacing w:line="480" w:lineRule="auto"/>
        <w:rPr>
          <w:rFonts w:ascii="var(--bs-body-font-family)" w:eastAsia="Times New Roman" w:hAnsi="var(--bs-body-font-family)"/>
          <w:noProof/>
          <w:lang w:val="en"/>
        </w:rPr>
      </w:pPr>
      <w:r>
        <w:rPr>
          <w:rFonts w:ascii="var(--bs-body-font-family)" w:eastAsia="Times New Roman" w:hAnsi="var(--bs-body-font-family)"/>
          <w:lang w:val="en"/>
        </w:rPr>
        <w:fldChar w:fldCharType="begin"/>
      </w:r>
      <w:r w:rsidR="00C15A01">
        <w:rPr>
          <w:rFonts w:ascii="var(--bs-body-font-family)" w:eastAsia="Times New Roman" w:hAnsi="var(--bs-body-font-family)"/>
          <w:lang w:val="en"/>
        </w:rPr>
        <w:instrText xml:space="preserve"> INCLUDEPICTURE "C:\\Users\\sm38679\\Documents\\GitHub\\DWeMSinUK\\paper\\IJOPM_paperDraft_202051012c_files\\figure-html\\fig-ma-binary-forest-1.png" \* MERGEFORMAT \d \x \y </w:instrText>
      </w:r>
      <w:r>
        <w:rPr>
          <w:rFonts w:ascii="var(--bs-body-font-family)" w:eastAsia="Times New Roman" w:hAnsi="var(--bs-body-font-family)"/>
          <w:lang w:val="en"/>
        </w:rPr>
        <w:fldChar w:fldCharType="separate"/>
      </w:r>
    </w:p>
    <w:p w14:paraId="2C63F2C1" w14:textId="06252743" w:rsidR="00812970" w:rsidRDefault="007811A3" w:rsidP="00E669D5">
      <w:pPr>
        <w:spacing w:line="480" w:lineRule="auto"/>
        <w:rPr>
          <w:rFonts w:ascii="var(--bs-body-font-family)" w:eastAsia="Times New Roman" w:hAnsi="var(--bs-body-font-family)"/>
          <w:noProof/>
          <w:lang w:val="en"/>
        </w:rPr>
      </w:pPr>
      <w:r>
        <w:rPr>
          <w:rFonts w:ascii="var(--bs-body-font-family)" w:eastAsia="Times New Roman" w:hAnsi="var(--bs-body-font-family)"/>
          <w:noProof/>
          <w:lang w:val="en"/>
        </w:rPr>
      </w:r>
      <w:r>
        <w:rPr>
          <w:i/>
          <w:color w:val="999999"/>
          <w:sz w:val="18"/>
        </w:rPr>
        <w:t>[Figure 4 inserted below]</w:t>
      </w:r>
    </w:p>
    <w:p>
      <w:pPr>
        <w:jc w:val="center"/>
      </w:pPr>
      <w:r>
        <w:drawing>
          <wp:inline xmlns:a="http://schemas.openxmlformats.org/drawingml/2006/main" xmlns:pic="http://schemas.openxmlformats.org/drawingml/2006/picture">
            <wp:extent cx="5486400" cy="3429000"/>
            <wp:docPr id="10" name="Picture 10"/>
            <wp:cNvGraphicFramePr>
              <a:graphicFrameLocks noChangeAspect="1"/>
            </wp:cNvGraphicFramePr>
            <a:graphic>
              <a:graphicData uri="http://schemas.openxmlformats.org/drawingml/2006/picture">
                <pic:pic>
                  <pic:nvPicPr>
                    <pic:cNvPr id="0" name="main_fig4_rds_forest_plot.png"/>
                    <pic:cNvPicPr/>
                  </pic:nvPicPr>
                  <pic:blipFill>
                    <a:blip r:embed="rId20"/>
                    <a:stretch>
                      <a:fillRect/>
                    </a:stretch>
                  </pic:blipFill>
                  <pic:spPr>
                    <a:xfrm>
                      <a:off x="0" y="0"/>
                      <a:ext cx="5486400" cy="3429000"/>
                    </a:xfrm>
                    <a:prstGeom prst="rect"/>
                  </pic:spPr>
                </pic:pic>
              </a:graphicData>
            </a:graphic>
          </wp:inline>
        </w:drawing>
      </w:r>
    </w:p>
    <w:p>
      <w:pPr>
        <w:jc w:val="center"/>
      </w:pPr>
      <w:r>
        <w:rPr>
          <w:i/>
          <w:sz w:val="20"/>
        </w:rPr>
        <w:t>Figure 4. RDS Prevalence Estimates by Method (RDS-I vs RDS-SS). Point estimates and per-method bootstrap 95% confidence intervals for the five binary exploitation indicators at N=980,000 domestic workers. RDS-I (Salganik-Heckathorn) shown in red; RDS-SS (Gile's Successive Sampling) shown in blue. Source: Authors' own work.</w:t>
      </w:r>
    </w:p>
    <w:p w14:paraId="1D90C9DC" w14:textId="6123904E" w:rsidR="00AA7A35" w:rsidRDefault="003B681D" w:rsidP="00E669D5">
      <w:pPr>
        <w:spacing w:line="480" w:lineRule="auto"/>
        <w:rPr>
          <w:rFonts w:ascii="var(--bs-body-font-family)" w:eastAsia="Times New Roman" w:hAnsi="var(--bs-body-font-family)"/>
          <w:lang w:val="en"/>
        </w:rPr>
      </w:pPr>
      <w:r>
        <w:rPr>
          <w:rFonts w:ascii="var(--bs-body-font-family)" w:eastAsia="Times New Roman" w:hAnsi="var(--bs-body-font-family)"/>
          <w:lang w:val="en"/>
        </w:rPr>
        <w:fldChar w:fldCharType="end"/>
      </w:r>
    </w:p>
    <w:p w14:paraId="53B7EFC5" w14:textId="7D732BB6"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Frequentist RDS Estimates</w:t>
      </w:r>
    </w:p>
    <w:p w14:paraId="0BF0DD26" w14:textId="2284E2C6" w:rsidR="00CD5FCF" w:rsidRDefault="00CD5FCF" w:rsidP="5002703E">
      <w:pPr>
        <w:pStyle w:val="NormalWeb"/>
        <w:spacing w:line="480" w:lineRule="auto"/>
        <w:divId w:val="1975518704"/>
        <w:rPr>
          <w:rFonts w:ascii="var(--bs-body-font-family)" w:hAnsi="var(--bs-body-font-family)" w:hint="eastAsia"/>
          <w:lang w:val="en-US"/>
        </w:rPr>
      </w:pPr>
    </w:p>
    <w:p w14:paraId="317CE557" w14:textId="2798BDD5" w:rsidR="00811BB7" w:rsidRDefault="00811BB7"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r>
      <w:r>
        <w:rPr>
          <w:i/>
          <w:color w:val="999999"/>
          <w:sz w:val="18"/>
        </w:rPr>
        <w:t>[Table 3 inserted below]</w:t>
      </w:r>
    </w:p>
    <w:p>
      <w:r>
        <w:rPr>
          <w:b/>
        </w:rPr>
        <w:t xml:space="preserve">Table 3 RDS Estimates of Binary Exploitation Indicators: Comparison of RDS-I and RDS-SS estimators with neighbourhood bootstrap confidence intervals (N=980,000).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6970"/>
        <w:gridCol w:w="1025"/>
        <w:gridCol w:w="1025"/>
      </w:tblGrid>
      <w:tr w:rsidR="001F5635" w14:paraId="128CE97B" w14:textId="77777777" w:rsidTr="0B366418">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6970DBF5" w14:textId="77777777" w:rsidR="001F5635" w:rsidRDefault="27D9326A" w:rsidP="3F6B0310">
            <w:pPr>
              <w:rPr>
                <w:rFonts w:asciiTheme="majorHAnsi" w:eastAsiaTheme="majorEastAsia" w:hAnsiTheme="majorHAnsi" w:cstheme="majorBidi"/>
                <w:b/>
                <w:bCs/>
              </w:rPr>
            </w:pPr>
            <w:r w:rsidRPr="3F6B0310">
              <w:rPr>
                <w:rFonts w:asciiTheme="majorHAnsi" w:eastAsiaTheme="majorEastAsia" w:hAnsiTheme="majorHAnsi" w:cstheme="majorBidi"/>
                <w:b/>
                <w:bCs/>
              </w:rPr>
              <w:t>Exploitation Indicator</w:t>
            </w:r>
          </w:p>
        </w:tc>
        <w:tc>
          <w:tcPr>
            <w:tcW w:w="0" w:type="auto"/>
            <w:tcBorders>
              <w:top w:val="single" w:sz="2" w:space="0" w:color="auto"/>
              <w:left w:val="single" w:sz="2" w:space="0" w:color="auto"/>
              <w:bottom w:val="single" w:sz="2" w:space="0" w:color="auto"/>
              <w:right w:val="single" w:sz="2" w:space="0" w:color="auto"/>
            </w:tcBorders>
            <w:vAlign w:val="center"/>
            <w:hideMark/>
          </w:tcPr>
          <w:p w14:paraId="29B33307"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RDS-I</w:t>
            </w:r>
          </w:p>
        </w:tc>
        <w:tc>
          <w:tcPr>
            <w:tcW w:w="0" w:type="auto"/>
            <w:tcBorders>
              <w:top w:val="single" w:sz="2" w:space="0" w:color="auto"/>
              <w:left w:val="single" w:sz="2" w:space="0" w:color="auto"/>
              <w:bottom w:val="single" w:sz="2" w:space="0" w:color="auto"/>
              <w:right w:val="single" w:sz="2" w:space="0" w:color="auto"/>
            </w:tcBorders>
            <w:vAlign w:val="center"/>
            <w:hideMark/>
          </w:tcPr>
          <w:p w14:paraId="5AB95208" w14:textId="77777777" w:rsidR="001F5635" w:rsidRDefault="27D9326A" w:rsidP="3F6B0310">
            <w:pPr>
              <w:jc w:val="right"/>
              <w:rPr>
                <w:rFonts w:asciiTheme="majorHAnsi" w:eastAsiaTheme="majorEastAsia" w:hAnsiTheme="majorHAnsi" w:cstheme="majorBidi"/>
                <w:b/>
                <w:bCs/>
              </w:rPr>
            </w:pPr>
            <w:r w:rsidRPr="3F6B0310">
              <w:rPr>
                <w:rFonts w:asciiTheme="majorHAnsi" w:eastAsiaTheme="majorEastAsia" w:hAnsiTheme="majorHAnsi" w:cstheme="majorBidi"/>
                <w:b/>
                <w:bCs/>
              </w:rPr>
              <w:t>RDS-SS</w:t>
            </w:r>
          </w:p>
        </w:tc>
      </w:tr>
      <w:tr w:rsidR="001F5635" w14:paraId="0828CBE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42E5CEBA" w14:textId="77777777" w:rsidR="001F5635" w:rsidRDefault="27D9326A" w:rsidP="3F6B0310">
            <w:pPr>
              <w:rPr>
                <w:rFonts w:asciiTheme="minorHAnsi" w:hAnsiTheme="minorHAnsi" w:cstheme="minorBidi"/>
              </w:rPr>
            </w:pPr>
            <w:r w:rsidRPr="3F6B0310">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5389482" w14:textId="77777777" w:rsidR="001F5635" w:rsidRDefault="27D9326A" w:rsidP="3F6B0310">
            <w:pPr>
              <w:jc w:val="right"/>
              <w:rPr>
                <w:rFonts w:asciiTheme="minorHAnsi" w:hAnsiTheme="minorHAnsi" w:cstheme="minorBidi"/>
              </w:rPr>
            </w:pPr>
            <w:r w:rsidRPr="3F6B0310">
              <w:rPr>
                <w:rFonts w:asciiTheme="minorHAnsi" w:hAnsiTheme="minorHAnsi" w:cstheme="minorBidi"/>
              </w:rPr>
              <w:t>49.4% (25.3–56.3)</w:t>
            </w:r>
          </w:p>
        </w:tc>
        <w:tc>
          <w:tcPr>
            <w:tcW w:w="0" w:type="auto"/>
            <w:tcBorders>
              <w:top w:val="single" w:sz="2" w:space="0" w:color="auto"/>
              <w:left w:val="single" w:sz="2" w:space="0" w:color="auto"/>
              <w:bottom w:val="single" w:sz="2" w:space="0" w:color="auto"/>
              <w:right w:val="single" w:sz="2" w:space="0" w:color="auto"/>
            </w:tcBorders>
            <w:vAlign w:val="center"/>
            <w:hideMark/>
          </w:tcPr>
          <w:p w14:paraId="66A5F805" w14:textId="77777777" w:rsidR="001F5635" w:rsidRDefault="27D9326A" w:rsidP="3F6B0310">
            <w:pPr>
              <w:jc w:val="right"/>
              <w:rPr>
                <w:rFonts w:asciiTheme="minorHAnsi" w:hAnsiTheme="minorHAnsi" w:cstheme="minorBidi"/>
              </w:rPr>
            </w:pPr>
            <w:r w:rsidRPr="3F6B0310">
              <w:rPr>
                <w:rFonts w:asciiTheme="minorHAnsi" w:hAnsiTheme="minorHAnsi" w:cstheme="minorBidi"/>
              </w:rPr>
              <w:t>34.2% (25.2–56.0)</w:t>
            </w:r>
          </w:p>
        </w:tc>
      </w:tr>
      <w:tr w:rsidR="001F5635" w14:paraId="01EE640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20225E71" w14:textId="77777777" w:rsidR="001F5635" w:rsidRDefault="27D9326A" w:rsidP="3F6B0310">
            <w:pPr>
              <w:rPr>
                <w:rFonts w:asciiTheme="minorHAnsi" w:hAnsiTheme="minorHAnsi" w:cstheme="minorBidi"/>
              </w:rPr>
            </w:pPr>
            <w:r w:rsidRPr="3F6B0310">
              <w:rPr>
                <w:rFonts w:asciiTheme="minorHAnsi" w:hAnsiTheme="minorHAnsi" w:cstheme="minorBidi"/>
              </w:rPr>
              <w:t>Excessive working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618DD783" w14:textId="77777777" w:rsidR="001F5635" w:rsidRDefault="27D9326A" w:rsidP="3F6B0310">
            <w:pPr>
              <w:jc w:val="right"/>
              <w:rPr>
                <w:rFonts w:asciiTheme="minorHAnsi" w:hAnsiTheme="minorHAnsi" w:cstheme="minorBidi"/>
              </w:rPr>
            </w:pPr>
            <w:r w:rsidRPr="3F6B0310">
              <w:rPr>
                <w:rFonts w:asciiTheme="minorHAnsi" w:hAnsiTheme="minorHAnsi" w:cstheme="minorBidi"/>
              </w:rPr>
              <w:t>92.8% (71.4–92.9)</w:t>
            </w:r>
          </w:p>
        </w:tc>
        <w:tc>
          <w:tcPr>
            <w:tcW w:w="0" w:type="auto"/>
            <w:tcBorders>
              <w:top w:val="single" w:sz="2" w:space="0" w:color="auto"/>
              <w:left w:val="single" w:sz="2" w:space="0" w:color="auto"/>
              <w:bottom w:val="single" w:sz="2" w:space="0" w:color="auto"/>
              <w:right w:val="single" w:sz="2" w:space="0" w:color="auto"/>
            </w:tcBorders>
            <w:vAlign w:val="center"/>
            <w:hideMark/>
          </w:tcPr>
          <w:p w14:paraId="19919ADA" w14:textId="77777777" w:rsidR="001F5635" w:rsidRDefault="27D9326A" w:rsidP="3F6B0310">
            <w:pPr>
              <w:jc w:val="right"/>
              <w:rPr>
                <w:rFonts w:asciiTheme="minorHAnsi" w:hAnsiTheme="minorHAnsi" w:cstheme="minorBidi"/>
              </w:rPr>
            </w:pPr>
            <w:r w:rsidRPr="3F6B0310">
              <w:rPr>
                <w:rFonts w:asciiTheme="minorHAnsi" w:hAnsiTheme="minorHAnsi" w:cstheme="minorBidi"/>
              </w:rPr>
              <w:t>83.7% (71.5–93.0)</w:t>
            </w:r>
          </w:p>
        </w:tc>
      </w:tr>
      <w:tr w:rsidR="001F5635" w14:paraId="5364E4B1"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317F46CB" w14:textId="77777777" w:rsidR="001F5635" w:rsidRDefault="27D9326A" w:rsidP="3F6B0310">
            <w:pPr>
              <w:rPr>
                <w:rFonts w:asciiTheme="minorHAnsi" w:hAnsiTheme="minorHAnsi" w:cstheme="minorBidi"/>
              </w:rPr>
            </w:pPr>
            <w:r w:rsidRPr="3F6B0310">
              <w:rPr>
                <w:rFonts w:asciiTheme="minorHAnsi" w:hAnsiTheme="minorHAnsi" w:cstheme="minorBidi"/>
              </w:rPr>
              <w:t>Limited 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7ACB97B6" w14:textId="77777777" w:rsidR="001F5635" w:rsidRDefault="27D9326A" w:rsidP="3F6B0310">
            <w:pPr>
              <w:jc w:val="right"/>
              <w:rPr>
                <w:rFonts w:asciiTheme="minorHAnsi" w:hAnsiTheme="minorHAnsi" w:cstheme="minorBidi"/>
              </w:rPr>
            </w:pPr>
            <w:r w:rsidRPr="3F6B0310">
              <w:rPr>
                <w:rFonts w:asciiTheme="minorHAnsi" w:hAnsiTheme="minorHAnsi" w:cstheme="minorBidi"/>
              </w:rPr>
              <w:t>57.7% (55.1–80.3)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881A46" w14:textId="77777777" w:rsidR="001F5635" w:rsidRDefault="27D9326A" w:rsidP="3F6B0310">
            <w:pPr>
              <w:jc w:val="right"/>
              <w:rPr>
                <w:rFonts w:asciiTheme="minorHAnsi" w:hAnsiTheme="minorHAnsi" w:cstheme="minorBidi"/>
              </w:rPr>
            </w:pPr>
            <w:r w:rsidRPr="3F6B0310">
              <w:rPr>
                <w:rFonts w:asciiTheme="minorHAnsi" w:hAnsiTheme="minorHAnsi" w:cstheme="minorBidi"/>
              </w:rPr>
              <w:t>59.4% (54.7–80.2)</w:t>
            </w:r>
          </w:p>
        </w:tc>
      </w:tr>
      <w:tr w:rsidR="001F5635" w14:paraId="02F79C4A"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60A63E7A" w14:textId="77777777" w:rsidR="001F5635" w:rsidRDefault="27D9326A" w:rsidP="3F6B0310">
            <w:pPr>
              <w:rPr>
                <w:rFonts w:asciiTheme="minorHAnsi" w:hAnsiTheme="minorHAnsi" w:cstheme="minorBidi"/>
              </w:rPr>
            </w:pPr>
            <w:r w:rsidRPr="3F6B0310">
              <w:rPr>
                <w:rFonts w:asciiTheme="minorHAnsi" w:hAnsiTheme="minorHAnsi" w:cstheme="minorBidi"/>
              </w:rPr>
              <w:t>Pay-related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64B7C8E7" w14:textId="77777777" w:rsidR="001F5635" w:rsidRDefault="27D9326A" w:rsidP="3F6B0310">
            <w:pPr>
              <w:jc w:val="right"/>
              <w:rPr>
                <w:rFonts w:asciiTheme="minorHAnsi" w:hAnsiTheme="minorHAnsi" w:cstheme="minorBidi"/>
              </w:rPr>
            </w:pPr>
            <w:r w:rsidRPr="3F6B0310">
              <w:rPr>
                <w:rFonts w:asciiTheme="minorHAnsi" w:hAnsiTheme="minorHAnsi" w:cstheme="minorBidi"/>
              </w:rPr>
              <w:t>59.3% (34.2–63.5)</w:t>
            </w:r>
          </w:p>
        </w:tc>
        <w:tc>
          <w:tcPr>
            <w:tcW w:w="0" w:type="auto"/>
            <w:tcBorders>
              <w:top w:val="single" w:sz="2" w:space="0" w:color="auto"/>
              <w:left w:val="single" w:sz="2" w:space="0" w:color="auto"/>
              <w:bottom w:val="single" w:sz="2" w:space="0" w:color="auto"/>
              <w:right w:val="single" w:sz="2" w:space="0" w:color="auto"/>
            </w:tcBorders>
            <w:vAlign w:val="center"/>
            <w:hideMark/>
          </w:tcPr>
          <w:p w14:paraId="79A3260C" w14:textId="77777777" w:rsidR="001F5635" w:rsidRDefault="27D9326A" w:rsidP="3F6B0310">
            <w:pPr>
              <w:jc w:val="right"/>
              <w:rPr>
                <w:rFonts w:asciiTheme="minorHAnsi" w:hAnsiTheme="minorHAnsi" w:cstheme="minorBidi"/>
              </w:rPr>
            </w:pPr>
            <w:r w:rsidRPr="3F6B0310">
              <w:rPr>
                <w:rFonts w:asciiTheme="minorHAnsi" w:hAnsiTheme="minorHAnsi" w:cstheme="minorBidi"/>
              </w:rPr>
              <w:t>49.7% (34.8–63.4)</w:t>
            </w:r>
          </w:p>
        </w:tc>
      </w:tr>
      <w:tr w:rsidR="001F5635" w14:paraId="682AC052" w14:textId="77777777" w:rsidTr="0B366418">
        <w:tc>
          <w:tcPr>
            <w:tcW w:w="0" w:type="auto"/>
            <w:tcBorders>
              <w:top w:val="single" w:sz="2" w:space="0" w:color="auto"/>
              <w:left w:val="single" w:sz="2" w:space="0" w:color="auto"/>
              <w:bottom w:val="single" w:sz="2" w:space="0" w:color="auto"/>
              <w:right w:val="single" w:sz="2" w:space="0" w:color="auto"/>
            </w:tcBorders>
            <w:vAlign w:val="center"/>
            <w:hideMark/>
          </w:tcPr>
          <w:p w14:paraId="70337528" w14:textId="77777777" w:rsidR="001F5635" w:rsidRDefault="27D9326A" w:rsidP="3F6B0310">
            <w:pPr>
              <w:rPr>
                <w:rFonts w:asciiTheme="minorHAnsi" w:hAnsiTheme="minorHAnsi" w:cstheme="minorBidi"/>
              </w:rPr>
            </w:pPr>
            <w:r w:rsidRPr="3F6B0310">
              <w:rPr>
                <w:rFonts w:asciiTheme="minorHAnsi" w:hAnsiTheme="minorHAnsi" w:cstheme="minorBidi"/>
              </w:rPr>
              <w:t>Threats and 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01227B2B" w14:textId="77777777" w:rsidR="001F5635" w:rsidRDefault="27D9326A" w:rsidP="3F6B0310">
            <w:pPr>
              <w:jc w:val="right"/>
              <w:rPr>
                <w:rFonts w:asciiTheme="minorHAnsi" w:hAnsiTheme="minorHAnsi" w:cstheme="minorBidi"/>
              </w:rPr>
            </w:pPr>
            <w:r w:rsidRPr="3F6B0310">
              <w:rPr>
                <w:rFonts w:asciiTheme="minorHAnsi" w:hAnsiTheme="minorHAnsi" w:cstheme="minorBidi"/>
              </w:rPr>
              <w:t>65.2% (40.5–72.1)</w:t>
            </w:r>
          </w:p>
        </w:tc>
        <w:tc>
          <w:tcPr>
            <w:tcW w:w="0" w:type="auto"/>
            <w:tcBorders>
              <w:top w:val="single" w:sz="2" w:space="0" w:color="auto"/>
              <w:left w:val="single" w:sz="2" w:space="0" w:color="auto"/>
              <w:bottom w:val="single" w:sz="2" w:space="0" w:color="auto"/>
              <w:right w:val="single" w:sz="2" w:space="0" w:color="auto"/>
            </w:tcBorders>
            <w:vAlign w:val="center"/>
            <w:hideMark/>
          </w:tcPr>
          <w:p w14:paraId="22DBDFF0" w14:textId="77777777" w:rsidR="001F5635" w:rsidRDefault="27D9326A" w:rsidP="3F6B0310">
            <w:pPr>
              <w:jc w:val="right"/>
              <w:rPr>
                <w:rFonts w:asciiTheme="minorHAnsi" w:hAnsiTheme="minorHAnsi" w:cstheme="minorBidi"/>
              </w:rPr>
            </w:pPr>
            <w:r w:rsidRPr="3F6B0310">
              <w:rPr>
                <w:rFonts w:asciiTheme="minorHAnsi" w:hAnsiTheme="minorHAnsi" w:cstheme="minorBidi"/>
              </w:rPr>
              <w:t>57.2% (40.1–72.3)</w:t>
            </w:r>
          </w:p>
        </w:tc>
      </w:tr>
      <w:tr w:rsidR="001F5635" w14:paraId="35224370" w14:textId="77777777" w:rsidTr="0B366418">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4B20EFBB" w14:textId="77777777" w:rsidR="001F5635" w:rsidRDefault="27D9326A" w:rsidP="3F6B0310">
            <w:pPr>
              <w:rPr>
                <w:rFonts w:asciiTheme="minorHAnsi" w:hAnsiTheme="minorHAnsi" w:cstheme="minorBidi"/>
              </w:rPr>
            </w:pPr>
            <w:r w:rsidRPr="3F6B0310">
              <w:rPr>
                <w:rFonts w:asciiTheme="minorHAnsi" w:hAnsiTheme="minorHAnsi" w:cstheme="minorBidi"/>
                <w:i/>
                <w:iCs/>
              </w:rPr>
              <w:t>Note:</w:t>
            </w:r>
            <w:r w:rsidRPr="3F6B0310">
              <w:rPr>
                <w:rFonts w:asciiTheme="minorHAnsi" w:hAnsiTheme="minorHAnsi" w:cstheme="minorBidi"/>
              </w:rPr>
              <w:t xml:space="preserve"> RDS-I: Salganik-Heckathorn estimator. RDS-SS: Gile's Successive Sampling estimator. Confidence intervals from neighbourhood bootstrap (n=1000). Population size: 980,000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4999A450" w14:textId="77777777" w:rsidR="001F5635" w:rsidRDefault="001F5635" w:rsidP="3F6B0310">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26416090" w14:textId="77777777" w:rsidR="001F5635" w:rsidRDefault="001F5635" w:rsidP="3F6B0310">
            <w:pPr>
              <w:jc w:val="right"/>
              <w:rPr>
                <w:rFonts w:asciiTheme="minorHAnsi" w:hAnsiTheme="minorHAnsi" w:cstheme="minorBidi"/>
                <w:sz w:val="20"/>
                <w:szCs w:val="20"/>
              </w:rPr>
            </w:pPr>
          </w:p>
        </w:tc>
      </w:tr>
    </w:tbl>
    <w:p/>
    <w:p w14:paraId="2A18F7FE" w14:textId="03E9CD42" w:rsidR="004E568D" w:rsidRDefault="004E568D" w:rsidP="00E669D5">
      <w:pPr>
        <w:spacing w:line="480" w:lineRule="auto"/>
        <w:divId w:val="1975518704"/>
        <w:rPr>
          <w:rFonts w:ascii="var(--bs-body-font-family)" w:eastAsia="Times New Roman" w:hAnsi="var(--bs-body-font-family)"/>
          <w:lang w:val="en"/>
        </w:rPr>
      </w:pPr>
      <w:r>
        <w:rPr>
          <w:rFonts w:ascii="var(--bs-body-font-family)" w:eastAsia="Times New Roman" w:hAnsi="var(--bs-body-font-family)"/>
          <w:noProof/>
          <w:lang w:val="en"/>
        </w:rPr>
      </w:r>
      <w:r w:rsidR="00ED6819">
        <w:rPr>
          <w:rFonts w:ascii="var(--bs-body-font-family)" w:eastAsia="Times New Roman" w:hAnsi="var(--bs-body-font-family)"/>
          <w:noProof/>
          <w:lang w:val="en"/>
        </w:rPr>
      </w:r>
      <w:r>
        <w:rPr>
          <w:rFonts w:ascii="var(--bs-body-font-family)" w:eastAsia="Times New Roman" w:hAnsi="var(--bs-body-font-family)"/>
          <w:noProof/>
          <w:lang w:val="en"/>
        </w:rPr>
      </w:r>
      <w:r>
        <w:rPr>
          <w:rFonts w:ascii="var(--bs-body-font-family)" w:eastAsia="Times New Roman" w:hAnsi="var(--bs-body-font-family)"/>
          <w:lang w:val="en"/>
        </w:rPr>
      </w:r>
      <w:r>
        <w:rPr>
          <w:i/>
          <w:color w:val="999999"/>
          <w:sz w:val="18"/>
        </w:rPr>
        <w:t>[Figure 5 inserted below]</w:t>
      </w:r>
    </w:p>
    <w:p>
      <w:pPr>
        <w:jc w:val="center"/>
      </w:pPr>
      <w:r>
        <w:drawing>
          <wp:inline xmlns:a="http://schemas.openxmlformats.org/drawingml/2006/main" xmlns:pic="http://schemas.openxmlformats.org/drawingml/2006/picture">
            <wp:extent cx="5486400" cy="3429000"/>
            <wp:docPr id="11" name="Picture 11"/>
            <wp:cNvGraphicFramePr>
              <a:graphicFrameLocks noChangeAspect="1"/>
            </wp:cNvGraphicFramePr>
            <a:graphic>
              <a:graphicData uri="http://schemas.openxmlformats.org/drawingml/2006/picture">
                <pic:pic>
                  <pic:nvPicPr>
                    <pic:cNvPr id="0" name="main_fig5_nsum_forest_plot.png"/>
                    <pic:cNvPicPr/>
                  </pic:nvPicPr>
                  <pic:blipFill>
                    <a:blip r:embed="rId21"/>
                    <a:stretch>
                      <a:fillRect/>
                    </a:stretch>
                  </pic:blipFill>
                  <pic:spPr>
                    <a:xfrm>
                      <a:off x="0" y="0"/>
                      <a:ext cx="5486400" cy="3429000"/>
                    </a:xfrm>
                    <a:prstGeom prst="rect"/>
                  </pic:spPr>
                </pic:pic>
              </a:graphicData>
            </a:graphic>
          </wp:inline>
        </w:drawing>
      </w:r>
    </w:p>
    <w:p>
      <w:pPr>
        <w:jc w:val="center"/>
      </w:pPr>
      <w:r>
        <w:rPr>
          <w:i/>
          <w:sz w:val="20"/>
        </w:rPr>
        <w:t>Figure 5. NSUM Prevalence Estimates. Modified Basic Scale-Up (MBSU, Moderate adjustment) estimator with neighbourhood-bootstrap 95% confidence intervals for the five binary exploitation indicators at N=980,000 domestic workers. Source: Authors' own work.</w:t>
      </w:r>
    </w:p>
    <w:p w14:paraId="2A475308" w14:textId="77777777" w:rsidR="004E568D" w:rsidRDefault="004E568D" w:rsidP="00E669D5">
      <w:pPr>
        <w:spacing w:line="480" w:lineRule="auto"/>
        <w:divId w:val="1975518704"/>
        <w:rPr>
          <w:rFonts w:eastAsia="Times New Roman"/>
          <w:lang w:val="en"/>
        </w:rPr>
      </w:pPr>
    </w:p>
    <w:p w14:paraId="18082ACF" w14:textId="6E3DA898" w:rsidR="00AA7A35" w:rsidRPr="006C4698" w:rsidRDefault="00ED6819" w:rsidP="00E669D5">
      <w:pPr>
        <w:spacing w:line="480" w:lineRule="auto"/>
        <w:divId w:val="1975518704"/>
        <w:rPr>
          <w:rFonts w:eastAsia="Times New Roman"/>
          <w:u w:val="single"/>
          <w:lang w:val="en"/>
        </w:rPr>
      </w:pPr>
      <w:r>
        <w:rPr>
          <w:rFonts w:eastAsia="Times New Roman"/>
          <w:lang w:val="en"/>
        </w:rPr>
        <w:t>4</w:t>
      </w:r>
      <w:r w:rsidR="007E6C65" w:rsidRPr="007E6C65">
        <w:rPr>
          <w:rFonts w:eastAsia="Times New Roman"/>
          <w:lang w:val="en"/>
        </w:rPr>
        <w:t>.6</w:t>
      </w:r>
      <w:r w:rsidR="007E6C65" w:rsidRPr="007E6C65">
        <w:rPr>
          <w:rFonts w:eastAsia="Times New Roman"/>
          <w:lang w:val="en"/>
        </w:rPr>
        <w:tab/>
      </w:r>
      <w:r w:rsidR="007E6C65" w:rsidRPr="006C4698">
        <w:rPr>
          <w:rFonts w:eastAsia="Times New Roman"/>
          <w:u w:val="single"/>
          <w:lang w:val="en"/>
        </w:rPr>
        <w:t>Network Scale-Up Method (NSUM) Estimates</w:t>
      </w:r>
    </w:p>
    <w:p w14:paraId="0C5F0984" w14:textId="0EB02AAF" w:rsidR="00AA7A35" w:rsidRDefault="003B681D" w:rsidP="00E669D5">
      <w:pPr>
        <w:pStyle w:val="NormalWeb"/>
        <w:spacing w:line="480" w:lineRule="auto"/>
        <w:divId w:val="1975518704"/>
        <w:rPr>
          <w:rFonts w:ascii="var(--bs-body-font-family)" w:hAnsi="var(--bs-body-font-family)" w:hint="eastAsia"/>
          <w:lang w:val="en"/>
        </w:rPr>
      </w:pPr>
      <w:r>
        <w:rPr>
          <w:rFonts w:ascii="var(--bs-body-font-family)" w:hAnsi="var(--bs-body-font-family)"/>
          <w:lang w:val="en"/>
        </w:rPr>
        <w:t xml:space="preserve">Using the Modified Basic Scale-Up (MBSU) estimator </w:t>
      </w:r>
      <w:r w:rsidR="007D24AD">
        <w:rPr>
          <w:rFonts w:ascii="var(--bs-body-font-family)" w:hAnsi="var(--bs-body-font-family)" w:hint="eastAsia"/>
          <w:lang w:val="en"/>
        </w:rPr>
        <w:fldChar w:fldCharType="begin"/>
      </w:r>
      <w:r w:rsidR="00B459A2">
        <w:rPr>
          <w:rFonts w:ascii="var(--bs-body-font-family)" w:hAnsi="var(--bs-body-font-family)" w:hint="eastAsia"/>
          <w:lang w:val="en"/>
        </w:rPr>
        <w:instrText xml:space="preserve"> ADDIN ZOTERO_ITEM CSL_CITATION {"citationID":"DxUUXNH7","properties":{"formattedCitation":"(Feehan and Salganick, 2016)","plainCitation":"(Feehan and Salganick, 2016)","noteIndex":0},"citationItems":[{"id":17,"uris":["http://zotero.org/users/local/nMxJkNMP/items/3NZ65AM9"],"itemData":{"id":17,"type":"webpage","title":"Generalizing the Network Scale-up Method: A New Estimator for the Size of Hidden Populations - Dennis M. Feehan, Matthew J. Salganik, 2016","URL":"https://journals.sagepub.com/doi/10.1177/0081175016665425","author":[{"family":"Feehan","given":"Dennis M"},{"family":"Salganick","given":"Matthew J"}],"accessed":{"date-parts":[["2024",3,12]]},"issued":{"date-parts":[["2016"]]}}}],"schema":"https://github.com/citation-style-language/schema/raw/master/csl-citation.json"} </w:instrText>
      </w:r>
      <w:r w:rsidR="007D24AD">
        <w:rPr>
          <w:rFonts w:ascii="var(--bs-body-font-family)" w:hAnsi="var(--bs-body-font-family)" w:hint="eastAsia"/>
          <w:lang w:val="en"/>
        </w:rPr>
        <w:fldChar w:fldCharType="separate"/>
      </w:r>
      <w:r w:rsidR="00B459A2" w:rsidRPr="00B459A2">
        <w:rPr>
          <w:rFonts w:ascii="var(--bs-body-font-family)" w:hAnsi="var(--bs-body-font-family)"/>
        </w:rPr>
        <w:t>(Feehan and Salganick, 2016)</w:t>
      </w:r>
      <w:r w:rsidR="007D24AD">
        <w:rPr>
          <w:rFonts w:ascii="var(--bs-body-font-family)" w:hAnsi="var(--bs-body-font-family)" w:hint="eastAsia"/>
          <w:lang w:val="en"/>
        </w:rPr>
        <w:fldChar w:fldCharType="end"/>
      </w:r>
      <w:r>
        <w:rPr>
          <w:rFonts w:ascii="var(--bs-body-font-family)" w:hAnsi="var(--bs-body-font-family)"/>
          <w:lang w:val="en"/>
        </w:rPr>
        <w:t xml:space="preserve"> with Sequential Sampling weights and a UK domestic worker population of 980,000, </w:t>
      </w:r>
      <w:r w:rsidRPr="0043214D">
        <w:rPr>
          <w:rFonts w:ascii="var(--bs-body-font-family)" w:hAnsi="var(--bs-body-font-family)"/>
          <w:lang w:val="en"/>
        </w:rPr>
        <w:t>Table </w:t>
      </w:r>
      <w:r w:rsidR="0043214D">
        <w:rPr>
          <w:rFonts w:ascii="var(--bs-body-font-family)" w:hAnsi="var(--bs-body-font-family)"/>
          <w:lang w:val="en"/>
        </w:rPr>
        <w:t>4</w:t>
      </w:r>
      <w:r>
        <w:rPr>
          <w:rFonts w:ascii="var(--bs-body-font-family)" w:hAnsi="var(--bs-body-font-family)"/>
          <w:lang w:val="en"/>
        </w:rPr>
        <w:t xml:space="preserve"> presents prevalence estimates under three adjustment scenarios: (1) unadjusted baseline (δ=1.0, τ=1.0), (2) moderate adjustments (δ=0.9, τ=0.85), and (3) conservative adjustments (δ=0.8, τ=0.7).</w:t>
      </w:r>
    </w:p>
    <w:p w14:paraId="34FCB6E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NSUM estimates show substantial sensitivity to adjustment factor assumptions. Unadjusted estimates range from 0.83% (document withholding) to 2.28% (excessive hours). Conservative adjustments accounting for network degree differences and visibility barriers produce estimates approximately 1.8 times higher—ranging from 1.48% to 4.08%—while moderate adjustments yield intermediate values approximately 1.3 times the baseline. Wide confidence intervals reflect substantial uncertainty inherent in network-based estimation methods, particularly for small hidden populations.</w:t>
      </w:r>
    </w:p>
    <w:p w14:paraId="446D4B2B" w14:textId="73C7C0C1" w:rsidR="00811BB7" w:rsidRDefault="00811BB7" w:rsidP="001840FB">
      <w:pPr>
        <w:spacing w:line="480" w:lineRule="auto"/>
        <w:rPr>
          <w:rFonts w:ascii="var(--bs-body-font-family)" w:eastAsia="Times New Roman" w:hAnsi="var(--bs-body-font-family)"/>
          <w:lang w:val="en"/>
        </w:rPr>
      </w:pPr>
      <w:r>
        <w:rPr>
          <w:rFonts w:ascii="var(--bs-body-font-family)" w:eastAsia="Times New Roman" w:hAnsi="var(--bs-body-font-family)"/>
          <w:lang w:val="en"/>
        </w:rPr>
      </w:r>
      <w:r>
        <w:rPr>
          <w:i/>
          <w:color w:val="999999"/>
          <w:sz w:val="18"/>
        </w:rPr>
        <w:t>[Table 4 inserted below]</w:t>
      </w:r>
    </w:p>
    <w:p>
      <w:r>
        <w:rPr>
          <w:b/>
        </w:rPr>
        <w:t xml:space="preserve">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w:t>
      </w:r>
    </w:p>
    <w:tbl>
      <w:tblPr>
        <w:tblW w:w="5000" w:type="pct"/>
        <w:tblBorders>
          <w:top w:val="single" w:sz="6" w:space="0" w:color="D7D7D8"/>
          <w:bottom w:val="single" w:sz="6" w:space="0" w:color="D7D7D8"/>
        </w:tblBorders>
        <w:tblCellMar>
          <w:top w:w="15" w:type="dxa"/>
          <w:left w:w="15" w:type="dxa"/>
          <w:bottom w:w="15" w:type="dxa"/>
          <w:right w:w="15" w:type="dxa"/>
        </w:tblCellMar>
        <w:tblLook w:val="04A0" w:firstRow="1" w:lastRow="0" w:firstColumn="1" w:lastColumn="0" w:noHBand="0" w:noVBand="1"/>
      </w:tblPr>
      <w:tblGrid>
        <w:gridCol w:w="2832"/>
        <w:gridCol w:w="1546"/>
        <w:gridCol w:w="1193"/>
        <w:gridCol w:w="1193"/>
        <w:gridCol w:w="1065"/>
        <w:gridCol w:w="1191"/>
      </w:tblGrid>
      <w:tr w:rsidR="00BF0545" w14:paraId="49813453" w14:textId="77777777" w:rsidTr="0E66DB5B">
        <w:trPr>
          <w:tblHeader/>
        </w:trPr>
        <w:tc>
          <w:tcPr>
            <w:tcW w:w="0" w:type="auto"/>
            <w:tcBorders>
              <w:top w:val="single" w:sz="2" w:space="0" w:color="auto"/>
              <w:left w:val="single" w:sz="2" w:space="0" w:color="auto"/>
              <w:bottom w:val="single" w:sz="2" w:space="0" w:color="auto"/>
              <w:right w:val="single" w:sz="2" w:space="0" w:color="auto"/>
            </w:tcBorders>
            <w:vAlign w:val="center"/>
            <w:hideMark/>
          </w:tcPr>
          <w:p w14:paraId="3B8E1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Adjustment Method</w:t>
            </w:r>
          </w:p>
        </w:tc>
        <w:tc>
          <w:tcPr>
            <w:tcW w:w="0" w:type="auto"/>
            <w:tcBorders>
              <w:top w:val="single" w:sz="2" w:space="0" w:color="auto"/>
              <w:left w:val="single" w:sz="2" w:space="0" w:color="auto"/>
              <w:bottom w:val="single" w:sz="2" w:space="0" w:color="auto"/>
              <w:right w:val="single" w:sz="2" w:space="0" w:color="auto"/>
            </w:tcBorders>
            <w:vAlign w:val="center"/>
            <w:hideMark/>
          </w:tcPr>
          <w:p w14:paraId="55F50048"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Outcome</w:t>
            </w:r>
          </w:p>
        </w:tc>
        <w:tc>
          <w:tcPr>
            <w:tcW w:w="0" w:type="auto"/>
            <w:tcBorders>
              <w:top w:val="single" w:sz="2" w:space="0" w:color="auto"/>
              <w:left w:val="single" w:sz="2" w:space="0" w:color="auto"/>
              <w:bottom w:val="single" w:sz="2" w:space="0" w:color="auto"/>
              <w:right w:val="single" w:sz="2" w:space="0" w:color="auto"/>
            </w:tcBorders>
            <w:vAlign w:val="center"/>
            <w:hideMark/>
          </w:tcPr>
          <w:p w14:paraId="3318A006"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Point Estimate</w:t>
            </w:r>
          </w:p>
        </w:tc>
        <w:tc>
          <w:tcPr>
            <w:tcW w:w="0" w:type="auto"/>
            <w:tcBorders>
              <w:top w:val="single" w:sz="2" w:space="0" w:color="auto"/>
              <w:left w:val="single" w:sz="2" w:space="0" w:color="auto"/>
              <w:bottom w:val="single" w:sz="2" w:space="0" w:color="auto"/>
              <w:right w:val="single" w:sz="2" w:space="0" w:color="auto"/>
            </w:tcBorders>
            <w:vAlign w:val="center"/>
            <w:hideMark/>
          </w:tcPr>
          <w:p w14:paraId="52BFE629"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Lower</w:t>
            </w:r>
          </w:p>
        </w:tc>
        <w:tc>
          <w:tcPr>
            <w:tcW w:w="0" w:type="auto"/>
            <w:tcBorders>
              <w:top w:val="single" w:sz="2" w:space="0" w:color="auto"/>
              <w:left w:val="single" w:sz="2" w:space="0" w:color="auto"/>
              <w:bottom w:val="single" w:sz="2" w:space="0" w:color="auto"/>
              <w:right w:val="single" w:sz="2" w:space="0" w:color="auto"/>
            </w:tcBorders>
            <w:vAlign w:val="center"/>
            <w:hideMark/>
          </w:tcPr>
          <w:p w14:paraId="26EDA6E3" w14:textId="77777777" w:rsidR="00BF0545" w:rsidRDefault="4B99046E" w:rsidP="601567A6">
            <w:pPr>
              <w:jc w:val="right"/>
              <w:rPr>
                <w:rFonts w:asciiTheme="majorHAnsi" w:eastAsiaTheme="majorEastAsia" w:hAnsiTheme="majorHAnsi" w:cstheme="majorBidi"/>
                <w:b/>
                <w:bCs/>
              </w:rPr>
            </w:pPr>
            <w:r w:rsidRPr="601567A6">
              <w:rPr>
                <w:rFonts w:asciiTheme="majorHAnsi" w:eastAsiaTheme="majorEastAsia" w:hAnsiTheme="majorHAnsi" w:cstheme="majorBidi"/>
                <w:b/>
                <w:bCs/>
              </w:rPr>
              <w:t>95% CI Upper</w:t>
            </w:r>
          </w:p>
        </w:tc>
        <w:tc>
          <w:tcPr>
            <w:tcW w:w="0" w:type="auto"/>
            <w:tcBorders>
              <w:top w:val="single" w:sz="2" w:space="0" w:color="auto"/>
              <w:left w:val="single" w:sz="2" w:space="0" w:color="auto"/>
              <w:bottom w:val="single" w:sz="2" w:space="0" w:color="auto"/>
              <w:right w:val="single" w:sz="2" w:space="0" w:color="auto"/>
            </w:tcBorders>
            <w:vAlign w:val="center"/>
            <w:hideMark/>
          </w:tcPr>
          <w:p w14:paraId="06280CD6" w14:textId="77777777" w:rsidR="00BF0545" w:rsidRDefault="4B99046E" w:rsidP="601567A6">
            <w:pPr>
              <w:rPr>
                <w:rFonts w:asciiTheme="majorHAnsi" w:eastAsiaTheme="majorEastAsia" w:hAnsiTheme="majorHAnsi" w:cstheme="majorBidi"/>
                <w:b/>
                <w:bCs/>
              </w:rPr>
            </w:pPr>
            <w:r w:rsidRPr="601567A6">
              <w:rPr>
                <w:rFonts w:asciiTheme="majorHAnsi" w:eastAsiaTheme="majorEastAsia" w:hAnsiTheme="majorHAnsi" w:cstheme="majorBidi"/>
                <w:b/>
                <w:bCs/>
              </w:rPr>
              <w:t>Prevalence (%)</w:t>
            </w:r>
          </w:p>
        </w:tc>
      </w:tr>
      <w:tr w:rsidR="00BF0545" w14:paraId="1AA973F7"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7CC13209"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No Adjustment (δ=1.0, τ=1.0)</w:t>
            </w:r>
          </w:p>
        </w:tc>
      </w:tr>
      <w:tr w:rsidR="00BF0545" w14:paraId="527F28F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1D28566"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4547C83"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28397B24" w14:textId="77777777" w:rsidR="00BF0545" w:rsidRDefault="4B99046E" w:rsidP="601567A6">
            <w:pPr>
              <w:jc w:val="right"/>
              <w:rPr>
                <w:rFonts w:asciiTheme="minorHAnsi" w:hAnsiTheme="minorHAnsi" w:cstheme="minorBidi"/>
              </w:rPr>
            </w:pPr>
            <w:r w:rsidRPr="601567A6">
              <w:rPr>
                <w:rFonts w:asciiTheme="minorHAnsi" w:hAnsiTheme="minorHAnsi" w:cstheme="minorBidi"/>
              </w:rPr>
              <w:t>27,164.671</w:t>
            </w:r>
          </w:p>
        </w:tc>
        <w:tc>
          <w:tcPr>
            <w:tcW w:w="0" w:type="auto"/>
            <w:tcBorders>
              <w:top w:val="single" w:sz="2" w:space="0" w:color="auto"/>
              <w:left w:val="single" w:sz="2" w:space="0" w:color="auto"/>
              <w:bottom w:val="single" w:sz="2" w:space="0" w:color="auto"/>
              <w:right w:val="single" w:sz="2" w:space="0" w:color="auto"/>
            </w:tcBorders>
            <w:vAlign w:val="center"/>
            <w:hideMark/>
          </w:tcPr>
          <w:p w14:paraId="4035EDD8" w14:textId="77777777" w:rsidR="00BF0545" w:rsidRDefault="4B99046E" w:rsidP="601567A6">
            <w:pPr>
              <w:jc w:val="right"/>
              <w:rPr>
                <w:rFonts w:asciiTheme="minorHAnsi" w:hAnsiTheme="minorHAnsi" w:cstheme="minorBidi"/>
              </w:rPr>
            </w:pPr>
            <w:r w:rsidRPr="601567A6">
              <w:rPr>
                <w:rFonts w:asciiTheme="minorHAnsi" w:hAnsiTheme="minorHAnsi" w:cstheme="minorBidi"/>
              </w:rPr>
              <w:t>8,933.933</w:t>
            </w:r>
          </w:p>
        </w:tc>
        <w:tc>
          <w:tcPr>
            <w:tcW w:w="0" w:type="auto"/>
            <w:tcBorders>
              <w:top w:val="single" w:sz="2" w:space="0" w:color="auto"/>
              <w:left w:val="single" w:sz="2" w:space="0" w:color="auto"/>
              <w:bottom w:val="single" w:sz="2" w:space="0" w:color="auto"/>
              <w:right w:val="single" w:sz="2" w:space="0" w:color="auto"/>
            </w:tcBorders>
            <w:vAlign w:val="center"/>
            <w:hideMark/>
          </w:tcPr>
          <w:p w14:paraId="6FF2422B"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65,323.13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BE16F7F" w14:textId="77777777" w:rsidR="00BF0545" w:rsidRDefault="4B99046E" w:rsidP="601567A6">
            <w:pPr>
              <w:rPr>
                <w:rFonts w:asciiTheme="minorHAnsi" w:hAnsiTheme="minorHAnsi" w:cstheme="minorBidi"/>
              </w:rPr>
            </w:pPr>
            <w:r w:rsidRPr="601567A6">
              <w:rPr>
                <w:rFonts w:asciiTheme="minorHAnsi" w:hAnsiTheme="minorHAnsi" w:cstheme="minorBidi"/>
              </w:rPr>
              <w:t>2.77% (0.91% - 6.67%)</w:t>
            </w:r>
          </w:p>
        </w:tc>
      </w:tr>
      <w:tr w:rsidR="00BF0545" w14:paraId="41FE6C05"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354412E"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25588A9"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2668741E" w14:textId="77777777" w:rsidR="00BF0545" w:rsidRDefault="4B99046E" w:rsidP="601567A6">
            <w:pPr>
              <w:jc w:val="right"/>
              <w:rPr>
                <w:rFonts w:asciiTheme="minorHAnsi" w:hAnsiTheme="minorHAnsi" w:cstheme="minorBidi"/>
              </w:rPr>
            </w:pPr>
            <w:r w:rsidRPr="601567A6">
              <w:rPr>
                <w:rFonts w:asciiTheme="minorHAnsi" w:hAnsiTheme="minorHAnsi" w:cstheme="minorBidi"/>
              </w:rPr>
              <w:t>14,500.488</w:t>
            </w:r>
          </w:p>
        </w:tc>
        <w:tc>
          <w:tcPr>
            <w:tcW w:w="0" w:type="auto"/>
            <w:tcBorders>
              <w:top w:val="single" w:sz="2" w:space="0" w:color="auto"/>
              <w:left w:val="single" w:sz="2" w:space="0" w:color="auto"/>
              <w:bottom w:val="single" w:sz="2" w:space="0" w:color="auto"/>
              <w:right w:val="single" w:sz="2" w:space="0" w:color="auto"/>
            </w:tcBorders>
            <w:vAlign w:val="center"/>
            <w:hideMark/>
          </w:tcPr>
          <w:p w14:paraId="103B69A3" w14:textId="77777777" w:rsidR="00BF0545" w:rsidRDefault="4B99046E" w:rsidP="601567A6">
            <w:pPr>
              <w:jc w:val="right"/>
              <w:rPr>
                <w:rFonts w:asciiTheme="minorHAnsi" w:hAnsiTheme="minorHAnsi" w:cstheme="minorBidi"/>
              </w:rPr>
            </w:pPr>
            <w:r w:rsidRPr="601567A6">
              <w:rPr>
                <w:rFonts w:asciiTheme="minorHAnsi" w:hAnsiTheme="minorHAnsi" w:cstheme="minorBidi"/>
              </w:rPr>
              <w:t>3,968.605</w:t>
            </w:r>
          </w:p>
        </w:tc>
        <w:tc>
          <w:tcPr>
            <w:tcW w:w="0" w:type="auto"/>
            <w:tcBorders>
              <w:top w:val="single" w:sz="2" w:space="0" w:color="auto"/>
              <w:left w:val="single" w:sz="2" w:space="0" w:color="auto"/>
              <w:bottom w:val="single" w:sz="2" w:space="0" w:color="auto"/>
              <w:right w:val="single" w:sz="2" w:space="0" w:color="auto"/>
            </w:tcBorders>
            <w:vAlign w:val="center"/>
            <w:hideMark/>
          </w:tcPr>
          <w:p w14:paraId="52504850" w14:textId="77777777" w:rsidR="00BF0545" w:rsidRDefault="4B99046E" w:rsidP="601567A6">
            <w:pPr>
              <w:jc w:val="right"/>
              <w:rPr>
                <w:rFonts w:asciiTheme="minorHAnsi" w:hAnsiTheme="minorHAnsi" w:cstheme="minorBidi"/>
              </w:rPr>
            </w:pPr>
            <w:r w:rsidRPr="601567A6">
              <w:rPr>
                <w:rFonts w:asciiTheme="minorHAnsi" w:hAnsiTheme="minorHAnsi" w:cstheme="minorBidi"/>
              </w:rPr>
              <w:t>41,872.57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CF30472" w14:textId="77777777" w:rsidR="00BF0545" w:rsidRDefault="4B99046E" w:rsidP="601567A6">
            <w:pPr>
              <w:rPr>
                <w:rFonts w:asciiTheme="minorHAnsi" w:hAnsiTheme="minorHAnsi" w:cstheme="minorBidi"/>
              </w:rPr>
            </w:pPr>
            <w:r w:rsidRPr="601567A6">
              <w:rPr>
                <w:rFonts w:asciiTheme="minorHAnsi" w:hAnsiTheme="minorHAnsi" w:cstheme="minorBidi"/>
              </w:rPr>
              <w:t>1.48% (0.40% - 4.27%)</w:t>
            </w:r>
          </w:p>
        </w:tc>
      </w:tr>
      <w:tr w:rsidR="00BF0545" w14:paraId="1C197FB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2D727"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E84DD1E"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3A239B98" w14:textId="77777777" w:rsidR="00BF0545" w:rsidRDefault="4B99046E" w:rsidP="601567A6">
            <w:pPr>
              <w:jc w:val="right"/>
              <w:rPr>
                <w:rFonts w:asciiTheme="minorHAnsi" w:hAnsiTheme="minorHAnsi" w:cstheme="minorBidi"/>
              </w:rPr>
            </w:pPr>
            <w:r w:rsidRPr="601567A6">
              <w:rPr>
                <w:rFonts w:asciiTheme="minorHAnsi" w:hAnsiTheme="minorHAnsi" w:cstheme="minorBidi"/>
              </w:rPr>
              <w:t>39,955.494</w:t>
            </w:r>
          </w:p>
        </w:tc>
        <w:tc>
          <w:tcPr>
            <w:tcW w:w="0" w:type="auto"/>
            <w:tcBorders>
              <w:top w:val="single" w:sz="2" w:space="0" w:color="auto"/>
              <w:left w:val="single" w:sz="2" w:space="0" w:color="auto"/>
              <w:bottom w:val="single" w:sz="2" w:space="0" w:color="auto"/>
              <w:right w:val="single" w:sz="2" w:space="0" w:color="auto"/>
            </w:tcBorders>
            <w:vAlign w:val="center"/>
            <w:hideMark/>
          </w:tcPr>
          <w:p w14:paraId="0314EBF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24,677.066</w:t>
            </w:r>
          </w:p>
        </w:tc>
        <w:tc>
          <w:tcPr>
            <w:tcW w:w="0" w:type="auto"/>
            <w:tcBorders>
              <w:top w:val="single" w:sz="2" w:space="0" w:color="auto"/>
              <w:left w:val="single" w:sz="2" w:space="0" w:color="auto"/>
              <w:bottom w:val="single" w:sz="2" w:space="0" w:color="auto"/>
              <w:right w:val="single" w:sz="2" w:space="0" w:color="auto"/>
            </w:tcBorders>
            <w:vAlign w:val="center"/>
            <w:hideMark/>
          </w:tcPr>
          <w:p w14:paraId="54AC283C" w14:textId="77777777" w:rsidR="00BF0545" w:rsidRDefault="4B99046E" w:rsidP="601567A6">
            <w:pPr>
              <w:jc w:val="right"/>
              <w:rPr>
                <w:rFonts w:asciiTheme="minorHAnsi" w:hAnsiTheme="minorHAnsi" w:cstheme="minorBidi"/>
              </w:rPr>
            </w:pPr>
            <w:r w:rsidRPr="601567A6">
              <w:rPr>
                <w:rFonts w:asciiTheme="minorHAnsi" w:hAnsiTheme="minorHAnsi" w:cstheme="minorBidi"/>
              </w:rPr>
              <w:t>73,760.07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B905BAA" w14:textId="77777777" w:rsidR="00BF0545" w:rsidRDefault="4B99046E" w:rsidP="601567A6">
            <w:pPr>
              <w:rPr>
                <w:rFonts w:asciiTheme="minorHAnsi" w:hAnsiTheme="minorHAnsi" w:cstheme="minorBidi"/>
              </w:rPr>
            </w:pPr>
            <w:r w:rsidRPr="601567A6">
              <w:rPr>
                <w:rFonts w:asciiTheme="minorHAnsi" w:hAnsiTheme="minorHAnsi" w:cstheme="minorBidi"/>
              </w:rPr>
              <w:t>4.08% (2.52% - 7.53%)</w:t>
            </w:r>
          </w:p>
        </w:tc>
      </w:tr>
      <w:tr w:rsidR="00BF0545" w14:paraId="59C43E0B"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194686F3"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B3D379"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2AC48F77" w14:textId="77777777" w:rsidR="00BF0545" w:rsidRDefault="4B99046E" w:rsidP="601567A6">
            <w:pPr>
              <w:jc w:val="right"/>
              <w:rPr>
                <w:rFonts w:asciiTheme="minorHAnsi" w:hAnsiTheme="minorHAnsi" w:cstheme="minorBidi"/>
              </w:rPr>
            </w:pPr>
            <w:r w:rsidRPr="601567A6">
              <w:rPr>
                <w:rFonts w:asciiTheme="minorHAnsi" w:hAnsiTheme="minorHAnsi" w:cstheme="minorBidi"/>
              </w:rPr>
              <w:t>38,499.114</w:t>
            </w:r>
          </w:p>
        </w:tc>
        <w:tc>
          <w:tcPr>
            <w:tcW w:w="0" w:type="auto"/>
            <w:tcBorders>
              <w:top w:val="single" w:sz="2" w:space="0" w:color="auto"/>
              <w:left w:val="single" w:sz="2" w:space="0" w:color="auto"/>
              <w:bottom w:val="single" w:sz="2" w:space="0" w:color="auto"/>
              <w:right w:val="single" w:sz="2" w:space="0" w:color="auto"/>
            </w:tcBorders>
            <w:vAlign w:val="center"/>
            <w:hideMark/>
          </w:tcPr>
          <w:p w14:paraId="51C09F26" w14:textId="77777777" w:rsidR="00BF0545" w:rsidRDefault="4B99046E" w:rsidP="601567A6">
            <w:pPr>
              <w:jc w:val="right"/>
              <w:rPr>
                <w:rFonts w:asciiTheme="minorHAnsi" w:hAnsiTheme="minorHAnsi" w:cstheme="minorBidi"/>
              </w:rPr>
            </w:pPr>
            <w:r w:rsidRPr="601567A6">
              <w:rPr>
                <w:rFonts w:asciiTheme="minorHAnsi" w:hAnsiTheme="minorHAnsi" w:cstheme="minorBidi"/>
              </w:rPr>
              <w:t>25,438.688</w:t>
            </w:r>
          </w:p>
        </w:tc>
        <w:tc>
          <w:tcPr>
            <w:tcW w:w="0" w:type="auto"/>
            <w:tcBorders>
              <w:top w:val="single" w:sz="2" w:space="0" w:color="auto"/>
              <w:left w:val="single" w:sz="2" w:space="0" w:color="auto"/>
              <w:bottom w:val="single" w:sz="2" w:space="0" w:color="auto"/>
              <w:right w:val="single" w:sz="2" w:space="0" w:color="auto"/>
            </w:tcBorders>
            <w:vAlign w:val="center"/>
            <w:hideMark/>
          </w:tcPr>
          <w:p w14:paraId="65A64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76,102.17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6EF546" w14:textId="77777777" w:rsidR="00BF0545" w:rsidRDefault="4B99046E" w:rsidP="601567A6">
            <w:pPr>
              <w:rPr>
                <w:rFonts w:asciiTheme="minorHAnsi" w:hAnsiTheme="minorHAnsi" w:cstheme="minorBidi"/>
              </w:rPr>
            </w:pPr>
            <w:r w:rsidRPr="601567A6">
              <w:rPr>
                <w:rFonts w:asciiTheme="minorHAnsi" w:hAnsiTheme="minorHAnsi" w:cstheme="minorBidi"/>
              </w:rPr>
              <w:t>3.93% (2.60% - 7.77%)</w:t>
            </w:r>
          </w:p>
        </w:tc>
      </w:tr>
      <w:tr w:rsidR="00BF0545" w14:paraId="4CA394B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588D0E00" w14:textId="77777777" w:rsidR="00BF0545" w:rsidRDefault="4B99046E" w:rsidP="601567A6">
            <w:pPr>
              <w:rPr>
                <w:rFonts w:asciiTheme="minorHAnsi" w:hAnsiTheme="minorHAnsi" w:cstheme="minorBidi"/>
              </w:rPr>
            </w:pPr>
            <w:r w:rsidRPr="601567A6">
              <w:rPr>
                <w:rFonts w:asciiTheme="minorHAnsi" w:hAnsiTheme="minorHAnsi" w:cstheme="minorBidi"/>
              </w:rPr>
              <w:t>MBSU (Conservative)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65F0652"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768235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35,966.277</w:t>
            </w:r>
          </w:p>
        </w:tc>
        <w:tc>
          <w:tcPr>
            <w:tcW w:w="0" w:type="auto"/>
            <w:tcBorders>
              <w:top w:val="single" w:sz="2" w:space="0" w:color="auto"/>
              <w:left w:val="single" w:sz="2" w:space="0" w:color="auto"/>
              <w:bottom w:val="single" w:sz="2" w:space="0" w:color="auto"/>
              <w:right w:val="single" w:sz="2" w:space="0" w:color="auto"/>
            </w:tcBorders>
            <w:vAlign w:val="center"/>
            <w:hideMark/>
          </w:tcPr>
          <w:p w14:paraId="7C5DAEE1" w14:textId="77777777" w:rsidR="00BF0545" w:rsidRDefault="4B99046E" w:rsidP="601567A6">
            <w:pPr>
              <w:jc w:val="right"/>
              <w:rPr>
                <w:rFonts w:asciiTheme="minorHAnsi" w:hAnsiTheme="minorHAnsi" w:cstheme="minorBidi"/>
              </w:rPr>
            </w:pPr>
            <w:r w:rsidRPr="601567A6">
              <w:rPr>
                <w:rFonts w:asciiTheme="minorHAnsi" w:hAnsiTheme="minorHAnsi" w:cstheme="minorBidi"/>
              </w:rPr>
              <w:t>24,834.407</w:t>
            </w:r>
          </w:p>
        </w:tc>
        <w:tc>
          <w:tcPr>
            <w:tcW w:w="0" w:type="auto"/>
            <w:tcBorders>
              <w:top w:val="single" w:sz="2" w:space="0" w:color="auto"/>
              <w:left w:val="single" w:sz="2" w:space="0" w:color="auto"/>
              <w:bottom w:val="single" w:sz="2" w:space="0" w:color="auto"/>
              <w:right w:val="single" w:sz="2" w:space="0" w:color="auto"/>
            </w:tcBorders>
            <w:vAlign w:val="center"/>
            <w:hideMark/>
          </w:tcPr>
          <w:p w14:paraId="310ADFB5" w14:textId="77777777" w:rsidR="00BF0545" w:rsidRDefault="4B99046E" w:rsidP="601567A6">
            <w:pPr>
              <w:jc w:val="right"/>
              <w:rPr>
                <w:rFonts w:asciiTheme="minorHAnsi" w:hAnsiTheme="minorHAnsi" w:cstheme="minorBidi"/>
              </w:rPr>
            </w:pPr>
            <w:r w:rsidRPr="601567A6">
              <w:rPr>
                <w:rFonts w:asciiTheme="minorHAnsi" w:hAnsiTheme="minorHAnsi" w:cstheme="minorBidi"/>
              </w:rPr>
              <w:t>78,445.77</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934E0E0" w14:textId="77777777" w:rsidR="00BF0545" w:rsidRDefault="4B99046E" w:rsidP="601567A6">
            <w:pPr>
              <w:rPr>
                <w:rFonts w:asciiTheme="minorHAnsi" w:hAnsiTheme="minorHAnsi" w:cstheme="minorBidi"/>
              </w:rPr>
            </w:pPr>
            <w:r w:rsidRPr="601567A6">
              <w:rPr>
                <w:rFonts w:asciiTheme="minorHAnsi" w:hAnsiTheme="minorHAnsi" w:cstheme="minorBidi"/>
              </w:rPr>
              <w:t>3.67% (2.53% - 8.00%)</w:t>
            </w:r>
          </w:p>
        </w:tc>
      </w:tr>
      <w:tr w:rsidR="00BF0545" w14:paraId="7688FF8B"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3A8E0CAC"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Conservative (δ=0.8, τ=0.7)</w:t>
            </w:r>
          </w:p>
        </w:tc>
      </w:tr>
      <w:tr w:rsidR="00BF0545" w14:paraId="2D7B0B1E"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0C06844"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06CBA6A"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163859D1" w14:textId="77777777" w:rsidR="00BF0545" w:rsidRDefault="4B99046E" w:rsidP="601567A6">
            <w:pPr>
              <w:jc w:val="right"/>
              <w:rPr>
                <w:rFonts w:asciiTheme="minorHAnsi" w:hAnsiTheme="minorHAnsi" w:cstheme="minorBidi"/>
              </w:rPr>
            </w:pPr>
            <w:r w:rsidRPr="601567A6">
              <w:rPr>
                <w:rFonts w:asciiTheme="minorHAnsi" w:hAnsiTheme="minorHAnsi" w:cstheme="minorBidi"/>
              </w:rPr>
              <w:t>19,885.249</w:t>
            </w:r>
          </w:p>
        </w:tc>
        <w:tc>
          <w:tcPr>
            <w:tcW w:w="0" w:type="auto"/>
            <w:tcBorders>
              <w:top w:val="single" w:sz="2" w:space="0" w:color="auto"/>
              <w:left w:val="single" w:sz="2" w:space="0" w:color="auto"/>
              <w:bottom w:val="single" w:sz="2" w:space="0" w:color="auto"/>
              <w:right w:val="single" w:sz="2" w:space="0" w:color="auto"/>
            </w:tcBorders>
            <w:vAlign w:val="center"/>
            <w:hideMark/>
          </w:tcPr>
          <w:p w14:paraId="0ADA55C2" w14:textId="77777777" w:rsidR="00BF0545" w:rsidRDefault="4B99046E" w:rsidP="601567A6">
            <w:pPr>
              <w:jc w:val="right"/>
              <w:rPr>
                <w:rFonts w:asciiTheme="minorHAnsi" w:hAnsiTheme="minorHAnsi" w:cstheme="minorBidi"/>
              </w:rPr>
            </w:pPr>
            <w:r w:rsidRPr="601567A6">
              <w:rPr>
                <w:rFonts w:asciiTheme="minorHAnsi" w:hAnsiTheme="minorHAnsi" w:cstheme="minorBidi"/>
              </w:rPr>
              <w:t>6,539.872</w:t>
            </w:r>
          </w:p>
        </w:tc>
        <w:tc>
          <w:tcPr>
            <w:tcW w:w="0" w:type="auto"/>
            <w:tcBorders>
              <w:top w:val="single" w:sz="2" w:space="0" w:color="auto"/>
              <w:left w:val="single" w:sz="2" w:space="0" w:color="auto"/>
              <w:bottom w:val="single" w:sz="2" w:space="0" w:color="auto"/>
              <w:right w:val="single" w:sz="2" w:space="0" w:color="auto"/>
            </w:tcBorders>
            <w:vAlign w:val="center"/>
            <w:hideMark/>
          </w:tcPr>
          <w:p w14:paraId="7518BB1B" w14:textId="77777777" w:rsidR="00BF0545" w:rsidRDefault="4B99046E" w:rsidP="601567A6">
            <w:pPr>
              <w:jc w:val="right"/>
              <w:rPr>
                <w:rFonts w:asciiTheme="minorHAnsi" w:hAnsiTheme="minorHAnsi" w:cstheme="minorBidi"/>
              </w:rPr>
            </w:pPr>
            <w:r w:rsidRPr="601567A6">
              <w:rPr>
                <w:rFonts w:asciiTheme="minorHAnsi" w:hAnsiTheme="minorHAnsi" w:cstheme="minorBidi"/>
              </w:rPr>
              <w:t>47,818.24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0CEED86" w14:textId="77777777" w:rsidR="00BF0545" w:rsidRDefault="4B99046E" w:rsidP="601567A6">
            <w:pPr>
              <w:rPr>
                <w:rFonts w:asciiTheme="minorHAnsi" w:hAnsiTheme="minorHAnsi" w:cstheme="minorBidi"/>
              </w:rPr>
            </w:pPr>
            <w:r w:rsidRPr="601567A6">
              <w:rPr>
                <w:rFonts w:asciiTheme="minorHAnsi" w:hAnsiTheme="minorHAnsi" w:cstheme="minorBidi"/>
              </w:rPr>
              <w:t>2.03% (0.67% - 4.88%)</w:t>
            </w:r>
          </w:p>
        </w:tc>
      </w:tr>
      <w:tr w:rsidR="00BF0545" w14:paraId="2ECA42A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646644C7"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69800D"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646252EE" w14:textId="77777777" w:rsidR="00BF0545" w:rsidRDefault="4B99046E" w:rsidP="601567A6">
            <w:pPr>
              <w:jc w:val="right"/>
              <w:rPr>
                <w:rFonts w:asciiTheme="minorHAnsi" w:hAnsiTheme="minorHAnsi" w:cstheme="minorBidi"/>
              </w:rPr>
            </w:pPr>
            <w:r w:rsidRPr="601567A6">
              <w:rPr>
                <w:rFonts w:asciiTheme="minorHAnsi" w:hAnsiTheme="minorHAnsi" w:cstheme="minorBidi"/>
              </w:rPr>
              <w:t>10,614.737</w:t>
            </w:r>
          </w:p>
        </w:tc>
        <w:tc>
          <w:tcPr>
            <w:tcW w:w="0" w:type="auto"/>
            <w:tcBorders>
              <w:top w:val="single" w:sz="2" w:space="0" w:color="auto"/>
              <w:left w:val="single" w:sz="2" w:space="0" w:color="auto"/>
              <w:bottom w:val="single" w:sz="2" w:space="0" w:color="auto"/>
              <w:right w:val="single" w:sz="2" w:space="0" w:color="auto"/>
            </w:tcBorders>
            <w:vAlign w:val="center"/>
            <w:hideMark/>
          </w:tcPr>
          <w:p w14:paraId="2B1456FE" w14:textId="77777777" w:rsidR="00BF0545" w:rsidRDefault="4B99046E" w:rsidP="601567A6">
            <w:pPr>
              <w:jc w:val="right"/>
              <w:rPr>
                <w:rFonts w:asciiTheme="minorHAnsi" w:hAnsiTheme="minorHAnsi" w:cstheme="minorBidi"/>
              </w:rPr>
            </w:pPr>
            <w:r w:rsidRPr="601567A6">
              <w:rPr>
                <w:rFonts w:asciiTheme="minorHAnsi" w:hAnsiTheme="minorHAnsi" w:cstheme="minorBidi"/>
              </w:rPr>
              <w:t>2,905.123</w:t>
            </w:r>
          </w:p>
        </w:tc>
        <w:tc>
          <w:tcPr>
            <w:tcW w:w="0" w:type="auto"/>
            <w:tcBorders>
              <w:top w:val="single" w:sz="2" w:space="0" w:color="auto"/>
              <w:left w:val="single" w:sz="2" w:space="0" w:color="auto"/>
              <w:bottom w:val="single" w:sz="2" w:space="0" w:color="auto"/>
              <w:right w:val="single" w:sz="2" w:space="0" w:color="auto"/>
            </w:tcBorders>
            <w:vAlign w:val="center"/>
            <w:hideMark/>
          </w:tcPr>
          <w:p w14:paraId="465A22A5" w14:textId="77777777" w:rsidR="00BF0545" w:rsidRDefault="4B99046E" w:rsidP="601567A6">
            <w:pPr>
              <w:jc w:val="right"/>
              <w:rPr>
                <w:rFonts w:asciiTheme="minorHAnsi" w:hAnsiTheme="minorHAnsi" w:cstheme="minorBidi"/>
              </w:rPr>
            </w:pPr>
            <w:r w:rsidRPr="601567A6">
              <w:rPr>
                <w:rFonts w:asciiTheme="minorHAnsi" w:hAnsiTheme="minorHAnsi" w:cstheme="minorBidi"/>
              </w:rPr>
              <w:t>30,651.82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EFDBA7" w14:textId="77777777" w:rsidR="00BF0545" w:rsidRDefault="4B99046E" w:rsidP="601567A6">
            <w:pPr>
              <w:rPr>
                <w:rFonts w:asciiTheme="minorHAnsi" w:hAnsiTheme="minorHAnsi" w:cstheme="minorBidi"/>
              </w:rPr>
            </w:pPr>
            <w:r w:rsidRPr="601567A6">
              <w:rPr>
                <w:rFonts w:asciiTheme="minorHAnsi" w:hAnsiTheme="minorHAnsi" w:cstheme="minorBidi"/>
              </w:rPr>
              <w:t>1.08% (0.30% - 3.13%)</w:t>
            </w:r>
          </w:p>
        </w:tc>
      </w:tr>
      <w:tr w:rsidR="00BF0545" w14:paraId="1A46D42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06ACD5E"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C554F70"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2FD54FAF" w14:textId="77777777" w:rsidR="00BF0545" w:rsidRDefault="4B99046E" w:rsidP="601567A6">
            <w:pPr>
              <w:jc w:val="right"/>
              <w:rPr>
                <w:rFonts w:asciiTheme="minorHAnsi" w:hAnsiTheme="minorHAnsi" w:cstheme="minorBidi"/>
              </w:rPr>
            </w:pPr>
            <w:r w:rsidRPr="601567A6">
              <w:rPr>
                <w:rFonts w:asciiTheme="minorHAnsi" w:hAnsiTheme="minorHAnsi" w:cstheme="minorBidi"/>
              </w:rPr>
              <w:t>29,248.467</w:t>
            </w:r>
          </w:p>
        </w:tc>
        <w:tc>
          <w:tcPr>
            <w:tcW w:w="0" w:type="auto"/>
            <w:tcBorders>
              <w:top w:val="single" w:sz="2" w:space="0" w:color="auto"/>
              <w:left w:val="single" w:sz="2" w:space="0" w:color="auto"/>
              <w:bottom w:val="single" w:sz="2" w:space="0" w:color="auto"/>
              <w:right w:val="single" w:sz="2" w:space="0" w:color="auto"/>
            </w:tcBorders>
            <w:vAlign w:val="center"/>
            <w:hideMark/>
          </w:tcPr>
          <w:p w14:paraId="255EB7CE" w14:textId="77777777" w:rsidR="00BF0545" w:rsidRDefault="4B99046E" w:rsidP="601567A6">
            <w:pPr>
              <w:jc w:val="right"/>
              <w:rPr>
                <w:rFonts w:asciiTheme="minorHAnsi" w:hAnsiTheme="minorHAnsi" w:cstheme="minorBidi"/>
              </w:rPr>
            </w:pPr>
            <w:r w:rsidRPr="601567A6">
              <w:rPr>
                <w:rFonts w:asciiTheme="minorHAnsi" w:hAnsiTheme="minorHAnsi" w:cstheme="minorBidi"/>
              </w:rPr>
              <w:t>18,064.258</w:t>
            </w:r>
          </w:p>
        </w:tc>
        <w:tc>
          <w:tcPr>
            <w:tcW w:w="0" w:type="auto"/>
            <w:tcBorders>
              <w:top w:val="single" w:sz="2" w:space="0" w:color="auto"/>
              <w:left w:val="single" w:sz="2" w:space="0" w:color="auto"/>
              <w:bottom w:val="single" w:sz="2" w:space="0" w:color="auto"/>
              <w:right w:val="single" w:sz="2" w:space="0" w:color="auto"/>
            </w:tcBorders>
            <w:vAlign w:val="center"/>
            <w:hideMark/>
          </w:tcPr>
          <w:p w14:paraId="3DBE1B66" w14:textId="77777777" w:rsidR="00BF0545" w:rsidRDefault="4B99046E" w:rsidP="601567A6">
            <w:pPr>
              <w:jc w:val="right"/>
              <w:rPr>
                <w:rFonts w:asciiTheme="minorHAnsi" w:hAnsiTheme="minorHAnsi" w:cstheme="minorBidi"/>
              </w:rPr>
            </w:pPr>
            <w:r w:rsidRPr="601567A6">
              <w:rPr>
                <w:rFonts w:asciiTheme="minorHAnsi" w:hAnsiTheme="minorHAnsi" w:cstheme="minorBidi"/>
              </w:rPr>
              <w:t>53,994.30</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12DEF6C" w14:textId="77777777" w:rsidR="00BF0545" w:rsidRDefault="4B99046E" w:rsidP="601567A6">
            <w:pPr>
              <w:rPr>
                <w:rFonts w:asciiTheme="minorHAnsi" w:hAnsiTheme="minorHAnsi" w:cstheme="minorBidi"/>
              </w:rPr>
            </w:pPr>
            <w:r w:rsidRPr="601567A6">
              <w:rPr>
                <w:rFonts w:asciiTheme="minorHAnsi" w:hAnsiTheme="minorHAnsi" w:cstheme="minorBidi"/>
              </w:rPr>
              <w:t>2.98% (1.84% - 5.51%)</w:t>
            </w:r>
          </w:p>
        </w:tc>
      </w:tr>
      <w:tr w:rsidR="00BF0545" w14:paraId="5FAC7E1D"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A44E449"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2FF68662"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1F8E2A7B" w14:textId="77777777" w:rsidR="00BF0545" w:rsidRDefault="4B99046E" w:rsidP="601567A6">
            <w:pPr>
              <w:jc w:val="right"/>
              <w:rPr>
                <w:rFonts w:asciiTheme="minorHAnsi" w:hAnsiTheme="minorHAnsi" w:cstheme="minorBidi"/>
              </w:rPr>
            </w:pPr>
            <w:r w:rsidRPr="601567A6">
              <w:rPr>
                <w:rFonts w:asciiTheme="minorHAnsi" w:hAnsiTheme="minorHAnsi" w:cstheme="minorBidi"/>
              </w:rPr>
              <w:t>28,182.358</w:t>
            </w:r>
          </w:p>
        </w:tc>
        <w:tc>
          <w:tcPr>
            <w:tcW w:w="0" w:type="auto"/>
            <w:tcBorders>
              <w:top w:val="single" w:sz="2" w:space="0" w:color="auto"/>
              <w:left w:val="single" w:sz="2" w:space="0" w:color="auto"/>
              <w:bottom w:val="single" w:sz="2" w:space="0" w:color="auto"/>
              <w:right w:val="single" w:sz="2" w:space="0" w:color="auto"/>
            </w:tcBorders>
            <w:vAlign w:val="center"/>
            <w:hideMark/>
          </w:tcPr>
          <w:p w14:paraId="2C007219" w14:textId="77777777" w:rsidR="00BF0545" w:rsidRDefault="4B99046E" w:rsidP="601567A6">
            <w:pPr>
              <w:jc w:val="right"/>
              <w:rPr>
                <w:rFonts w:asciiTheme="minorHAnsi" w:hAnsiTheme="minorHAnsi" w:cstheme="minorBidi"/>
              </w:rPr>
            </w:pPr>
            <w:r w:rsidRPr="601567A6">
              <w:rPr>
                <w:rFonts w:asciiTheme="minorHAnsi" w:hAnsiTheme="minorHAnsi" w:cstheme="minorBidi"/>
              </w:rPr>
              <w:t>18,621.784</w:t>
            </w:r>
          </w:p>
        </w:tc>
        <w:tc>
          <w:tcPr>
            <w:tcW w:w="0" w:type="auto"/>
            <w:tcBorders>
              <w:top w:val="single" w:sz="2" w:space="0" w:color="auto"/>
              <w:left w:val="single" w:sz="2" w:space="0" w:color="auto"/>
              <w:bottom w:val="single" w:sz="2" w:space="0" w:color="auto"/>
              <w:right w:val="single" w:sz="2" w:space="0" w:color="auto"/>
            </w:tcBorders>
            <w:vAlign w:val="center"/>
            <w:hideMark/>
          </w:tcPr>
          <w:p w14:paraId="2825F283" w14:textId="77777777" w:rsidR="00BF0545" w:rsidRDefault="4B99046E" w:rsidP="601567A6">
            <w:pPr>
              <w:jc w:val="right"/>
              <w:rPr>
                <w:rFonts w:asciiTheme="minorHAnsi" w:hAnsiTheme="minorHAnsi" w:cstheme="minorBidi"/>
              </w:rPr>
            </w:pPr>
            <w:r w:rsidRPr="601567A6">
              <w:rPr>
                <w:rFonts w:asciiTheme="minorHAnsi" w:hAnsiTheme="minorHAnsi" w:cstheme="minorBidi"/>
              </w:rPr>
              <w:t>55,708.78</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D565BA" w14:textId="77777777" w:rsidR="00BF0545" w:rsidRDefault="4B99046E" w:rsidP="601567A6">
            <w:pPr>
              <w:rPr>
                <w:rFonts w:asciiTheme="minorHAnsi" w:hAnsiTheme="minorHAnsi" w:cstheme="minorBidi"/>
              </w:rPr>
            </w:pPr>
            <w:r w:rsidRPr="601567A6">
              <w:rPr>
                <w:rFonts w:asciiTheme="minorHAnsi" w:hAnsiTheme="minorHAnsi" w:cstheme="minorBidi"/>
              </w:rPr>
              <w:t>2.88% (1.90% - 5.68%)</w:t>
            </w:r>
          </w:p>
        </w:tc>
      </w:tr>
      <w:tr w:rsidR="00BF0545" w14:paraId="7C18B009"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76F0DCD" w14:textId="77777777" w:rsidR="00BF0545" w:rsidRDefault="4B99046E" w:rsidP="601567A6">
            <w:pPr>
              <w:rPr>
                <w:rFonts w:asciiTheme="minorHAnsi" w:hAnsiTheme="minorHAnsi" w:cstheme="minorBidi"/>
              </w:rPr>
            </w:pPr>
            <w:r w:rsidRPr="601567A6">
              <w:rPr>
                <w:rFonts w:asciiTheme="minorHAnsi" w:hAnsiTheme="minorHAnsi" w:cstheme="minorBidi"/>
              </w:rPr>
              <w:t>MBSU (Moderate)</w:t>
            </w:r>
          </w:p>
        </w:tc>
        <w:tc>
          <w:tcPr>
            <w:tcW w:w="1701" w:type="dxa"/>
            <w:tcBorders>
              <w:top w:val="single" w:sz="2" w:space="0" w:color="auto"/>
              <w:left w:val="single" w:sz="2" w:space="0" w:color="auto"/>
              <w:bottom w:val="single" w:sz="2" w:space="0" w:color="auto"/>
              <w:right w:val="single" w:sz="2" w:space="0" w:color="auto"/>
            </w:tcBorders>
            <w:vAlign w:val="center"/>
            <w:hideMark/>
          </w:tcPr>
          <w:p w14:paraId="7A71678E"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6B9EBCFA" w14:textId="77777777" w:rsidR="00BF0545" w:rsidRDefault="4B99046E" w:rsidP="601567A6">
            <w:pPr>
              <w:jc w:val="right"/>
              <w:rPr>
                <w:rFonts w:asciiTheme="minorHAnsi" w:hAnsiTheme="minorHAnsi" w:cstheme="minorBidi"/>
              </w:rPr>
            </w:pPr>
            <w:r w:rsidRPr="601567A6">
              <w:rPr>
                <w:rFonts w:asciiTheme="minorHAnsi" w:hAnsiTheme="minorHAnsi" w:cstheme="minorBidi"/>
              </w:rPr>
              <w:t>26,328.255</w:t>
            </w:r>
          </w:p>
        </w:tc>
        <w:tc>
          <w:tcPr>
            <w:tcW w:w="0" w:type="auto"/>
            <w:tcBorders>
              <w:top w:val="single" w:sz="2" w:space="0" w:color="auto"/>
              <w:left w:val="single" w:sz="2" w:space="0" w:color="auto"/>
              <w:bottom w:val="single" w:sz="2" w:space="0" w:color="auto"/>
              <w:right w:val="single" w:sz="2" w:space="0" w:color="auto"/>
            </w:tcBorders>
            <w:vAlign w:val="center"/>
            <w:hideMark/>
          </w:tcPr>
          <w:p w14:paraId="43C4AF8B" w14:textId="77777777" w:rsidR="00BF0545" w:rsidRDefault="4B99046E" w:rsidP="601567A6">
            <w:pPr>
              <w:jc w:val="right"/>
              <w:rPr>
                <w:rFonts w:asciiTheme="minorHAnsi" w:hAnsiTheme="minorHAnsi" w:cstheme="minorBidi"/>
              </w:rPr>
            </w:pPr>
            <w:r w:rsidRPr="601567A6">
              <w:rPr>
                <w:rFonts w:asciiTheme="minorHAnsi" w:hAnsiTheme="minorHAnsi" w:cstheme="minorBidi"/>
              </w:rPr>
              <w:t>18,179.435</w:t>
            </w:r>
          </w:p>
        </w:tc>
        <w:tc>
          <w:tcPr>
            <w:tcW w:w="0" w:type="auto"/>
            <w:tcBorders>
              <w:top w:val="single" w:sz="2" w:space="0" w:color="auto"/>
              <w:left w:val="single" w:sz="2" w:space="0" w:color="auto"/>
              <w:bottom w:val="single" w:sz="2" w:space="0" w:color="auto"/>
              <w:right w:val="single" w:sz="2" w:space="0" w:color="auto"/>
            </w:tcBorders>
            <w:vAlign w:val="center"/>
            <w:hideMark/>
          </w:tcPr>
          <w:p w14:paraId="6B8F308D" w14:textId="77777777" w:rsidR="00BF0545" w:rsidRDefault="4B99046E" w:rsidP="601567A6">
            <w:pPr>
              <w:jc w:val="right"/>
              <w:rPr>
                <w:rFonts w:asciiTheme="minorHAnsi" w:hAnsiTheme="minorHAnsi" w:cstheme="minorBidi"/>
              </w:rPr>
            </w:pPr>
            <w:r w:rsidRPr="601567A6">
              <w:rPr>
                <w:rFonts w:asciiTheme="minorHAnsi" w:hAnsiTheme="minorHAnsi" w:cstheme="minorBidi"/>
              </w:rPr>
              <w:t>57,424.35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F466EE1" w14:textId="77777777" w:rsidR="00BF0545" w:rsidRDefault="4B99046E" w:rsidP="601567A6">
            <w:pPr>
              <w:rPr>
                <w:rFonts w:asciiTheme="minorHAnsi" w:hAnsiTheme="minorHAnsi" w:cstheme="minorBidi"/>
              </w:rPr>
            </w:pPr>
            <w:r w:rsidRPr="601567A6">
              <w:rPr>
                <w:rFonts w:asciiTheme="minorHAnsi" w:hAnsiTheme="minorHAnsi" w:cstheme="minorBidi"/>
              </w:rPr>
              <w:t>2.69% (1.86% - 5.86%)</w:t>
            </w:r>
          </w:p>
        </w:tc>
      </w:tr>
      <w:tr w:rsidR="00BF0545" w14:paraId="092580FC" w14:textId="77777777" w:rsidTr="0E66DB5B">
        <w:tc>
          <w:tcPr>
            <w:tcW w:w="0" w:type="auto"/>
            <w:gridSpan w:val="6"/>
            <w:tcBorders>
              <w:top w:val="single" w:sz="2" w:space="0" w:color="auto"/>
              <w:left w:val="single" w:sz="2" w:space="0" w:color="auto"/>
              <w:bottom w:val="single" w:sz="6" w:space="0" w:color="auto"/>
              <w:right w:val="single" w:sz="2" w:space="0" w:color="auto"/>
            </w:tcBorders>
            <w:vAlign w:val="center"/>
            <w:hideMark/>
          </w:tcPr>
          <w:p w14:paraId="5A2644AD" w14:textId="77777777" w:rsidR="00BF0545" w:rsidRDefault="4B99046E" w:rsidP="601567A6">
            <w:pPr>
              <w:rPr>
                <w:rFonts w:asciiTheme="majorHAnsi" w:eastAsiaTheme="majorEastAsia" w:hAnsiTheme="majorHAnsi" w:cstheme="majorBidi"/>
              </w:rPr>
            </w:pPr>
            <w:r w:rsidRPr="601567A6">
              <w:rPr>
                <w:rStyle w:val="Strong"/>
                <w:rFonts w:asciiTheme="majorHAnsi" w:eastAsiaTheme="majorEastAsia" w:hAnsiTheme="majorHAnsi" w:cstheme="majorBidi"/>
              </w:rPr>
              <w:t>Moderate (δ=0.9, τ=0.85)</w:t>
            </w:r>
          </w:p>
        </w:tc>
      </w:tr>
      <w:tr w:rsidR="00BF0545" w14:paraId="5AA522C0"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7ED1F8BE"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8408FE0" w14:textId="77777777" w:rsidR="00BF0545" w:rsidRDefault="4B99046E" w:rsidP="601567A6">
            <w:pPr>
              <w:rPr>
                <w:rFonts w:asciiTheme="minorHAnsi" w:hAnsiTheme="minorHAnsi" w:cstheme="minorBidi"/>
              </w:rPr>
            </w:pPr>
            <w:r w:rsidRPr="601567A6">
              <w:rPr>
                <w:rFonts w:asciiTheme="minorHAnsi" w:hAnsiTheme="minorHAnsi" w:cstheme="minorBidi"/>
              </w:rPr>
              <w:t>Access to Help</w:t>
            </w:r>
          </w:p>
        </w:tc>
        <w:tc>
          <w:tcPr>
            <w:tcW w:w="0" w:type="auto"/>
            <w:tcBorders>
              <w:top w:val="single" w:sz="2" w:space="0" w:color="auto"/>
              <w:left w:val="single" w:sz="2" w:space="0" w:color="auto"/>
              <w:bottom w:val="single" w:sz="2" w:space="0" w:color="auto"/>
              <w:right w:val="single" w:sz="2" w:space="0" w:color="auto"/>
            </w:tcBorders>
            <w:vAlign w:val="center"/>
            <w:hideMark/>
          </w:tcPr>
          <w:p w14:paraId="3FDC7225" w14:textId="77777777" w:rsidR="00BF0545" w:rsidRDefault="4B99046E" w:rsidP="601567A6">
            <w:pPr>
              <w:jc w:val="right"/>
              <w:rPr>
                <w:rFonts w:asciiTheme="minorHAnsi" w:hAnsiTheme="minorHAnsi" w:cstheme="minorBidi"/>
              </w:rPr>
            </w:pPr>
            <w:r w:rsidRPr="601567A6">
              <w:rPr>
                <w:rFonts w:asciiTheme="minorHAnsi" w:hAnsiTheme="minorHAnsi" w:cstheme="minorBidi"/>
              </w:rPr>
              <w:t>15,212.216</w:t>
            </w:r>
          </w:p>
        </w:tc>
        <w:tc>
          <w:tcPr>
            <w:tcW w:w="0" w:type="auto"/>
            <w:tcBorders>
              <w:top w:val="single" w:sz="2" w:space="0" w:color="auto"/>
              <w:left w:val="single" w:sz="2" w:space="0" w:color="auto"/>
              <w:bottom w:val="single" w:sz="2" w:space="0" w:color="auto"/>
              <w:right w:val="single" w:sz="2" w:space="0" w:color="auto"/>
            </w:tcBorders>
            <w:vAlign w:val="center"/>
            <w:hideMark/>
          </w:tcPr>
          <w:p w14:paraId="0713D341" w14:textId="77777777" w:rsidR="00BF0545" w:rsidRDefault="4B99046E" w:rsidP="601567A6">
            <w:pPr>
              <w:jc w:val="right"/>
              <w:rPr>
                <w:rFonts w:asciiTheme="minorHAnsi" w:hAnsiTheme="minorHAnsi" w:cstheme="minorBidi"/>
              </w:rPr>
            </w:pPr>
            <w:r w:rsidRPr="601567A6">
              <w:rPr>
                <w:rFonts w:asciiTheme="minorHAnsi" w:hAnsiTheme="minorHAnsi" w:cstheme="minorBidi"/>
              </w:rPr>
              <w:t>5,003.002</w:t>
            </w:r>
          </w:p>
        </w:tc>
        <w:tc>
          <w:tcPr>
            <w:tcW w:w="0" w:type="auto"/>
            <w:tcBorders>
              <w:top w:val="single" w:sz="2" w:space="0" w:color="auto"/>
              <w:left w:val="single" w:sz="2" w:space="0" w:color="auto"/>
              <w:bottom w:val="single" w:sz="2" w:space="0" w:color="auto"/>
              <w:right w:val="single" w:sz="2" w:space="0" w:color="auto"/>
            </w:tcBorders>
            <w:vAlign w:val="center"/>
            <w:hideMark/>
          </w:tcPr>
          <w:p w14:paraId="1E9C27FA" w14:textId="77777777" w:rsidR="00BF0545" w:rsidRDefault="4B99046E" w:rsidP="601567A6">
            <w:pPr>
              <w:jc w:val="right"/>
              <w:rPr>
                <w:rFonts w:asciiTheme="minorHAnsi" w:hAnsiTheme="minorHAnsi" w:cstheme="minorBidi"/>
              </w:rPr>
            </w:pPr>
            <w:r w:rsidRPr="601567A6">
              <w:rPr>
                <w:rFonts w:asciiTheme="minorHAnsi" w:hAnsiTheme="minorHAnsi" w:cstheme="minorBidi"/>
              </w:rPr>
              <w:t>36,580.95</w:t>
            </w:r>
          </w:p>
        </w:tc>
        <w:tc>
          <w:tcPr>
            <w:tcW w:w="1701" w:type="dxa"/>
            <w:tcBorders>
              <w:top w:val="single" w:sz="2" w:space="0" w:color="auto"/>
              <w:left w:val="single" w:sz="2" w:space="0" w:color="auto"/>
              <w:bottom w:val="single" w:sz="2" w:space="0" w:color="auto"/>
              <w:right w:val="single" w:sz="2" w:space="0" w:color="auto"/>
            </w:tcBorders>
            <w:vAlign w:val="center"/>
            <w:hideMark/>
          </w:tcPr>
          <w:p w14:paraId="67B6609C" w14:textId="77777777" w:rsidR="00BF0545" w:rsidRDefault="4B99046E" w:rsidP="601567A6">
            <w:pPr>
              <w:rPr>
                <w:rFonts w:asciiTheme="minorHAnsi" w:hAnsiTheme="minorHAnsi" w:cstheme="minorBidi"/>
              </w:rPr>
            </w:pPr>
            <w:r w:rsidRPr="601567A6">
              <w:rPr>
                <w:rFonts w:asciiTheme="minorHAnsi" w:hAnsiTheme="minorHAnsi" w:cstheme="minorBidi"/>
              </w:rPr>
              <w:t>1.55% (0.51% - 3.73%)</w:t>
            </w:r>
          </w:p>
        </w:tc>
      </w:tr>
      <w:tr w:rsidR="00BF0545" w14:paraId="3B9DE0E8"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0C33170A"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F0794B4" w14:textId="77777777" w:rsidR="00BF0545" w:rsidRDefault="4B99046E" w:rsidP="601567A6">
            <w:pPr>
              <w:rPr>
                <w:rFonts w:asciiTheme="minorHAnsi" w:hAnsiTheme="minorHAnsi" w:cstheme="minorBidi"/>
              </w:rPr>
            </w:pPr>
            <w:r w:rsidRPr="601567A6">
              <w:rPr>
                <w:rFonts w:asciiTheme="minorHAnsi" w:hAnsiTheme="minorHAnsi" w:cstheme="minorBidi"/>
              </w:rPr>
              <w:t>Document Withholding</w:t>
            </w:r>
          </w:p>
        </w:tc>
        <w:tc>
          <w:tcPr>
            <w:tcW w:w="0" w:type="auto"/>
            <w:tcBorders>
              <w:top w:val="single" w:sz="2" w:space="0" w:color="auto"/>
              <w:left w:val="single" w:sz="2" w:space="0" w:color="auto"/>
              <w:bottom w:val="single" w:sz="2" w:space="0" w:color="auto"/>
              <w:right w:val="single" w:sz="2" w:space="0" w:color="auto"/>
            </w:tcBorders>
            <w:vAlign w:val="center"/>
            <w:hideMark/>
          </w:tcPr>
          <w:p w14:paraId="00E08E78" w14:textId="77777777" w:rsidR="00BF0545" w:rsidRDefault="4B99046E" w:rsidP="601567A6">
            <w:pPr>
              <w:jc w:val="right"/>
              <w:rPr>
                <w:rFonts w:asciiTheme="minorHAnsi" w:hAnsiTheme="minorHAnsi" w:cstheme="minorBidi"/>
              </w:rPr>
            </w:pPr>
            <w:r w:rsidRPr="601567A6">
              <w:rPr>
                <w:rFonts w:asciiTheme="minorHAnsi" w:hAnsiTheme="minorHAnsi" w:cstheme="minorBidi"/>
              </w:rPr>
              <w:t>8,120.274</w:t>
            </w:r>
          </w:p>
        </w:tc>
        <w:tc>
          <w:tcPr>
            <w:tcW w:w="0" w:type="auto"/>
            <w:tcBorders>
              <w:top w:val="single" w:sz="2" w:space="0" w:color="auto"/>
              <w:left w:val="single" w:sz="2" w:space="0" w:color="auto"/>
              <w:bottom w:val="single" w:sz="2" w:space="0" w:color="auto"/>
              <w:right w:val="single" w:sz="2" w:space="0" w:color="auto"/>
            </w:tcBorders>
            <w:vAlign w:val="center"/>
            <w:hideMark/>
          </w:tcPr>
          <w:p w14:paraId="41C6333D" w14:textId="77777777" w:rsidR="00BF0545" w:rsidRDefault="4B99046E" w:rsidP="601567A6">
            <w:pPr>
              <w:jc w:val="right"/>
              <w:rPr>
                <w:rFonts w:asciiTheme="minorHAnsi" w:hAnsiTheme="minorHAnsi" w:cstheme="minorBidi"/>
              </w:rPr>
            </w:pPr>
            <w:r w:rsidRPr="601567A6">
              <w:rPr>
                <w:rFonts w:asciiTheme="minorHAnsi" w:hAnsiTheme="minorHAnsi" w:cstheme="minorBidi"/>
              </w:rPr>
              <w:t>2,222.419</w:t>
            </w:r>
          </w:p>
        </w:tc>
        <w:tc>
          <w:tcPr>
            <w:tcW w:w="0" w:type="auto"/>
            <w:tcBorders>
              <w:top w:val="single" w:sz="2" w:space="0" w:color="auto"/>
              <w:left w:val="single" w:sz="2" w:space="0" w:color="auto"/>
              <w:bottom w:val="single" w:sz="2" w:space="0" w:color="auto"/>
              <w:right w:val="single" w:sz="2" w:space="0" w:color="auto"/>
            </w:tcBorders>
            <w:vAlign w:val="center"/>
            <w:hideMark/>
          </w:tcPr>
          <w:p w14:paraId="6BA873FD" w14:textId="77777777" w:rsidR="00BF0545" w:rsidRDefault="4B99046E" w:rsidP="601567A6">
            <w:pPr>
              <w:jc w:val="right"/>
              <w:rPr>
                <w:rFonts w:asciiTheme="minorHAnsi" w:hAnsiTheme="minorHAnsi" w:cstheme="minorBidi"/>
              </w:rPr>
            </w:pPr>
            <w:r w:rsidRPr="601567A6">
              <w:rPr>
                <w:rFonts w:asciiTheme="minorHAnsi" w:hAnsiTheme="minorHAnsi" w:cstheme="minorBidi"/>
              </w:rPr>
              <w:t>23,448.64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3876AB7E" w14:textId="77777777" w:rsidR="00BF0545" w:rsidRDefault="4B99046E" w:rsidP="601567A6">
            <w:pPr>
              <w:rPr>
                <w:rFonts w:asciiTheme="minorHAnsi" w:hAnsiTheme="minorHAnsi" w:cstheme="minorBidi"/>
              </w:rPr>
            </w:pPr>
            <w:r w:rsidRPr="601567A6">
              <w:rPr>
                <w:rFonts w:asciiTheme="minorHAnsi" w:hAnsiTheme="minorHAnsi" w:cstheme="minorBidi"/>
              </w:rPr>
              <w:t>0.83% (0.23% - 2.39%)</w:t>
            </w:r>
          </w:p>
        </w:tc>
      </w:tr>
      <w:tr w:rsidR="00BF0545" w14:paraId="7744B6B7"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32C9FFD8"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A68D9F6" w14:textId="77777777" w:rsidR="00BF0545" w:rsidRDefault="4B99046E" w:rsidP="601567A6">
            <w:pPr>
              <w:rPr>
                <w:rFonts w:asciiTheme="minorHAnsi" w:hAnsiTheme="minorHAnsi" w:cstheme="minorBidi"/>
              </w:rPr>
            </w:pPr>
            <w:r w:rsidRPr="601567A6">
              <w:rPr>
                <w:rFonts w:asciiTheme="minorHAnsi" w:hAnsiTheme="minorHAnsi" w:cstheme="minorBidi"/>
              </w:rPr>
              <w:t>Excessive Hours</w:t>
            </w:r>
          </w:p>
        </w:tc>
        <w:tc>
          <w:tcPr>
            <w:tcW w:w="0" w:type="auto"/>
            <w:tcBorders>
              <w:top w:val="single" w:sz="2" w:space="0" w:color="auto"/>
              <w:left w:val="single" w:sz="2" w:space="0" w:color="auto"/>
              <w:bottom w:val="single" w:sz="2" w:space="0" w:color="auto"/>
              <w:right w:val="single" w:sz="2" w:space="0" w:color="auto"/>
            </w:tcBorders>
            <w:vAlign w:val="center"/>
            <w:hideMark/>
          </w:tcPr>
          <w:p w14:paraId="737E79B2" w14:textId="77777777" w:rsidR="00BF0545" w:rsidRDefault="4B99046E" w:rsidP="601567A6">
            <w:pPr>
              <w:jc w:val="right"/>
              <w:rPr>
                <w:rFonts w:asciiTheme="minorHAnsi" w:hAnsiTheme="minorHAnsi" w:cstheme="minorBidi"/>
              </w:rPr>
            </w:pPr>
            <w:r w:rsidRPr="601567A6">
              <w:rPr>
                <w:rFonts w:asciiTheme="minorHAnsi" w:hAnsiTheme="minorHAnsi" w:cstheme="minorBidi"/>
              </w:rPr>
              <w:t>22,375.077</w:t>
            </w:r>
          </w:p>
        </w:tc>
        <w:tc>
          <w:tcPr>
            <w:tcW w:w="0" w:type="auto"/>
            <w:tcBorders>
              <w:top w:val="single" w:sz="2" w:space="0" w:color="auto"/>
              <w:left w:val="single" w:sz="2" w:space="0" w:color="auto"/>
              <w:bottom w:val="single" w:sz="2" w:space="0" w:color="auto"/>
              <w:right w:val="single" w:sz="2" w:space="0" w:color="auto"/>
            </w:tcBorders>
            <w:vAlign w:val="center"/>
            <w:hideMark/>
          </w:tcPr>
          <w:p w14:paraId="560F9EDE" w14:textId="77777777" w:rsidR="00BF0545" w:rsidRDefault="4B99046E" w:rsidP="601567A6">
            <w:pPr>
              <w:jc w:val="right"/>
              <w:rPr>
                <w:rFonts w:asciiTheme="minorHAnsi" w:hAnsiTheme="minorHAnsi" w:cstheme="minorBidi"/>
              </w:rPr>
            </w:pPr>
            <w:r w:rsidRPr="601567A6">
              <w:rPr>
                <w:rFonts w:asciiTheme="minorHAnsi" w:hAnsiTheme="minorHAnsi" w:cstheme="minorBidi"/>
              </w:rPr>
              <w:t>13,819.157</w:t>
            </w:r>
          </w:p>
        </w:tc>
        <w:tc>
          <w:tcPr>
            <w:tcW w:w="0" w:type="auto"/>
            <w:tcBorders>
              <w:top w:val="single" w:sz="2" w:space="0" w:color="auto"/>
              <w:left w:val="single" w:sz="2" w:space="0" w:color="auto"/>
              <w:bottom w:val="single" w:sz="2" w:space="0" w:color="auto"/>
              <w:right w:val="single" w:sz="2" w:space="0" w:color="auto"/>
            </w:tcBorders>
            <w:vAlign w:val="center"/>
            <w:hideMark/>
          </w:tcPr>
          <w:p w14:paraId="304E9892" w14:textId="77777777" w:rsidR="00BF0545" w:rsidRDefault="4B99046E" w:rsidP="601567A6">
            <w:pPr>
              <w:jc w:val="right"/>
              <w:rPr>
                <w:rFonts w:asciiTheme="minorHAnsi" w:hAnsiTheme="minorHAnsi" w:cstheme="minorBidi"/>
              </w:rPr>
            </w:pPr>
            <w:r w:rsidRPr="601567A6">
              <w:rPr>
                <w:rFonts w:asciiTheme="minorHAnsi" w:hAnsiTheme="minorHAnsi" w:cstheme="minorBidi"/>
              </w:rPr>
              <w:t>41,305.64</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23FDE6C" w14:textId="77777777" w:rsidR="00BF0545" w:rsidRDefault="4B99046E" w:rsidP="601567A6">
            <w:pPr>
              <w:rPr>
                <w:rFonts w:asciiTheme="minorHAnsi" w:hAnsiTheme="minorHAnsi" w:cstheme="minorBidi"/>
              </w:rPr>
            </w:pPr>
            <w:r w:rsidRPr="601567A6">
              <w:rPr>
                <w:rFonts w:asciiTheme="minorHAnsi" w:hAnsiTheme="minorHAnsi" w:cstheme="minorBidi"/>
              </w:rPr>
              <w:t>2.28% (1.41% - 4.21%)</w:t>
            </w:r>
          </w:p>
        </w:tc>
      </w:tr>
      <w:tr w:rsidR="00BF0545" w14:paraId="51584D1F"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22227063" w14:textId="77777777" w:rsidR="00BF0545" w:rsidRDefault="4B99046E" w:rsidP="601567A6">
            <w:pPr>
              <w:rPr>
                <w:rFonts w:asciiTheme="minorHAnsi" w:hAnsiTheme="minorHAnsi" w:cstheme="minorBidi"/>
              </w:rPr>
            </w:pPr>
            <w:r w:rsidRPr="601567A6">
              <w:rPr>
                <w:rFonts w:asciiTheme="minorHAnsi" w:hAnsiTheme="minorHAnsi" w:cstheme="minorBidi"/>
              </w:rPr>
              <w:lastRenderedPageBreak/>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1E3E3AA4" w14:textId="77777777" w:rsidR="00BF0545" w:rsidRDefault="4B99046E" w:rsidP="601567A6">
            <w:pPr>
              <w:rPr>
                <w:rFonts w:asciiTheme="minorHAnsi" w:hAnsiTheme="minorHAnsi" w:cstheme="minorBidi"/>
              </w:rPr>
            </w:pPr>
            <w:r w:rsidRPr="601567A6">
              <w:rPr>
                <w:rFonts w:asciiTheme="minorHAnsi" w:hAnsiTheme="minorHAnsi" w:cstheme="minorBidi"/>
              </w:rPr>
              <w:t>Pay Issues</w:t>
            </w:r>
          </w:p>
        </w:tc>
        <w:tc>
          <w:tcPr>
            <w:tcW w:w="0" w:type="auto"/>
            <w:tcBorders>
              <w:top w:val="single" w:sz="2" w:space="0" w:color="auto"/>
              <w:left w:val="single" w:sz="2" w:space="0" w:color="auto"/>
              <w:bottom w:val="single" w:sz="2" w:space="0" w:color="auto"/>
              <w:right w:val="single" w:sz="2" w:space="0" w:color="auto"/>
            </w:tcBorders>
            <w:vAlign w:val="center"/>
            <w:hideMark/>
          </w:tcPr>
          <w:p w14:paraId="545C73A7" w14:textId="77777777" w:rsidR="00BF0545" w:rsidRDefault="4B99046E" w:rsidP="601567A6">
            <w:pPr>
              <w:jc w:val="right"/>
              <w:rPr>
                <w:rFonts w:asciiTheme="minorHAnsi" w:hAnsiTheme="minorHAnsi" w:cstheme="minorBidi"/>
              </w:rPr>
            </w:pPr>
            <w:r w:rsidRPr="601567A6">
              <w:rPr>
                <w:rFonts w:asciiTheme="minorHAnsi" w:hAnsiTheme="minorHAnsi" w:cstheme="minorBidi"/>
              </w:rPr>
              <w:t>21,559.504</w:t>
            </w:r>
          </w:p>
        </w:tc>
        <w:tc>
          <w:tcPr>
            <w:tcW w:w="0" w:type="auto"/>
            <w:tcBorders>
              <w:top w:val="single" w:sz="2" w:space="0" w:color="auto"/>
              <w:left w:val="single" w:sz="2" w:space="0" w:color="auto"/>
              <w:bottom w:val="single" w:sz="2" w:space="0" w:color="auto"/>
              <w:right w:val="single" w:sz="2" w:space="0" w:color="auto"/>
            </w:tcBorders>
            <w:vAlign w:val="center"/>
            <w:hideMark/>
          </w:tcPr>
          <w:p w14:paraId="79CDB1D8" w14:textId="77777777" w:rsidR="00BF0545" w:rsidRDefault="4B99046E" w:rsidP="601567A6">
            <w:pPr>
              <w:jc w:val="right"/>
              <w:rPr>
                <w:rFonts w:asciiTheme="minorHAnsi" w:hAnsiTheme="minorHAnsi" w:cstheme="minorBidi"/>
              </w:rPr>
            </w:pPr>
            <w:r w:rsidRPr="601567A6">
              <w:rPr>
                <w:rFonts w:asciiTheme="minorHAnsi" w:hAnsiTheme="minorHAnsi" w:cstheme="minorBidi"/>
              </w:rPr>
              <w:t>14,245.665</w:t>
            </w:r>
          </w:p>
        </w:tc>
        <w:tc>
          <w:tcPr>
            <w:tcW w:w="0" w:type="auto"/>
            <w:tcBorders>
              <w:top w:val="single" w:sz="2" w:space="0" w:color="auto"/>
              <w:left w:val="single" w:sz="2" w:space="0" w:color="auto"/>
              <w:bottom w:val="single" w:sz="2" w:space="0" w:color="auto"/>
              <w:right w:val="single" w:sz="2" w:space="0" w:color="auto"/>
            </w:tcBorders>
            <w:vAlign w:val="center"/>
            <w:hideMark/>
          </w:tcPr>
          <w:p w14:paraId="632CA60D" w14:textId="77777777" w:rsidR="00BF0545" w:rsidRDefault="4B99046E" w:rsidP="601567A6">
            <w:pPr>
              <w:jc w:val="right"/>
              <w:rPr>
                <w:rFonts w:asciiTheme="minorHAnsi" w:hAnsiTheme="minorHAnsi" w:cstheme="minorBidi"/>
              </w:rPr>
            </w:pPr>
            <w:r w:rsidRPr="601567A6">
              <w:rPr>
                <w:rFonts w:asciiTheme="minorHAnsi" w:hAnsiTheme="minorHAnsi" w:cstheme="minorBidi"/>
              </w:rPr>
              <w:t>42,617.22</w:t>
            </w:r>
          </w:p>
        </w:tc>
        <w:tc>
          <w:tcPr>
            <w:tcW w:w="1701" w:type="dxa"/>
            <w:tcBorders>
              <w:top w:val="single" w:sz="2" w:space="0" w:color="auto"/>
              <w:left w:val="single" w:sz="2" w:space="0" w:color="auto"/>
              <w:bottom w:val="single" w:sz="2" w:space="0" w:color="auto"/>
              <w:right w:val="single" w:sz="2" w:space="0" w:color="auto"/>
            </w:tcBorders>
            <w:vAlign w:val="center"/>
            <w:hideMark/>
          </w:tcPr>
          <w:p w14:paraId="42EB20DB" w14:textId="77777777" w:rsidR="00BF0545" w:rsidRDefault="4B99046E" w:rsidP="601567A6">
            <w:pPr>
              <w:rPr>
                <w:rFonts w:asciiTheme="minorHAnsi" w:hAnsiTheme="minorHAnsi" w:cstheme="minorBidi"/>
              </w:rPr>
            </w:pPr>
            <w:r w:rsidRPr="601567A6">
              <w:rPr>
                <w:rFonts w:asciiTheme="minorHAnsi" w:hAnsiTheme="minorHAnsi" w:cstheme="minorBidi"/>
              </w:rPr>
              <w:t>2.20% (1.45% - 4.35%)</w:t>
            </w:r>
          </w:p>
        </w:tc>
      </w:tr>
      <w:tr w:rsidR="00BF0545" w14:paraId="0CDB6002" w14:textId="77777777" w:rsidTr="0E66DB5B">
        <w:tc>
          <w:tcPr>
            <w:tcW w:w="1701" w:type="dxa"/>
            <w:tcBorders>
              <w:top w:val="single" w:sz="2" w:space="0" w:color="auto"/>
              <w:left w:val="single" w:sz="2" w:space="0" w:color="auto"/>
              <w:bottom w:val="single" w:sz="2" w:space="0" w:color="auto"/>
              <w:right w:val="single" w:sz="2" w:space="0" w:color="auto"/>
            </w:tcBorders>
            <w:tcMar>
              <w:top w:w="15" w:type="dxa"/>
              <w:left w:w="480" w:type="dxa"/>
              <w:bottom w:w="15" w:type="dxa"/>
              <w:right w:w="15" w:type="dxa"/>
            </w:tcMar>
            <w:vAlign w:val="center"/>
            <w:hideMark/>
          </w:tcPr>
          <w:p w14:paraId="439376C1" w14:textId="77777777" w:rsidR="00BF0545" w:rsidRDefault="4B99046E" w:rsidP="601567A6">
            <w:pPr>
              <w:rPr>
                <w:rFonts w:asciiTheme="minorHAnsi" w:hAnsiTheme="minorHAnsi" w:cstheme="minorBidi"/>
              </w:rPr>
            </w:pPr>
            <w:r w:rsidRPr="601567A6">
              <w:rPr>
                <w:rFonts w:asciiTheme="minorHAnsi" w:hAnsiTheme="minorHAnsi" w:cstheme="minorBidi"/>
              </w:rPr>
              <w:t>MBSU (No Adjustment)</w:t>
            </w:r>
          </w:p>
        </w:tc>
        <w:tc>
          <w:tcPr>
            <w:tcW w:w="1701" w:type="dxa"/>
            <w:tcBorders>
              <w:top w:val="single" w:sz="2" w:space="0" w:color="auto"/>
              <w:left w:val="single" w:sz="2" w:space="0" w:color="auto"/>
              <w:bottom w:val="single" w:sz="2" w:space="0" w:color="auto"/>
              <w:right w:val="single" w:sz="2" w:space="0" w:color="auto"/>
            </w:tcBorders>
            <w:vAlign w:val="center"/>
            <w:hideMark/>
          </w:tcPr>
          <w:p w14:paraId="0B3F9173" w14:textId="77777777" w:rsidR="00BF0545" w:rsidRDefault="4B99046E" w:rsidP="601567A6">
            <w:pPr>
              <w:rPr>
                <w:rFonts w:asciiTheme="minorHAnsi" w:hAnsiTheme="minorHAnsi" w:cstheme="minorBidi"/>
              </w:rPr>
            </w:pPr>
            <w:r w:rsidRPr="601567A6">
              <w:rPr>
                <w:rFonts w:asciiTheme="minorHAnsi" w:hAnsiTheme="minorHAnsi" w:cstheme="minorBidi"/>
              </w:rPr>
              <w:t>Threats/Abuse</w:t>
            </w:r>
          </w:p>
        </w:tc>
        <w:tc>
          <w:tcPr>
            <w:tcW w:w="0" w:type="auto"/>
            <w:tcBorders>
              <w:top w:val="single" w:sz="2" w:space="0" w:color="auto"/>
              <w:left w:val="single" w:sz="2" w:space="0" w:color="auto"/>
              <w:bottom w:val="single" w:sz="2" w:space="0" w:color="auto"/>
              <w:right w:val="single" w:sz="2" w:space="0" w:color="auto"/>
            </w:tcBorders>
            <w:vAlign w:val="center"/>
            <w:hideMark/>
          </w:tcPr>
          <w:p w14:paraId="20BB9942" w14:textId="77777777" w:rsidR="00BF0545" w:rsidRDefault="4B99046E" w:rsidP="601567A6">
            <w:pPr>
              <w:jc w:val="right"/>
              <w:rPr>
                <w:rFonts w:asciiTheme="minorHAnsi" w:hAnsiTheme="minorHAnsi" w:cstheme="minorBidi"/>
              </w:rPr>
            </w:pPr>
            <w:r w:rsidRPr="601567A6">
              <w:rPr>
                <w:rFonts w:asciiTheme="minorHAnsi" w:hAnsiTheme="minorHAnsi" w:cstheme="minorBidi"/>
              </w:rPr>
              <w:t>20,141.115</w:t>
            </w:r>
          </w:p>
        </w:tc>
        <w:tc>
          <w:tcPr>
            <w:tcW w:w="0" w:type="auto"/>
            <w:tcBorders>
              <w:top w:val="single" w:sz="2" w:space="0" w:color="auto"/>
              <w:left w:val="single" w:sz="2" w:space="0" w:color="auto"/>
              <w:bottom w:val="single" w:sz="2" w:space="0" w:color="auto"/>
              <w:right w:val="single" w:sz="2" w:space="0" w:color="auto"/>
            </w:tcBorders>
            <w:vAlign w:val="center"/>
            <w:hideMark/>
          </w:tcPr>
          <w:p w14:paraId="57F34075" w14:textId="77777777" w:rsidR="00BF0545" w:rsidRDefault="4B99046E" w:rsidP="601567A6">
            <w:pPr>
              <w:jc w:val="right"/>
              <w:rPr>
                <w:rFonts w:asciiTheme="minorHAnsi" w:hAnsiTheme="minorHAnsi" w:cstheme="minorBidi"/>
              </w:rPr>
            </w:pPr>
            <w:r w:rsidRPr="601567A6">
              <w:rPr>
                <w:rFonts w:asciiTheme="minorHAnsi" w:hAnsiTheme="minorHAnsi" w:cstheme="minorBidi"/>
              </w:rPr>
              <w:t>13,907.268</w:t>
            </w:r>
          </w:p>
        </w:tc>
        <w:tc>
          <w:tcPr>
            <w:tcW w:w="0" w:type="auto"/>
            <w:tcBorders>
              <w:top w:val="single" w:sz="2" w:space="0" w:color="auto"/>
              <w:left w:val="single" w:sz="2" w:space="0" w:color="auto"/>
              <w:bottom w:val="single" w:sz="2" w:space="0" w:color="auto"/>
              <w:right w:val="single" w:sz="2" w:space="0" w:color="auto"/>
            </w:tcBorders>
            <w:vAlign w:val="center"/>
            <w:hideMark/>
          </w:tcPr>
          <w:p w14:paraId="29FCAD49" w14:textId="77777777" w:rsidR="00BF0545" w:rsidRDefault="4B99046E" w:rsidP="601567A6">
            <w:pPr>
              <w:jc w:val="right"/>
              <w:rPr>
                <w:rFonts w:asciiTheme="minorHAnsi" w:hAnsiTheme="minorHAnsi" w:cstheme="minorBidi"/>
              </w:rPr>
            </w:pPr>
            <w:r w:rsidRPr="601567A6">
              <w:rPr>
                <w:rFonts w:asciiTheme="minorHAnsi" w:hAnsiTheme="minorHAnsi" w:cstheme="minorBidi"/>
              </w:rPr>
              <w:t>43,929.63</w:t>
            </w:r>
          </w:p>
        </w:tc>
        <w:tc>
          <w:tcPr>
            <w:tcW w:w="1701" w:type="dxa"/>
            <w:tcBorders>
              <w:top w:val="single" w:sz="2" w:space="0" w:color="auto"/>
              <w:left w:val="single" w:sz="2" w:space="0" w:color="auto"/>
              <w:bottom w:val="single" w:sz="2" w:space="0" w:color="auto"/>
              <w:right w:val="single" w:sz="2" w:space="0" w:color="auto"/>
            </w:tcBorders>
            <w:vAlign w:val="center"/>
            <w:hideMark/>
          </w:tcPr>
          <w:p w14:paraId="5D9088C2" w14:textId="77777777" w:rsidR="00BF0545" w:rsidRDefault="4B99046E" w:rsidP="601567A6">
            <w:pPr>
              <w:rPr>
                <w:rFonts w:asciiTheme="minorHAnsi" w:hAnsiTheme="minorHAnsi" w:cstheme="minorBidi"/>
              </w:rPr>
            </w:pPr>
            <w:r w:rsidRPr="601567A6">
              <w:rPr>
                <w:rFonts w:asciiTheme="minorHAnsi" w:hAnsiTheme="minorHAnsi" w:cstheme="minorBidi"/>
              </w:rPr>
              <w:t>2.06% (1.42% - 4.48%)</w:t>
            </w:r>
          </w:p>
        </w:tc>
      </w:tr>
      <w:tr w:rsidR="00BF0545" w14:paraId="7600770D" w14:textId="77777777" w:rsidTr="0E66DB5B">
        <w:tc>
          <w:tcPr>
            <w:tcW w:w="0" w:type="auto"/>
            <w:tcBorders>
              <w:top w:val="single" w:sz="2" w:space="0" w:color="auto"/>
              <w:left w:val="single" w:sz="2" w:space="0" w:color="auto"/>
              <w:bottom w:val="single" w:sz="2" w:space="0" w:color="auto"/>
              <w:right w:val="single" w:sz="2" w:space="0" w:color="auto"/>
            </w:tcBorders>
            <w:tcMar>
              <w:top w:w="0" w:type="dxa"/>
              <w:left w:w="0" w:type="dxa"/>
              <w:bottom w:w="0" w:type="dxa"/>
              <w:right w:w="0" w:type="dxa"/>
            </w:tcMar>
            <w:vAlign w:val="center"/>
            <w:hideMark/>
          </w:tcPr>
          <w:p w14:paraId="56FEE4EC" w14:textId="3246F361" w:rsidR="00BF0545" w:rsidRDefault="4B99046E" w:rsidP="601567A6">
            <w:pPr>
              <w:rPr>
                <w:rFonts w:asciiTheme="minorHAnsi" w:hAnsiTheme="minorHAnsi" w:cstheme="minorBidi"/>
              </w:rPr>
            </w:pPr>
            <w:r w:rsidRPr="601567A6">
              <w:rPr>
                <w:rFonts w:asciiTheme="minorHAnsi" w:hAnsiTheme="minorHAnsi" w:cstheme="minorBidi"/>
                <w:i/>
                <w:iCs/>
              </w:rPr>
              <w:t>Note:</w:t>
            </w:r>
            <w:r w:rsidRPr="601567A6">
              <w:rPr>
                <w:rFonts w:asciiTheme="minorHAnsi" w:hAnsiTheme="minorHAnsi" w:cstheme="minorBidi"/>
              </w:rPr>
              <w:t xml:space="preserve"> MBSU = Modified Basic Scale-Up method; δ = degree ratio (d̄_H,F/d̄_F,F, ratio of hidden population network degree to frame population degree); τ = visibility/true positive rate (v̄_H,F/d̄_H,F, proportion of edges correctly reported, measures transmission and reporting accuracy); Bootstrap method: neighbourhood resampling with 1000 iterations; Population base: 980,000 UK domestic workers.</w:t>
            </w:r>
          </w:p>
        </w:tc>
        <w:tc>
          <w:tcPr>
            <w:tcW w:w="0" w:type="auto"/>
            <w:tcBorders>
              <w:top w:val="single" w:sz="2" w:space="0" w:color="auto"/>
              <w:left w:val="single" w:sz="2" w:space="0" w:color="auto"/>
              <w:bottom w:val="single" w:sz="2" w:space="0" w:color="auto"/>
              <w:right w:val="single" w:sz="2" w:space="0" w:color="auto"/>
            </w:tcBorders>
            <w:vAlign w:val="center"/>
            <w:hideMark/>
          </w:tcPr>
          <w:p w14:paraId="0BA1146B" w14:textId="77777777" w:rsidR="00BF0545" w:rsidRDefault="00BF0545" w:rsidP="601567A6">
            <w:pPr>
              <w:rPr>
                <w:rFonts w:asciiTheme="minorHAnsi" w:hAnsiTheme="minorHAnsi" w:cstheme="minorBidi"/>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D9908D0"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32F3F964"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54B34566" w14:textId="77777777" w:rsidR="00BF0545" w:rsidRDefault="00BF0545" w:rsidP="601567A6">
            <w:pPr>
              <w:rPr>
                <w:rFonts w:asciiTheme="minorHAnsi" w:hAnsiTheme="minorHAnsi" w:cstheme="minorBidi"/>
                <w:sz w:val="20"/>
                <w:szCs w:val="20"/>
              </w:rPr>
            </w:pPr>
          </w:p>
        </w:tc>
        <w:tc>
          <w:tcPr>
            <w:tcW w:w="0" w:type="auto"/>
            <w:tcBorders>
              <w:top w:val="single" w:sz="2" w:space="0" w:color="auto"/>
              <w:left w:val="single" w:sz="2" w:space="0" w:color="auto"/>
              <w:bottom w:val="single" w:sz="2" w:space="0" w:color="auto"/>
              <w:right w:val="single" w:sz="2" w:space="0" w:color="auto"/>
            </w:tcBorders>
            <w:vAlign w:val="center"/>
            <w:hideMark/>
          </w:tcPr>
          <w:p w14:paraId="7C7A2C3F" w14:textId="77777777" w:rsidR="00BF0545" w:rsidRDefault="00BF0545" w:rsidP="601567A6">
            <w:pPr>
              <w:rPr>
                <w:rFonts w:asciiTheme="minorHAnsi" w:hAnsiTheme="minorHAnsi" w:cstheme="minorBidi"/>
                <w:sz w:val="20"/>
                <w:szCs w:val="20"/>
              </w:rPr>
            </w:pPr>
          </w:p>
        </w:tc>
      </w:tr>
    </w:tbl>
    <w:p/>
    <w:p w14:paraId="3E08A467" w14:textId="77777777" w:rsidR="002730C3" w:rsidRDefault="002730C3" w:rsidP="001840FB">
      <w:pPr>
        <w:spacing w:line="480" w:lineRule="auto"/>
        <w:rPr>
          <w:rFonts w:ascii="var(--bs-body-font-family)" w:eastAsia="Times New Roman" w:hAnsi="var(--bs-body-font-family)"/>
          <w:lang w:val="en"/>
        </w:rPr>
      </w:pPr>
    </w:p>
    <w:p w14:paraId="1B28B5A7" w14:textId="31E0965D" w:rsidR="00AA7A35" w:rsidRPr="006C4698" w:rsidRDefault="00ED6819" w:rsidP="00E669D5">
      <w:pPr>
        <w:spacing w:line="480" w:lineRule="auto"/>
        <w:divId w:val="1975518704"/>
        <w:rPr>
          <w:rFonts w:eastAsia="Times New Roman"/>
          <w:u w:val="single"/>
          <w:lang w:val="en"/>
        </w:rPr>
      </w:pPr>
      <w:r>
        <w:rPr>
          <w:rFonts w:eastAsia="Times New Roman"/>
          <w:lang w:val="en"/>
        </w:rPr>
        <w:lastRenderedPageBreak/>
        <w:t>4</w:t>
      </w:r>
      <w:r w:rsidR="007E6C65" w:rsidRPr="007E6C65">
        <w:rPr>
          <w:rFonts w:eastAsia="Times New Roman"/>
          <w:lang w:val="en"/>
        </w:rPr>
        <w:t>.7</w:t>
      </w:r>
      <w:r w:rsidR="007E6C65" w:rsidRPr="007E6C65">
        <w:rPr>
          <w:rFonts w:eastAsia="Times New Roman"/>
          <w:lang w:val="en"/>
        </w:rPr>
        <w:tab/>
      </w:r>
      <w:r w:rsidR="007E6C65" w:rsidRPr="006C4698">
        <w:rPr>
          <w:rFonts w:eastAsia="Times New Roman"/>
          <w:u w:val="single"/>
          <w:lang w:val="en"/>
        </w:rPr>
        <w:t>Robustness Checks</w:t>
      </w:r>
    </w:p>
    <w:p w14:paraId="03CD81BE" w14:textId="028CCA8F"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 series of robustness checks were performed to assess the stability of the findings. In </w:t>
      </w:r>
      <w:r w:rsidR="006B6965">
        <w:rPr>
          <w:rFonts w:ascii="var(--bs-body-font-family)" w:hAnsi="var(--bs-body-font-family)"/>
          <w:lang w:val="en-US"/>
        </w:rPr>
        <w:t>ES</w:t>
      </w:r>
      <w:r w:rsidR="004F3F2B">
        <w:rPr>
          <w:rFonts w:ascii="var(--bs-body-font-family)" w:hAnsi="var(--bs-body-font-family)"/>
          <w:lang w:val="en-US"/>
        </w:rPr>
        <w:t>M</w:t>
      </w:r>
      <w:r w:rsidR="00891588" w:rsidRPr="23ADB1D8">
        <w:rPr>
          <w:rFonts w:ascii="var(--bs-body-font-family)" w:hAnsi="var(--bs-body-font-family)"/>
          <w:lang w:val="en-US"/>
        </w:rPr>
        <w:t>3</w:t>
      </w:r>
      <w:r w:rsidRPr="23ADB1D8">
        <w:rPr>
          <w:rFonts w:ascii="var(--bs-body-font-family)" w:hAnsi="var(--bs-body-font-family)"/>
          <w:lang w:val="en-US"/>
        </w:rPr>
        <w:t xml:space="preserve">, a comprehensive analysis comparing all prevalence estimates across indicators, methods, and parameter values is presented. There, remarkable consistency is demonstrated across different analytical approaches. The pattern of estimates is remarkably stable across methods, with excessive hours consistently showing the highest prevalence, followed by threats/abuse and pay-related issues, while document withholding shows more moderate prevalence levels. This cross-method validation strengthens confidence in our findings and demonstrates the robustness of the dual estimation approach. Full technical details are reported in </w:t>
      </w:r>
      <w:r w:rsidR="00FE72C7">
        <w:rPr>
          <w:rFonts w:ascii="var(--bs-body-font-family)" w:hAnsi="var(--bs-body-font-family)"/>
          <w:lang w:val="en-US"/>
        </w:rPr>
        <w:t>Online Resource ESM</w:t>
      </w:r>
      <w:r w:rsidR="00FB6F28">
        <w:rPr>
          <w:rFonts w:ascii="var(--bs-body-font-family)" w:hAnsi="var(--bs-body-font-family)"/>
          <w:lang w:val="en-US"/>
        </w:rPr>
        <w:t>_</w:t>
      </w:r>
      <w:r w:rsidR="00891588" w:rsidRPr="23ADB1D8">
        <w:rPr>
          <w:rFonts w:ascii="var(--bs-body-font-family)" w:hAnsi="var(--bs-body-font-family)"/>
          <w:lang w:val="en-US"/>
        </w:rPr>
        <w:t>3</w:t>
      </w:r>
      <w:r w:rsidRPr="23ADB1D8">
        <w:rPr>
          <w:rFonts w:ascii="var(--bs-body-font-family)" w:hAnsi="var(--bs-body-font-family)"/>
          <w:lang w:val="en-US"/>
        </w:rPr>
        <w:t xml:space="preserve"> and </w:t>
      </w:r>
      <w:r w:rsidR="00FB6F28">
        <w:rPr>
          <w:rFonts w:ascii="var(--bs-body-font-family)" w:hAnsi="var(--bs-body-font-family)"/>
          <w:lang w:val="en-US"/>
        </w:rPr>
        <w:t>ESM_</w:t>
      </w:r>
      <w:r w:rsidR="00891588" w:rsidRPr="23ADB1D8">
        <w:rPr>
          <w:rFonts w:ascii="var(--bs-body-font-family)" w:hAnsi="var(--bs-body-font-family)"/>
          <w:lang w:val="en-US"/>
        </w:rPr>
        <w:t>4</w:t>
      </w:r>
      <w:r w:rsidRPr="23ADB1D8">
        <w:rPr>
          <w:rFonts w:ascii="var(--bs-body-font-family)" w:hAnsi="var(--bs-body-font-family)"/>
          <w:lang w:val="en-US"/>
        </w:rPr>
        <w:t>.</w:t>
      </w:r>
    </w:p>
    <w:p w14:paraId="7DF700BB" w14:textId="79CB1DDB" w:rsidR="00AA7A35" w:rsidRPr="006C4698" w:rsidRDefault="00770951" w:rsidP="00ED6819">
      <w:pPr>
        <w:pStyle w:val="Heading1"/>
        <w:divId w:val="1975518704"/>
      </w:pPr>
      <w:r>
        <w:t xml:space="preserve"> </w:t>
      </w:r>
      <w:r w:rsidR="00ED6819" w:rsidRPr="00ED6819">
        <w:t>5.</w:t>
      </w:r>
      <w:r w:rsidR="00ED6819">
        <w:t xml:space="preserve"> </w:t>
      </w:r>
      <w:r w:rsidRPr="752265D2">
        <w:t>Discussion</w:t>
      </w:r>
    </w:p>
    <w:p w14:paraId="07E3F44F" w14:textId="7ED1C6E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.1</w:t>
      </w:r>
      <w:r w:rsidR="007E6C65" w:rsidRPr="007E6C65">
        <w:rPr>
          <w:rFonts w:eastAsia="Times New Roman"/>
          <w:lang w:val="en"/>
        </w:rPr>
        <w:tab/>
      </w:r>
      <w:r w:rsidR="007E6C65" w:rsidRPr="006C4698">
        <w:rPr>
          <w:rFonts w:eastAsia="Times New Roman"/>
          <w:u w:val="single"/>
          <w:lang w:val="en"/>
        </w:rPr>
        <w:t>Summary of Findings</w:t>
      </w:r>
    </w:p>
    <w:p w14:paraId="4F201D3E" w14:textId="322F8E00" w:rsidR="00AA7A35" w:rsidRDefault="00D64F2E" w:rsidP="00E669D5">
      <w:pPr>
        <w:pStyle w:val="NormalWeb"/>
        <w:spacing w:line="480" w:lineRule="auto"/>
        <w:divId w:val="1975518704"/>
        <w:rPr>
          <w:rFonts w:ascii="var(--bs-body-font-family)" w:hAnsi="var(--bs-body-font-family)" w:hint="eastAsia"/>
          <w:lang w:val="en-US"/>
        </w:rPr>
      </w:pPr>
      <w:r>
        <w:rPr>
          <w:rFonts w:ascii="var(--bs-body-font-family)" w:hAnsi="var(--bs-body-font-family)"/>
          <w:lang w:val="en-US"/>
        </w:rPr>
        <w:t>In t</w:t>
      </w:r>
      <w:r w:rsidR="003B681D" w:rsidRPr="481442D0">
        <w:rPr>
          <w:rFonts w:ascii="var(--bs-body-font-family)" w:hAnsi="var(--bs-body-font-family)"/>
          <w:lang w:val="en-US"/>
        </w:rPr>
        <w:t>his study</w:t>
      </w:r>
      <w:r>
        <w:rPr>
          <w:rFonts w:ascii="var(--bs-body-font-family)" w:hAnsi="var(--bs-body-font-family)"/>
          <w:lang w:val="en-US"/>
        </w:rPr>
        <w:t xml:space="preserve"> we worked with civil society </w:t>
      </w:r>
      <w:proofErr w:type="spellStart"/>
      <w:r>
        <w:rPr>
          <w:rFonts w:ascii="var(--bs-body-font-family)" w:hAnsi="var(--bs-body-font-family)"/>
          <w:lang w:val="en-US"/>
        </w:rPr>
        <w:t>organisations</w:t>
      </w:r>
      <w:proofErr w:type="spellEnd"/>
      <w:r>
        <w:rPr>
          <w:rFonts w:ascii="var(--bs-body-font-family)" w:hAnsi="var(--bs-body-font-family)"/>
          <w:lang w:val="en-US"/>
        </w:rPr>
        <w:t xml:space="preserve"> </w:t>
      </w:r>
      <w:r w:rsidR="00F8417F">
        <w:rPr>
          <w:rFonts w:ascii="var(--bs-body-font-family)" w:hAnsi="var(--bs-body-font-family)"/>
          <w:lang w:val="en-US"/>
        </w:rPr>
        <w:t>representing domestic workers to</w:t>
      </w:r>
      <w:r w:rsidR="003B681D" w:rsidRPr="481442D0">
        <w:rPr>
          <w:rFonts w:ascii="var(--bs-body-font-family)" w:hAnsi="var(--bs-body-font-family)"/>
          <w:lang w:val="en-US"/>
        </w:rPr>
        <w:t xml:space="preserve"> estimate</w:t>
      </w:r>
      <w:r w:rsidR="00F8417F">
        <w:rPr>
          <w:rFonts w:ascii="var(--bs-body-font-family)" w:hAnsi="var(--bs-body-font-family)"/>
          <w:lang w:val="en-US"/>
        </w:rPr>
        <w:t xml:space="preserve"> the</w:t>
      </w:r>
      <w:r w:rsidR="003B681D" w:rsidRPr="481442D0">
        <w:rPr>
          <w:rFonts w:ascii="var(--bs-body-font-family)" w:hAnsi="var(--bs-body-font-family)"/>
          <w:lang w:val="en-US"/>
        </w:rPr>
        <w:t xml:space="preserve"> prevalence of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exploitation among domestic workers </w:t>
      </w:r>
      <w:r w:rsidR="00F8417F">
        <w:rPr>
          <w:rFonts w:ascii="var(--bs-body-font-family)" w:hAnsi="var(--bs-body-font-family)"/>
          <w:lang w:val="en-US"/>
        </w:rPr>
        <w:t xml:space="preserve">in the UK </w:t>
      </w:r>
      <w:r w:rsidR="003B681D" w:rsidRPr="481442D0">
        <w:rPr>
          <w:rFonts w:ascii="var(--bs-body-font-family)" w:hAnsi="var(--bs-body-font-family)"/>
          <w:lang w:val="en-US"/>
        </w:rPr>
        <w:t xml:space="preserve">using both Respondent-Driven Sampling (RDS) and Network Scale-Up Method (NSUM). We introduced a continuous risk index alongside binary exploitation indicators based on ILO forced </w:t>
      </w:r>
      <w:proofErr w:type="spellStart"/>
      <w:r w:rsidR="003B681D" w:rsidRPr="481442D0">
        <w:rPr>
          <w:rFonts w:ascii="var(--bs-body-font-family)" w:hAnsi="var(--bs-body-font-family)"/>
          <w:lang w:val="en-US"/>
        </w:rPr>
        <w:t>labour</w:t>
      </w:r>
      <w:proofErr w:type="spellEnd"/>
      <w:r w:rsidR="003B681D" w:rsidRPr="481442D0">
        <w:rPr>
          <w:rFonts w:ascii="var(--bs-body-font-family)" w:hAnsi="var(--bs-body-font-family)"/>
          <w:lang w:val="en-US"/>
        </w:rPr>
        <w:t xml:space="preserve"> criteria. Model-Assisted RDS estimates suggest prevalence rates ranging from 34% to 84% for various exploitation indicators among respondents.</w:t>
      </w:r>
      <w:r w:rsidR="15EB2E26" w:rsidRPr="481442D0">
        <w:rPr>
          <w:rFonts w:ascii="var(--bs-body-font-family)" w:hAnsi="var(--bs-body-font-family)"/>
          <w:lang w:val="en-US"/>
        </w:rPr>
        <w:t xml:space="preserve">  While the analytic sample comprises 85 respondents, RDS estimators are design-based and adjust for network degree and recruitment patterns, enabling valid population inference even in modest samples where conventional random sampling is infeasible.</w:t>
      </w:r>
      <w:r w:rsidR="003B681D" w:rsidRPr="481442D0">
        <w:rPr>
          <w:rFonts w:ascii="var(--bs-body-font-family)" w:hAnsi="var(--bs-body-font-family)"/>
          <w:lang w:val="en-US"/>
        </w:rPr>
        <w:t xml:space="preserve"> In contrast, NSUM estimates—highly sensitive to adjustment factors—range from 0.83% to 4.08% depending on assumptions about network degree differences (δ) and visibility/reporting </w:t>
      </w:r>
      <w:r w:rsidR="003B681D" w:rsidRPr="481442D0">
        <w:rPr>
          <w:rFonts w:ascii="var(--bs-body-font-family)" w:hAnsi="var(--bs-body-font-family)"/>
          <w:lang w:val="en-US"/>
        </w:rPr>
        <w:lastRenderedPageBreak/>
        <w:t xml:space="preserve">accuracy (τ). </w:t>
      </w:r>
      <w:r w:rsidR="155A5766" w:rsidRPr="481442D0">
        <w:rPr>
          <w:rFonts w:ascii="var(--bs-body-font-family)" w:hAnsi="var(--bs-body-font-family)"/>
          <w:lang w:val="en-US"/>
        </w:rPr>
        <w:t xml:space="preserve">The range of 34% to 84% </w:t>
      </w:r>
      <w:r w:rsidR="00FB6F28" w:rsidRPr="481442D0">
        <w:rPr>
          <w:rFonts w:ascii="var(--bs-body-font-family)" w:hAnsi="var(--bs-body-font-family)"/>
          <w:lang w:val="en-US"/>
        </w:rPr>
        <w:t>prevalence</w:t>
      </w:r>
      <w:r w:rsidR="155A5766" w:rsidRPr="481442D0">
        <w:rPr>
          <w:rFonts w:ascii="var(--bs-body-font-family)" w:hAnsi="var(--bs-body-font-family)"/>
          <w:lang w:val="en-US"/>
        </w:rPr>
        <w:t xml:space="preserve"> using RDS estimators represents variation across distinct exploitation indicators, each corresponding to a different forced </w:t>
      </w:r>
      <w:proofErr w:type="spellStart"/>
      <w:r w:rsidR="155A5766" w:rsidRPr="481442D0">
        <w:rPr>
          <w:rFonts w:ascii="var(--bs-body-font-family)" w:hAnsi="var(--bs-body-font-family)"/>
          <w:lang w:val="en-US"/>
        </w:rPr>
        <w:t>labour</w:t>
      </w:r>
      <w:proofErr w:type="spellEnd"/>
      <w:r w:rsidR="155A5766" w:rsidRPr="481442D0">
        <w:rPr>
          <w:rFonts w:ascii="var(--bs-body-font-family)" w:hAnsi="var(--bs-body-font-family)"/>
          <w:lang w:val="en-US"/>
        </w:rPr>
        <w:t xml:space="preserve"> dimension (e.g., pay withholding, intimidation, excessive hours). It should not be interpreted as statistical uncertainty for a single prevalence measure. </w:t>
      </w:r>
      <w:r w:rsidR="003B681D" w:rsidRPr="481442D0">
        <w:rPr>
          <w:rFonts w:ascii="var(--bs-body-font-family)" w:hAnsi="var(--bs-body-font-family)"/>
          <w:lang w:val="en-US"/>
        </w:rPr>
        <w:t>The pattern across methods is remarkably consistent: excessive working hours shows the highest prevalence, followed by threats/abuse and pay-related issues, while document withholding shows more moderate levels. Robustness checks across different population size assumptions and estimation approaches confirm the stability of these relative patterns.</w:t>
      </w:r>
      <w:r w:rsidR="0AE7228C" w:rsidRPr="481442D0">
        <w:rPr>
          <w:rFonts w:ascii="var(--bs-body-font-family)" w:hAnsi="var(--bs-body-font-family)"/>
          <w:lang w:val="en-US"/>
        </w:rPr>
        <w:t xml:space="preserve">  </w:t>
      </w:r>
    </w:p>
    <w:p w14:paraId="1E0EA340" w14:textId="5F96C176"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.2</w:t>
      </w:r>
      <w:r w:rsidR="007E6C65" w:rsidRPr="007E6C65">
        <w:rPr>
          <w:rFonts w:eastAsia="Times New Roman"/>
          <w:lang w:val="en"/>
        </w:rPr>
        <w:tab/>
      </w:r>
      <w:r w:rsidR="007E6C65" w:rsidRPr="006C4698">
        <w:rPr>
          <w:rFonts w:eastAsia="Times New Roman"/>
          <w:u w:val="single"/>
          <w:lang w:val="en"/>
        </w:rPr>
        <w:t>Methodological Reflections and Contributions</w:t>
      </w:r>
    </w:p>
    <w:p w14:paraId="32998BEB" w14:textId="023B396A" w:rsidR="00AA7A35" w:rsidRDefault="003B681D" w:rsidP="00E669D5">
      <w:pPr>
        <w:pStyle w:val="NormalWeb"/>
        <w:spacing w:line="480" w:lineRule="auto"/>
        <w:divId w:val="1975518704"/>
        <w:rPr>
          <w:rFonts w:ascii="var(--bs-body-font-family)" w:hAnsi="var(--bs-body-font-family)" w:hint="eastAsia"/>
          <w:lang w:val="en"/>
        </w:rPr>
      </w:pPr>
      <w:r>
        <w:t>This paper makes three contributions to the social-indicators literature. First, it develops a dual ego/alter survey instrument that yields directly comparable RDS and NSUM estimates of five ILO-aligned labour-exploitation indicators, addressing a long-standing measurement gap noted by the ILO (2017, 2022) in which RDS-derived estimates rely on respondent self-report whereas NSUM-derived estimates rely on respondents' reports about others. Second, it implements a three-step bootstrap inference procedure for NSUM estimates of multiple indicators in a hidden population, propagating uncertainty from network-size estimation, alter-count estimation and visibility-adjustment in a single re-sampling scheme. Third, it shows how the divergence between RDS and NSUM estimates can be read diagnostically — as evidence about the visibility of different exploitation behaviours within the workers' personal networks — rather than as a single 'best' point estimate, and proposes a continuous risk index that integrates the five indicators into a single quality-of-life-relevant social indicator for hidden vulnerable populations. The UK domestic-worker case demonstrates the approach in the hardest realistic setting; the methodology generalises to other hidden populations relevant to SDG 8.7 monitoring.</w:t>
      </w:r>
    </w:p>
    <w:p w14:paraId="47997CA7"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 xml:space="preserve">Dual </w:t>
      </w:r>
      <w:proofErr w:type="spellStart"/>
      <w:r w:rsidRPr="23ADB1D8">
        <w:rPr>
          <w:rStyle w:val="Emphasis"/>
          <w:rFonts w:ascii="var(--bs-body-font-family)" w:hAnsi="var(--bs-body-font-family)"/>
          <w:lang w:val="en-US"/>
        </w:rPr>
        <w:t>conceptualisation</w:t>
      </w:r>
      <w:proofErr w:type="spellEnd"/>
      <w:r w:rsidRPr="23ADB1D8">
        <w:rPr>
          <w:rStyle w:val="Emphasis"/>
          <w:rFonts w:ascii="var(--bs-body-font-family)" w:hAnsi="var(--bs-body-font-family)"/>
          <w:lang w:val="en-US"/>
        </w:rPr>
        <w:t xml:space="preserve"> of exploitation</w:t>
      </w:r>
      <w:r w:rsidRPr="23ADB1D8">
        <w:rPr>
          <w:rFonts w:ascii="var(--bs-body-font-family)" w:hAnsi="var(--bs-body-font-family)"/>
          <w:lang w:val="en-US"/>
        </w:rPr>
        <w:t xml:space="preserve">: We introduce two distinct approaches to </w:t>
      </w:r>
      <w:proofErr w:type="spellStart"/>
      <w:r w:rsidRPr="23ADB1D8">
        <w:rPr>
          <w:rFonts w:ascii="var(--bs-body-font-family)" w:hAnsi="var(--bs-body-font-family)"/>
          <w:lang w:val="en-US"/>
        </w:rPr>
        <w:t>operationalising</w:t>
      </w:r>
      <w:proofErr w:type="spellEnd"/>
      <w:r w:rsidRPr="23ADB1D8">
        <w:rPr>
          <w:rFonts w:ascii="var(--bs-body-font-family)" w:hAnsi="var(--bs-body-font-family)"/>
          <w:lang w:val="en-US"/>
        </w:rPr>
        <w:t xml:space="preserve"> exploitation. First, we treat exploitation as a binary outcome (exploited versus not exploited), enabling direct comparison of prevalence estimates across RDS and NSUM methods. Second, we construct a continuous risk index, acknowledging that all domestic workers may be exposed to some degree of exploitation risk. To our knowledge, this is the first application of model-assisted RDS estimators to quantify a continuous measure of exploitation risk.</w:t>
      </w:r>
    </w:p>
    <w:p w14:paraId="664FFB0B" w14:textId="106F23EA" w:rsidR="00AA7A35" w:rsidRDefault="003B681D" w:rsidP="00E669D5">
      <w:pPr>
        <w:pStyle w:val="NormalWeb"/>
        <w:spacing w:line="480" w:lineRule="auto"/>
        <w:divId w:val="1975518704"/>
        <w:rPr>
          <w:rFonts w:ascii="var(--bs-body-font-family)" w:hAnsi="var(--bs-body-font-family)" w:hint="eastAsia"/>
          <w:lang w:val="en-US"/>
        </w:rPr>
      </w:pPr>
      <w:r w:rsidRPr="481442D0">
        <w:rPr>
          <w:rStyle w:val="Emphasis"/>
          <w:rFonts w:ascii="var(--bs-body-font-family)" w:hAnsi="var(--bs-body-font-family)"/>
          <w:lang w:val="en-US"/>
        </w:rPr>
        <w:t>Combining RDS and NSUM on the same survey instrument</w:t>
      </w:r>
      <w:r w:rsidRPr="481442D0">
        <w:rPr>
          <w:rFonts w:ascii="var(--bs-body-font-family)" w:hAnsi="var(--bs-body-font-family)"/>
          <w:lang w:val="en-US"/>
        </w:rPr>
        <w:t xml:space="preserve">: By designing a survey that captures both ego and alter information, we </w:t>
      </w:r>
      <w:proofErr w:type="gramStart"/>
      <w:r w:rsidRPr="481442D0">
        <w:rPr>
          <w:rFonts w:ascii="var(--bs-body-font-family)" w:hAnsi="var(--bs-body-font-family)"/>
          <w:lang w:val="en-US"/>
        </w:rPr>
        <w:t>are able to</w:t>
      </w:r>
      <w:proofErr w:type="gramEnd"/>
      <w:r w:rsidRPr="481442D0">
        <w:rPr>
          <w:rFonts w:ascii="var(--bs-body-font-family)" w:hAnsi="var(--bs-body-font-family)"/>
          <w:lang w:val="en-US"/>
        </w:rPr>
        <w:t xml:space="preserve"> apply RDS and NSUM to the same sample. This dual approach has rarely been implemented in studies of </w:t>
      </w:r>
      <w:proofErr w:type="spellStart"/>
      <w:r w:rsidRPr="481442D0">
        <w:rPr>
          <w:rFonts w:ascii="var(--bs-body-font-family)" w:hAnsi="var(--bs-body-font-family)"/>
          <w:lang w:val="en-US"/>
        </w:rPr>
        <w:t>labour</w:t>
      </w:r>
      <w:proofErr w:type="spellEnd"/>
      <w:r w:rsidRPr="481442D0">
        <w:rPr>
          <w:rFonts w:ascii="var(--bs-body-font-family)" w:hAnsi="var(--bs-body-font-family)"/>
          <w:lang w:val="en-US"/>
        </w:rPr>
        <w:t xml:space="preserve"> exploitation. It provides an opportunity to cross-validate results and assess the </w:t>
      </w:r>
      <w:r w:rsidRPr="481442D0">
        <w:rPr>
          <w:rFonts w:ascii="var(--bs-body-font-family)" w:hAnsi="var(--bs-body-font-family)"/>
          <w:lang w:val="en-US"/>
        </w:rPr>
        <w:lastRenderedPageBreak/>
        <w:t>robustness of prevalence estimates.</w:t>
      </w:r>
      <w:r w:rsidR="7369024A" w:rsidRPr="481442D0">
        <w:rPr>
          <w:rFonts w:ascii="var(--bs-body-font-family)" w:hAnsi="var(--bs-body-font-family)"/>
          <w:lang w:val="en-US"/>
        </w:rPr>
        <w:t xml:space="preserve">  While the analytic sample is modest, the use of Bayesian and design-based network estimators ensures statistical validity under conditions typical of hidden-population research. The combination of RDS and NSUM methods allows for robust inference even with limited respondent counts, as uncertainty is explicitly modelled and propagated through our </w:t>
      </w:r>
      <w:proofErr w:type="spellStart"/>
      <w:r w:rsidR="7369024A" w:rsidRPr="481442D0">
        <w:rPr>
          <w:rFonts w:ascii="var(--bs-body-font-family)" w:hAnsi="var(--bs-body-font-family)"/>
          <w:lang w:val="en-US"/>
        </w:rPr>
        <w:t>neighbourhood</w:t>
      </w:r>
      <w:proofErr w:type="spellEnd"/>
      <w:r w:rsidR="7369024A" w:rsidRPr="481442D0">
        <w:rPr>
          <w:rFonts w:ascii="var(--bs-body-font-family)" w:hAnsi="var(--bs-body-font-family)"/>
          <w:lang w:val="en-US"/>
        </w:rPr>
        <w:t xml:space="preserve"> bootstrap approach. Importantly, the variation across indicators (34–84%) represents true heterogeneity in the forms of exploitation experienced by domestic workers rather than measurement error.</w:t>
      </w:r>
    </w:p>
    <w:p w14:paraId="255EAFD0"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Novel bootstrap procedure for NSUM</w:t>
      </w:r>
      <w:r w:rsidRPr="23ADB1D8">
        <w:rPr>
          <w:rFonts w:ascii="var(--bs-body-font-family)" w:hAnsi="var(--bs-body-font-family)"/>
          <w:lang w:val="en-US"/>
        </w:rPr>
        <w:t xml:space="preserve">: </w:t>
      </w:r>
      <w:proofErr w:type="spellStart"/>
      <w:r w:rsidRPr="23ADB1D8">
        <w:rPr>
          <w:rFonts w:ascii="var(--bs-body-font-family)" w:hAnsi="var(--bs-body-font-family)"/>
          <w:lang w:val="en-US"/>
        </w:rPr>
        <w:t>Recognising</w:t>
      </w:r>
      <w:proofErr w:type="spellEnd"/>
      <w:r w:rsidRPr="23ADB1D8">
        <w:rPr>
          <w:rFonts w:ascii="var(--bs-body-font-family)" w:hAnsi="var(--bs-body-font-family)"/>
          <w:lang w:val="en-US"/>
        </w:rPr>
        <w:t xml:space="preserve"> the non-random nature of an RDS sample, we developed a three-step bootstrap procedure tailored for NSUM estimation. This resamples respondents, recalculates weights, and re-estimates NSUM prevalence at each iteration. The procedure captures multiple layers of uncertainty and produces more reliable confidence intervals than conventional methods, particularly in small samples.</w:t>
      </w:r>
    </w:p>
    <w:p w14:paraId="3C8B77BC" w14:textId="342BDC5D" w:rsidR="00AA7A35" w:rsidRDefault="003B681D" w:rsidP="00E669D5">
      <w:pPr>
        <w:pStyle w:val="NormalWeb"/>
        <w:spacing w:line="480" w:lineRule="auto"/>
        <w:divId w:val="1975518704"/>
        <w:rPr>
          <w:rFonts w:ascii="var(--bs-body-font-family)" w:hAnsi="var(--bs-body-font-family)" w:hint="eastAsia"/>
          <w:lang w:val="en-US"/>
        </w:rPr>
      </w:pPr>
      <w:r w:rsidRPr="23ADB1D8">
        <w:rPr>
          <w:rStyle w:val="Emphasis"/>
          <w:rFonts w:ascii="var(--bs-body-font-family)" w:hAnsi="var(--bs-body-font-family)"/>
          <w:lang w:val="en-US"/>
        </w:rPr>
        <w:t>Application to domestic workers in the UK</w:t>
      </w:r>
      <w:r w:rsidRPr="23ADB1D8">
        <w:rPr>
          <w:rFonts w:ascii="var(--bs-body-font-family)" w:hAnsi="var(--bs-body-font-family)"/>
          <w:lang w:val="en-US"/>
        </w:rPr>
        <w:t xml:space="preserve">: Finally, by </w:t>
      </w:r>
      <w:r w:rsidR="004A0D31">
        <w:rPr>
          <w:rFonts w:ascii="var(--bs-body-font-family)" w:hAnsi="var(--bs-body-font-family)"/>
          <w:lang w:val="en-US"/>
        </w:rPr>
        <w:t xml:space="preserve">working with civil society </w:t>
      </w:r>
      <w:proofErr w:type="spellStart"/>
      <w:r w:rsidR="004A0D31">
        <w:rPr>
          <w:rFonts w:ascii="var(--bs-body-font-family)" w:hAnsi="var(--bs-body-font-family)"/>
          <w:lang w:val="en-US"/>
        </w:rPr>
        <w:t>organisations</w:t>
      </w:r>
      <w:proofErr w:type="spellEnd"/>
      <w:r w:rsidR="004A0D31">
        <w:rPr>
          <w:rFonts w:ascii="var(--bs-body-font-family)" w:hAnsi="var(--bs-body-font-family)"/>
          <w:lang w:val="en-US"/>
        </w:rPr>
        <w:t xml:space="preserve"> to </w:t>
      </w:r>
      <w:r w:rsidRPr="23ADB1D8">
        <w:rPr>
          <w:rFonts w:ascii="var(--bs-body-font-family)" w:hAnsi="var(--bs-body-font-family)"/>
          <w:lang w:val="en-US"/>
        </w:rPr>
        <w:t xml:space="preserve">apply these methods to a population that is both highly </w:t>
      </w:r>
      <w:proofErr w:type="spellStart"/>
      <w:r w:rsidRPr="23ADB1D8">
        <w:rPr>
          <w:rFonts w:ascii="var(--bs-body-font-family)" w:hAnsi="var(--bs-body-font-family)"/>
          <w:lang w:val="en-US"/>
        </w:rPr>
        <w:t>stigmatised</w:t>
      </w:r>
      <w:proofErr w:type="spellEnd"/>
      <w:r w:rsidRPr="23ADB1D8">
        <w:rPr>
          <w:rFonts w:ascii="var(--bs-body-font-family)" w:hAnsi="var(--bs-body-font-family)"/>
          <w:lang w:val="en-US"/>
        </w:rPr>
        <w:t xml:space="preserve"> and under-researched, we demonstrate the feasibility of using advanced network-based estimation techniques in contexts where traditional sampling is impossible. This methodological innovation has potential applications in studies of other hidden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markets and vulnerable populations.</w:t>
      </w:r>
    </w:p>
    <w:p w14:paraId="4D7D317A" w14:textId="5B3D8964"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.3</w:t>
      </w:r>
      <w:r w:rsidR="007E6C65" w:rsidRPr="007E6C65">
        <w:rPr>
          <w:rFonts w:eastAsia="Times New Roman"/>
          <w:lang w:val="en"/>
        </w:rPr>
        <w:tab/>
      </w:r>
      <w:r w:rsidR="007E6C65" w:rsidRPr="006C4698">
        <w:rPr>
          <w:rFonts w:eastAsia="Times New Roman"/>
          <w:u w:val="single"/>
          <w:lang w:val="en"/>
        </w:rPr>
        <w:t>Interpreting RDS–NSUM Divergence: The Role of Visibility</w:t>
      </w:r>
    </w:p>
    <w:p w14:paraId="56DFE86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Substantial discrepancies between hidden population prevalence estimates derived from Respondent-Driven Sampling (RDS) and the Network Scale-Up Method (NSUM) are widely observed in empirical research and simulation studies. In the present case, for </w:t>
      </w:r>
      <w:r w:rsidRPr="23ADB1D8">
        <w:rPr>
          <w:rFonts w:ascii="var(--bs-body-font-family)" w:hAnsi="var(--bs-body-font-family)"/>
          <w:lang w:val="en-US"/>
        </w:rPr>
        <w:lastRenderedPageBreak/>
        <w:t>example, egocentric RDS-based estimates suggest that 34% to 84% of respondents personally experienced indicators of exploitation. In contrast, the corresponding NSUM estimates suggest that only 2.9% to 5.1% of the general domestic worker population experiences these same harms. This stark divergence—often approaching an order of magnitude—warrants a careful methodological explanation.</w:t>
      </w:r>
    </w:p>
    <w:p w14:paraId="66E4153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Among the various sources of error affecting NSUM, the most important and widely documented is visibility bias, also referred to in some literature as transmission bias. Visibility refers to the extent to which members of a hidden population are known to belong to that population by members of the general population. In the context of NSUM, visibility determines whether a respondent can accurately report having connections to members of the hidden group. If visibility is low—because of stigma, secrecy, or lack of awareness—respondents will systematically underreport these ties. This causes a downward bias in the numerator of the NSUM estimator, thereby underestimating the size of the hidden population.</w:t>
      </w:r>
    </w:p>
    <w:p w14:paraId="4138F462"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In our setting, where RDS estimates suggest that over 50% of respondents have experienced some form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but NSUM estimates suggest only 3–5% of the domestic worker population does so, visibility bias is almost certainly the dominant factor explaining the discrepancy. This is especially true in contexts involving exploitation, abuse, or trafficking—where group membership is often concealed both by victims and by observers. Respondents in the frame population may simply be unaware that their contacts are experiencing exploitation, leading to substantial underreporting.</w:t>
      </w:r>
    </w:p>
    <w:p w14:paraId="41042559" w14:textId="19F61D1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Hen</w:t>
      </w:r>
      <w:r w:rsidR="00A124C5" w:rsidRPr="23ADB1D8">
        <w:rPr>
          <w:rFonts w:ascii="var(--bs-body-font-family)" w:hAnsi="var(--bs-body-font-family)"/>
          <w:lang w:val="en-US"/>
        </w:rPr>
        <w:t>c</w:t>
      </w:r>
      <w:r w:rsidRPr="23ADB1D8">
        <w:rPr>
          <w:rFonts w:ascii="var(--bs-body-font-family)" w:hAnsi="var(--bs-body-font-family)"/>
          <w:lang w:val="en-US"/>
        </w:rPr>
        <w:t xml:space="preserve">e, visibility bias is a major and well-understood limitation of NSUM, and likely the principal reason why our NSUM estimates are substantially lower than those derived </w:t>
      </w:r>
      <w:r w:rsidRPr="23ADB1D8">
        <w:rPr>
          <w:rFonts w:ascii="var(--bs-body-font-family)" w:hAnsi="var(--bs-body-font-family)"/>
          <w:lang w:val="en-US"/>
        </w:rPr>
        <w:lastRenderedPageBreak/>
        <w:t>from RDS. The use of RDS-based estimators, particularly those that adjust for sample design such as Gile’s SS estimator, provides direct measurement of traits among the hidden population and avoids the visibility problem. Therefore, RDS estimates are often more accurate in estimating prevalence within the hidden population, whereas NSUM estimates are typically biased downward unless adjusted for visibility and related biases.</w:t>
      </w:r>
    </w:p>
    <w:p w14:paraId="5719A7B0" w14:textId="61F3098E"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.4</w:t>
      </w:r>
      <w:r w:rsidR="007E6C65" w:rsidRPr="007E6C65">
        <w:rPr>
          <w:rFonts w:eastAsia="Times New Roman"/>
          <w:lang w:val="en"/>
        </w:rPr>
        <w:tab/>
      </w:r>
      <w:r w:rsidR="007E6C65" w:rsidRPr="006C4698">
        <w:rPr>
          <w:rFonts w:eastAsia="Times New Roman"/>
          <w:u w:val="single"/>
          <w:lang w:val="en"/>
        </w:rPr>
        <w:t>Policy and Theoretical Implications</w:t>
      </w:r>
    </w:p>
    <w:p w14:paraId="0E42FB69" w14:textId="4EC3984A" w:rsidR="00AA7A35" w:rsidRDefault="00DD2C2D" w:rsidP="00E669D5">
      <w:pPr>
        <w:pStyle w:val="NormalWeb"/>
        <w:spacing w:line="480" w:lineRule="auto"/>
        <w:divId w:val="1975518704"/>
        <w:rPr>
          <w:rFonts w:ascii="var(--bs-body-font-family)" w:hAnsi="var(--bs-body-font-family)" w:hint="eastAsia"/>
          <w:lang w:val="en-US"/>
        </w:rPr>
      </w:pPr>
      <w:r w:rsidRPr="29FA58D5">
        <w:rPr>
          <w:rFonts w:ascii="var(--bs-body-font-family)" w:hAnsi="var(--bs-body-font-family)"/>
          <w:lang w:val="en-US"/>
        </w:rPr>
        <w:t xml:space="preserve">These transnational migrants are at particular risk of exploitation due to regulatory visa restrictions and intersecting structural issues related to their gender, the relative isolation of domestic work and a lack of supportive social networks. </w:t>
      </w:r>
      <w:r>
        <w:rPr>
          <w:rFonts w:ascii="var(--bs-body-font-family)" w:hAnsi="var(--bs-body-font-family)"/>
          <w:lang w:val="en-US"/>
        </w:rPr>
        <w:t>W</w:t>
      </w:r>
      <w:r w:rsidRPr="29FA58D5">
        <w:rPr>
          <w:rFonts w:ascii="var(--bs-body-font-family)" w:hAnsi="var(--bs-body-font-family)"/>
          <w:lang w:val="en-US"/>
        </w:rPr>
        <w:t xml:space="preserve">orkers enter on restricted visas where their employment—and </w:t>
      </w:r>
      <w:r>
        <w:rPr>
          <w:rFonts w:ascii="var(--bs-body-font-family)" w:hAnsi="var(--bs-body-font-family)"/>
          <w:lang w:val="en-US"/>
        </w:rPr>
        <w:t>t</w:t>
      </w:r>
      <w:r w:rsidRPr="29FA58D5">
        <w:rPr>
          <w:rFonts w:ascii="var(--bs-body-font-family)" w:hAnsi="var(--bs-body-font-family)"/>
          <w:lang w:val="en-US"/>
        </w:rPr>
        <w:t xml:space="preserve">heir right to remain in the country—is tied to their continuing employment. This can mean that they fall out of legal migratory status. Due to the social stigma attached to such illegal working, transnational workers remaining in the UK without the right to work may be considered a hidden, hard-to-reach, population. </w:t>
      </w:r>
      <w:r>
        <w:rPr>
          <w:rFonts w:ascii="var(--bs-body-font-family)" w:hAnsi="var(--bs-body-font-family)"/>
          <w:lang w:val="en-US"/>
        </w:rPr>
        <w:t>Yet t</w:t>
      </w:r>
      <w:r w:rsidR="003B681D" w:rsidRPr="23ADB1D8">
        <w:rPr>
          <w:rFonts w:ascii="var(--bs-body-font-family)" w:hAnsi="var(--bs-body-font-family)"/>
          <w:lang w:val="en-US"/>
        </w:rPr>
        <w:t xml:space="preserve">he UK Government has proved reluctant to respond to calls to remove the restrictive, tied, visa conditions currently in force for those migrant workers working in the UK on the Overseas Domestic Workers visa </w:t>
      </w:r>
      <w:r w:rsidR="00806BDF">
        <w:rPr>
          <w:rFonts w:ascii="var(--bs-body-font-family)" w:hAnsi="var(--bs-body-font-family)" w:hint="eastAsia"/>
          <w:lang w:val="en-US"/>
        </w:rPr>
        <w:fldChar w:fldCharType="begin"/>
      </w:r>
      <w:r w:rsidR="00806BDF">
        <w:rPr>
          <w:rFonts w:ascii="var(--bs-body-font-family)" w:hAnsi="var(--bs-body-font-family)" w:hint="eastAsia"/>
          <w:lang w:val="en-US"/>
        </w:rPr>
        <w:instrText xml:space="preserve"> ADDIN ZOTERO_ITEM CSL_CITATION {"citationID":"3qVJTqJH","properties":{"formattedCitation":"(Gower, 2016)","plainCitation":"(Gower, 2016)","noteIndex":0},"citationItems":[{"id":42,"uris":["http://zotero.org/users/local/nMxJkNMP/items/HIJTPE2N"],"itemData":{"id":42,"type":"document","language":"en","title":"Calls to change overseas domestic worker visa conditions","URL":"https://researchbriefings.files.parliament.uk/documents/SN04786/SN04786.pdf","author":[{"family":"Gower","given":"M."}],"issued":{"date-parts":[["2016"]]}}}],"schema":"https://github.com/citation-style-language/schema/raw/master/csl-citation.json"} </w:instrText>
      </w:r>
      <w:r w:rsidR="00806BDF">
        <w:rPr>
          <w:rFonts w:ascii="var(--bs-body-font-family)" w:hAnsi="var(--bs-body-font-family)" w:hint="eastAsia"/>
          <w:lang w:val="en-US"/>
        </w:rPr>
        <w:fldChar w:fldCharType="separate"/>
      </w:r>
      <w:r w:rsidR="00806BDF" w:rsidRPr="00806BDF">
        <w:rPr>
          <w:rFonts w:ascii="var(--bs-body-font-family)" w:hAnsi="var(--bs-body-font-family)"/>
        </w:rPr>
        <w:t>(Gower, 2016)</w:t>
      </w:r>
      <w:r w:rsidR="00806BDF">
        <w:rPr>
          <w:rFonts w:ascii="var(--bs-body-font-family)" w:hAnsi="var(--bs-body-font-family)" w:hint="eastAsia"/>
          <w:lang w:val="en-US"/>
        </w:rPr>
        <w:fldChar w:fldCharType="end"/>
      </w:r>
      <w:r w:rsidR="003B681D" w:rsidRPr="23ADB1D8">
        <w:rPr>
          <w:rFonts w:ascii="var(--bs-body-font-family)" w:hAnsi="var(--bs-body-font-family)"/>
          <w:lang w:val="en-US"/>
        </w:rPr>
        <w:t>. Maintaining these restrictive conditions prevents the ratification in the UK of C189, the International Convention for Domestic Workers</w:t>
      </w:r>
      <w:r w:rsidR="00806BDF">
        <w:rPr>
          <w:rFonts w:ascii="var(--bs-body-font-family)" w:hAnsi="var(--bs-body-font-family)"/>
          <w:lang w:val="en-US"/>
        </w:rPr>
        <w:t xml:space="preserve"> </w:t>
      </w:r>
      <w:r w:rsidR="004B4DA1">
        <w:rPr>
          <w:rFonts w:ascii="var(--bs-body-font-family)" w:hAnsi="var(--bs-body-font-family)" w:hint="eastAsia"/>
          <w:lang w:val="en-US"/>
        </w:rPr>
        <w:fldChar w:fldCharType="begin"/>
      </w:r>
      <w:r w:rsidR="004B4DA1">
        <w:rPr>
          <w:rFonts w:ascii="var(--bs-body-font-family)" w:hAnsi="var(--bs-body-font-family)" w:hint="eastAsia"/>
          <w:lang w:val="en-US"/>
        </w:rPr>
        <w:instrText xml:space="preserve"> ADDIN ZOTERO_ITEM CSL_CITATION {"citationID":"k3XKqHvp","properties":{"formattedCitation":"(ILO, 2011)","plainCitation":"(ILO, 2011)","noteIndex":0},"citationItems":[{"id":714,"uris":["http://zotero.org/users/local/nMxJkNMP/items/86V7TR55"],"itemData":{"id":714,"type":"webpage","title":"C189 - Domestic Workers Convention, 2011 (No. 189)","URL":"https://normlex.ilo.org/dyn/nrmlx_en/f?p=NORMLEXPUB:55:0::NO::P55_TYPE%2CP55_LANG%2CP55_DOCUMENT%2CP55_NODE:SUP%2Cen%2CC189%2C%2FDocument","author":[{"family":"ILO","given":""}],"accessed":{"date-parts":[["2025",12,19]]},"issued":{"date-parts":[["2011"]]}}}],"schema":"https://github.com/citation-style-language/schema/raw/master/csl-citation.json"} </w:instrText>
      </w:r>
      <w:r w:rsidR="004B4DA1">
        <w:rPr>
          <w:rFonts w:ascii="var(--bs-body-font-family)" w:hAnsi="var(--bs-body-font-family)" w:hint="eastAsia"/>
          <w:lang w:val="en-US"/>
        </w:rPr>
        <w:fldChar w:fldCharType="separate"/>
      </w:r>
      <w:r w:rsidR="004B4DA1" w:rsidRPr="004B4DA1">
        <w:rPr>
          <w:rFonts w:ascii="var(--bs-body-font-family)" w:hAnsi="var(--bs-body-font-family)"/>
        </w:rPr>
        <w:t>(ILO, 2011)</w:t>
      </w:r>
      <w:r w:rsidR="004B4DA1">
        <w:rPr>
          <w:rFonts w:ascii="var(--bs-body-font-family)" w:hAnsi="var(--bs-body-font-family)" w:hint="eastAsia"/>
          <w:lang w:val="en-US"/>
        </w:rPr>
        <w:fldChar w:fldCharType="end"/>
      </w:r>
      <w:r w:rsidR="003B681D" w:rsidRPr="23ADB1D8">
        <w:rPr>
          <w:rFonts w:ascii="var(--bs-body-font-family)" w:hAnsi="var(--bs-body-font-family)"/>
          <w:lang w:val="en-US"/>
        </w:rPr>
        <w:t xml:space="preserve">. If the estimates resulting from our study are correct, these visa conditions place migrant domestic workers at significant risk of serious forms of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 xml:space="preserve"> exploitation including, in its most severe form, exploitation that exhibits the characteristics of forced </w:t>
      </w:r>
      <w:proofErr w:type="spellStart"/>
      <w:r w:rsidR="003B681D" w:rsidRPr="23ADB1D8">
        <w:rPr>
          <w:rFonts w:ascii="var(--bs-body-font-family)" w:hAnsi="var(--bs-body-font-family)"/>
          <w:lang w:val="en-US"/>
        </w:rPr>
        <w:t>labour</w:t>
      </w:r>
      <w:proofErr w:type="spellEnd"/>
      <w:r w:rsidR="003B681D" w:rsidRPr="23ADB1D8">
        <w:rPr>
          <w:rFonts w:ascii="var(--bs-body-font-family)" w:hAnsi="var(--bs-body-font-family)"/>
          <w:lang w:val="en-US"/>
        </w:rPr>
        <w:t>—legally considered a form of modern slavery.</w:t>
      </w:r>
    </w:p>
    <w:p w14:paraId="3AB390E9"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To reduce the vulnerability of transnational domestic workers to this—and other—forms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we urge </w:t>
      </w:r>
      <w:proofErr w:type="gramStart"/>
      <w:r w:rsidRPr="23ADB1D8">
        <w:rPr>
          <w:rFonts w:ascii="var(--bs-body-font-family)" w:hAnsi="var(--bs-body-font-family)"/>
          <w:lang w:val="en-US"/>
        </w:rPr>
        <w:t>policy-makers</w:t>
      </w:r>
      <w:proofErr w:type="gramEnd"/>
      <w:r w:rsidRPr="23ADB1D8">
        <w:rPr>
          <w:rFonts w:ascii="var(--bs-body-font-family)" w:hAnsi="var(--bs-body-font-family)"/>
          <w:lang w:val="en-US"/>
        </w:rPr>
        <w:t xml:space="preserve"> to reconsider these discriminatory visa </w:t>
      </w:r>
      <w:r w:rsidRPr="23ADB1D8">
        <w:rPr>
          <w:rFonts w:ascii="var(--bs-body-font-family)" w:hAnsi="var(--bs-body-font-family)"/>
          <w:lang w:val="en-US"/>
        </w:rPr>
        <w:lastRenderedPageBreak/>
        <w:t>conditions and offer the same freedoms to domestic workers that are enjoyed by other groups of workers under UK law.</w:t>
      </w:r>
    </w:p>
    <w:p w14:paraId="15CB031A"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In addition, given the vulnerabilities experienced by workers due to the private nature of the workplace, we would urge the UK government to consider the regulation of domestic worker employers.</w:t>
      </w:r>
    </w:p>
    <w:p w14:paraId="2842C8B9" w14:textId="41BDEA62"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Finally, given the stigma and very real danger of deportation of those </w:t>
      </w:r>
      <w:r w:rsidR="00F455BF" w:rsidRPr="23ADB1D8">
        <w:rPr>
          <w:rFonts w:ascii="var(--bs-body-font-family)" w:hAnsi="var(--bs-body-font-family)"/>
          <w:lang w:val="en-US"/>
        </w:rPr>
        <w:t xml:space="preserve">transnational </w:t>
      </w:r>
      <w:r w:rsidRPr="23ADB1D8">
        <w:rPr>
          <w:rFonts w:ascii="var(--bs-body-font-family)" w:hAnsi="var(--bs-body-font-family)"/>
          <w:lang w:val="en-US"/>
        </w:rPr>
        <w:t xml:space="preserve">migrant domestic workers who may have fallen out of legal migration status, our evidence suggests that there is an urgent need for the UK Government to enforce a firewall between immigration control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if the true scale of abuse is to be made visible and the perpetrators brought to justice.</w:t>
      </w:r>
    </w:p>
    <w:p w14:paraId="251B379A" w14:textId="6F8268C8"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The UK Visa and Immigration service already offers rights-based training to migrant domestic workers via UK embassies in certain</w:t>
      </w:r>
      <w:r w:rsidR="009D57D8">
        <w:rPr>
          <w:rFonts w:ascii="var(--bs-body-font-family)" w:hAnsi="var(--bs-body-font-family)"/>
          <w:lang w:val="en-US"/>
        </w:rPr>
        <w:t xml:space="preserve"> </w:t>
      </w:r>
      <w:r w:rsidRPr="23ADB1D8">
        <w:rPr>
          <w:rFonts w:ascii="var(--bs-body-font-family)" w:hAnsi="var(--bs-body-font-family)"/>
          <w:lang w:val="en-US"/>
        </w:rPr>
        <w:t xml:space="preserve">source countries. To reduce migrant domestic </w:t>
      </w:r>
      <w:r w:rsidR="000B4C44" w:rsidRPr="23ADB1D8">
        <w:rPr>
          <w:rFonts w:ascii="var(--bs-body-font-family)" w:hAnsi="var(--bs-body-font-family)"/>
          <w:lang w:val="en-US"/>
        </w:rPr>
        <w:t>workers</w:t>
      </w:r>
      <w:r w:rsidR="000B4C44" w:rsidRPr="23ADB1D8">
        <w:rPr>
          <w:rFonts w:ascii="var(--bs-body-font-family)" w:hAnsi="var(--bs-body-font-family)" w:hint="eastAsia"/>
          <w:lang w:val="en-US"/>
        </w:rPr>
        <w:t>’</w:t>
      </w:r>
      <w:r w:rsidRPr="23ADB1D8">
        <w:rPr>
          <w:rFonts w:ascii="var(--bs-body-font-family)" w:hAnsi="var(--bs-body-font-family)"/>
          <w:lang w:val="en-US"/>
        </w:rPr>
        <w:t xml:space="preserve"> vulnerabilities, we advocate the expansion of this training both to include explicit training related to employment and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rights within the UK and to the rapidly expanding range of new source countries from where migrant domestic workers are now drawn.</w:t>
      </w:r>
    </w:p>
    <w:p w14:paraId="2030D2FC" w14:textId="14BD8B50" w:rsidR="00AA7A35" w:rsidRPr="006C4698" w:rsidRDefault="00ED6819" w:rsidP="00E669D5">
      <w:pPr>
        <w:spacing w:line="480" w:lineRule="auto"/>
        <w:divId w:val="1975518704"/>
        <w:rPr>
          <w:rFonts w:eastAsia="Times New Roman"/>
          <w:u w:val="single"/>
          <w:lang w:val="en"/>
        </w:rPr>
      </w:pPr>
      <w:r>
        <w:rPr>
          <w:rFonts w:eastAsia="Times New Roman"/>
          <w:lang w:val="en"/>
        </w:rPr>
        <w:t>5</w:t>
      </w:r>
      <w:r w:rsidR="007E6C65" w:rsidRPr="007E6C65">
        <w:rPr>
          <w:rFonts w:eastAsia="Times New Roman"/>
          <w:lang w:val="en"/>
        </w:rPr>
        <w:t>.5</w:t>
      </w:r>
      <w:r w:rsidR="007E6C65" w:rsidRPr="007E6C65">
        <w:rPr>
          <w:rFonts w:eastAsia="Times New Roman"/>
          <w:lang w:val="en"/>
        </w:rPr>
        <w:tab/>
      </w:r>
      <w:r w:rsidR="007E6C65" w:rsidRPr="006C4698">
        <w:rPr>
          <w:rFonts w:eastAsia="Times New Roman"/>
          <w:u w:val="single"/>
          <w:lang w:val="en"/>
        </w:rPr>
        <w:t>Limitations and Directions for Future Research</w:t>
      </w:r>
    </w:p>
    <w:p w14:paraId="0C1ABE54" w14:textId="77777777"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As with any empirical research, our study is subject to limitations. In terms of nationality, our sample is not representative of the demographics of those domestic workers employed on Overseas Domestic Worker Visas in 2022 the UK. Due to the increasing number of workers on Overseas Domestic Work visas from the Indian sub-continent, attempts were made also to seed respondents from this community. This proved difficult, with anecdotal information suggesting that domestic workers from this community </w:t>
      </w:r>
      <w:r w:rsidRPr="23ADB1D8">
        <w:rPr>
          <w:rFonts w:ascii="var(--bs-body-font-family)" w:hAnsi="var(--bs-body-font-family)"/>
          <w:lang w:val="en-US"/>
        </w:rPr>
        <w:lastRenderedPageBreak/>
        <w:t xml:space="preserve">rarely had access to a personal mobile phone. It is not therefore possible to infer 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within this sub-section of the domestic worker population.</w:t>
      </w:r>
    </w:p>
    <w:p w14:paraId="79045981" w14:textId="5A3C94B2" w:rsidR="00AA7A35" w:rsidRDefault="003B681D" w:rsidP="00E669D5">
      <w:pPr>
        <w:pStyle w:val="NormalWeb"/>
        <w:spacing w:line="480" w:lineRule="auto"/>
        <w:divId w:val="1975518704"/>
        <w:rPr>
          <w:rFonts w:ascii="var(--bs-body-font-family)" w:hAnsi="var(--bs-body-font-family)" w:hint="eastAsia"/>
          <w:lang w:val="en-US"/>
        </w:rPr>
      </w:pPr>
      <w:r w:rsidRPr="481442D0">
        <w:rPr>
          <w:rFonts w:ascii="var(--bs-body-font-family)" w:hAnsi="var(--bs-body-font-family)"/>
          <w:lang w:val="en-US"/>
        </w:rPr>
        <w:t>As the network structure of our sample demonstrates, even with a well-designed incentive scheme it proved difficult to recruit respondents from these communities of domestic workers in subsequent sampling waves in the time available. Most of our respondents are therefore original sample members draw from the three domestic worker communities used to seed the survey.</w:t>
      </w:r>
      <w:r w:rsidR="4F906A24" w:rsidRPr="481442D0">
        <w:rPr>
          <w:rFonts w:ascii="var(--bs-body-font-family)" w:hAnsi="var(--bs-body-font-family)"/>
          <w:lang w:val="en-US"/>
        </w:rPr>
        <w:t xml:space="preserve">  Although the absolute sample size is small, RDS and NSUM derive their statistical power from network structure rather than sample count, providing design-consistent population estimates under the stated assumptions.</w:t>
      </w:r>
    </w:p>
    <w:p w14:paraId="36EAA486" w14:textId="586AC05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 xml:space="preserve">We believe that web-RDS combined with statistical estimators such as NSUM offers an important method for the capture and comparison of relative proportions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and abuse</w:t>
      </w:r>
      <w:r w:rsidR="00455F45">
        <w:rPr>
          <w:rFonts w:ascii="var(--bs-body-font-family)" w:hAnsi="var(--bs-body-font-family)"/>
          <w:lang w:val="en-US"/>
        </w:rPr>
        <w:t xml:space="preserve"> by civil society actors</w:t>
      </w:r>
      <w:r w:rsidRPr="23ADB1D8">
        <w:rPr>
          <w:rFonts w:ascii="var(--bs-body-font-family)" w:hAnsi="var(--bs-body-font-family)"/>
          <w:lang w:val="en-US"/>
        </w:rPr>
        <w:t xml:space="preserve"> in sectors within and beyond the UK. Network scale up methods, and potential enhancements such as </w:t>
      </w:r>
      <w:proofErr w:type="spellStart"/>
      <w:r w:rsidRPr="23ADB1D8">
        <w:rPr>
          <w:rFonts w:ascii="var(--bs-body-font-family)" w:hAnsi="var(--bs-body-font-family)"/>
          <w:lang w:val="en-US"/>
        </w:rPr>
        <w:t>Generalised</w:t>
      </w:r>
      <w:proofErr w:type="spellEnd"/>
      <w:r w:rsidRPr="23ADB1D8">
        <w:rPr>
          <w:rFonts w:ascii="var(--bs-body-font-family)" w:hAnsi="var(--bs-body-font-family)"/>
          <w:lang w:val="en-US"/>
        </w:rPr>
        <w:t xml:space="preserve"> network scale up estimators offer to enhance understanding, not least within operations and supply chain management research, of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in different sectors and across industries. The differences in NSUM and RDS estimates warrants further </w:t>
      </w:r>
      <w:r w:rsidR="00756D42" w:rsidRPr="23ADB1D8">
        <w:rPr>
          <w:rFonts w:ascii="var(--bs-body-font-family)" w:hAnsi="var(--bs-body-font-family)"/>
          <w:lang w:val="en-US"/>
        </w:rPr>
        <w:t>investigation</w:t>
      </w:r>
      <w:r w:rsidRPr="23ADB1D8">
        <w:rPr>
          <w:rFonts w:ascii="var(--bs-body-font-family)" w:hAnsi="var(--bs-body-font-family)"/>
          <w:lang w:val="en-US"/>
        </w:rPr>
        <w:t xml:space="preserve"> and suggests research into </w:t>
      </w:r>
      <w:r w:rsidRPr="23ADB1D8">
        <w:rPr>
          <w:rStyle w:val="Emphasis"/>
          <w:rFonts w:ascii="var(--bs-body-font-family)" w:hAnsi="var(--bs-body-font-family)"/>
          <w:lang w:val="en-US"/>
        </w:rPr>
        <w:t>combining</w:t>
      </w:r>
      <w:r w:rsidRPr="23ADB1D8">
        <w:rPr>
          <w:rFonts w:ascii="var(--bs-body-font-family)" w:hAnsi="var(--bs-body-font-family)"/>
          <w:lang w:val="en-US"/>
        </w:rPr>
        <w:t xml:space="preserve"> multiple estimates may be a fruitful direction in human rights research and especially </w:t>
      </w:r>
      <w:r w:rsidR="00756D42" w:rsidRPr="23ADB1D8">
        <w:rPr>
          <w:rFonts w:ascii="var(--bs-body-font-family)" w:hAnsi="var(--bs-body-font-family)"/>
          <w:lang w:val="en-US"/>
        </w:rPr>
        <w:t>prevalence</w:t>
      </w:r>
      <w:r w:rsidRPr="23ADB1D8">
        <w:rPr>
          <w:rFonts w:ascii="var(--bs-body-font-family)" w:hAnsi="var(--bs-body-font-family)"/>
          <w:lang w:val="en-US"/>
        </w:rPr>
        <w:t xml:space="preserve"> of modern slavery research.</w:t>
      </w:r>
    </w:p>
    <w:p w14:paraId="62B6697E" w14:textId="63C09019" w:rsidR="00AA7A35" w:rsidRPr="00ED6819" w:rsidRDefault="00770951" w:rsidP="00ED6819">
      <w:pPr>
        <w:pStyle w:val="Heading1"/>
        <w:divId w:val="1975518704"/>
      </w:pPr>
      <w:r w:rsidRPr="00653402">
        <w:t xml:space="preserve"> </w:t>
      </w:r>
      <w:r w:rsidR="00ED6819" w:rsidRPr="00ED6819">
        <w:t xml:space="preserve">6. </w:t>
      </w:r>
      <w:r w:rsidRPr="00ED6819">
        <w:t>Conclusion</w:t>
      </w:r>
    </w:p>
    <w:p w14:paraId="0AF9E530" w14:textId="4B33D2F0" w:rsidR="00AA7A35" w:rsidRDefault="003B681D" w:rsidP="00E669D5">
      <w:pPr>
        <w:pStyle w:val="NormalWeb"/>
        <w:spacing w:line="480" w:lineRule="auto"/>
        <w:divId w:val="1975518704"/>
        <w:rPr>
          <w:rFonts w:ascii="var(--bs-body-font-family)" w:hAnsi="var(--bs-body-font-family)" w:hint="eastAsia"/>
          <w:lang w:val="en-US"/>
        </w:rPr>
      </w:pPr>
      <w:r w:rsidRPr="23ADB1D8">
        <w:rPr>
          <w:rFonts w:ascii="var(--bs-body-font-family)" w:hAnsi="var(--bs-body-font-family)"/>
          <w:lang w:val="en-US"/>
        </w:rPr>
        <w:t>This article examines original quantitative data collected</w:t>
      </w:r>
      <w:r w:rsidR="00B41349">
        <w:rPr>
          <w:rFonts w:ascii="var(--bs-body-font-family)" w:hAnsi="var(--bs-body-font-family)"/>
          <w:lang w:val="en-US"/>
        </w:rPr>
        <w:t xml:space="preserve"> with the help of civil society actors</w:t>
      </w:r>
      <w:r w:rsidRPr="23ADB1D8">
        <w:rPr>
          <w:rFonts w:ascii="var(--bs-body-font-family)" w:hAnsi="var(--bs-body-font-family)"/>
          <w:lang w:val="en-US"/>
        </w:rPr>
        <w:t xml:space="preserve"> from domestic workers based in the UK to measure and assess the nature and </w:t>
      </w:r>
      <w:r w:rsidRPr="23ADB1D8">
        <w:rPr>
          <w:rFonts w:ascii="var(--bs-body-font-family)" w:hAnsi="var(--bs-body-font-family)"/>
          <w:lang w:val="en-US"/>
        </w:rPr>
        <w:lastRenderedPageBreak/>
        <w:t xml:space="preserve">prevalence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this vulnerable population. Our contribution lies in the presentation of two different statistical estimators based upon RDS and NSUM techniques and the construction of both binary and composite risk indices from indicators </w:t>
      </w:r>
      <w:proofErr w:type="spellStart"/>
      <w:r w:rsidRPr="23ADB1D8">
        <w:rPr>
          <w:rFonts w:ascii="var(--bs-body-font-family)" w:hAnsi="var(--bs-body-font-family)"/>
          <w:lang w:val="en-US"/>
        </w:rPr>
        <w:t>recognised</w:t>
      </w:r>
      <w:proofErr w:type="spellEnd"/>
      <w:r w:rsidRPr="23ADB1D8">
        <w:rPr>
          <w:rFonts w:ascii="var(--bs-body-font-family)" w:hAnsi="var(--bs-body-font-family)"/>
          <w:lang w:val="en-US"/>
        </w:rPr>
        <w:t xml:space="preserve"> by the International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Organization. In so doing, we shed new light on </w:t>
      </w:r>
      <w:r w:rsidR="00B41349">
        <w:rPr>
          <w:rFonts w:ascii="var(--bs-body-font-family)" w:hAnsi="var(--bs-body-font-family)"/>
          <w:lang w:val="en-US"/>
        </w:rPr>
        <w:t>how quantitative methods</w:t>
      </w:r>
      <w:r w:rsidR="0011230D">
        <w:rPr>
          <w:rFonts w:ascii="var(--bs-body-font-family)" w:hAnsi="var(--bs-body-font-family)"/>
          <w:lang w:val="en-US"/>
        </w:rPr>
        <w:t xml:space="preserve"> may be used</w:t>
      </w:r>
      <w:r w:rsidR="002B4612">
        <w:rPr>
          <w:rFonts w:ascii="var(--bs-body-font-family)" w:hAnsi="var(--bs-body-font-family)"/>
          <w:lang w:val="en-US"/>
        </w:rPr>
        <w:t xml:space="preserve"> to assess </w:t>
      </w:r>
      <w:r w:rsidRPr="23ADB1D8">
        <w:rPr>
          <w:rFonts w:ascii="var(--bs-body-font-family)" w:hAnsi="var(--bs-body-font-family)"/>
          <w:lang w:val="en-US"/>
        </w:rPr>
        <w:t xml:space="preserve">the nature and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risk among </w:t>
      </w:r>
      <w:r w:rsidR="006D0F30">
        <w:rPr>
          <w:rFonts w:ascii="var(--bs-body-font-family)" w:hAnsi="var(--bs-body-font-family)"/>
          <w:lang w:val="en-US"/>
        </w:rPr>
        <w:t xml:space="preserve">these and other </w:t>
      </w:r>
      <w:r w:rsidR="00C62971">
        <w:rPr>
          <w:rFonts w:ascii="var(--bs-body-font-family)" w:hAnsi="var(--bs-body-font-family)"/>
          <w:lang w:val="en-US"/>
        </w:rPr>
        <w:t xml:space="preserve">such </w:t>
      </w:r>
      <w:r w:rsidRPr="23ADB1D8">
        <w:rPr>
          <w:rFonts w:ascii="var(--bs-body-font-family)" w:hAnsi="var(--bs-body-font-family)"/>
          <w:lang w:val="en-US"/>
        </w:rPr>
        <w:t>vulnerable</w:t>
      </w:r>
      <w:r w:rsidR="00C62971">
        <w:rPr>
          <w:rFonts w:ascii="var(--bs-body-font-family)" w:hAnsi="var(--bs-body-font-family)"/>
          <w:lang w:val="en-US"/>
        </w:rPr>
        <w:t xml:space="preserve"> hard-to-reach</w:t>
      </w:r>
      <w:r w:rsidRPr="23ADB1D8">
        <w:rPr>
          <w:rFonts w:ascii="var(--bs-body-font-family)" w:hAnsi="var(--bs-body-font-family)"/>
          <w:lang w:val="en-US"/>
        </w:rPr>
        <w:t xml:space="preserve"> workers, who </w:t>
      </w:r>
      <w:r w:rsidR="006D0F30">
        <w:rPr>
          <w:rFonts w:ascii="var(--bs-body-font-family)" w:hAnsi="var(--bs-body-font-family)"/>
          <w:lang w:val="en-US"/>
        </w:rPr>
        <w:t xml:space="preserve">typically </w:t>
      </w:r>
      <w:r w:rsidRPr="23ADB1D8">
        <w:rPr>
          <w:rFonts w:ascii="var(--bs-body-font-family)" w:hAnsi="var(--bs-body-font-family)"/>
          <w:lang w:val="en-US"/>
        </w:rPr>
        <w:t xml:space="preserve">enter </w:t>
      </w:r>
      <w:r w:rsidR="006D0F30">
        <w:rPr>
          <w:rFonts w:ascii="var(--bs-body-font-family)" w:hAnsi="var(--bs-body-font-family)"/>
          <w:lang w:val="en-US"/>
        </w:rPr>
        <w:t xml:space="preserve">their destination countries </w:t>
      </w:r>
      <w:r w:rsidRPr="23ADB1D8">
        <w:rPr>
          <w:rFonts w:ascii="var(--bs-body-font-family)" w:hAnsi="var(--bs-body-font-family)"/>
          <w:lang w:val="en-US"/>
        </w:rPr>
        <w:t>on restricted visas</w:t>
      </w:r>
      <w:r w:rsidR="008372DE">
        <w:rPr>
          <w:rFonts w:ascii="var(--bs-body-font-family)" w:hAnsi="var(--bs-body-font-family)"/>
          <w:lang w:val="en-US"/>
        </w:rPr>
        <w:t>,</w:t>
      </w:r>
      <w:r w:rsidRPr="23ADB1D8">
        <w:rPr>
          <w:rFonts w:ascii="var(--bs-body-font-family)" w:hAnsi="var(--bs-body-font-family)"/>
          <w:lang w:val="en-US"/>
        </w:rPr>
        <w:t xml:space="preserve"> in the</w:t>
      </w:r>
      <w:r w:rsidR="009D21CD">
        <w:rPr>
          <w:rFonts w:ascii="var(--bs-body-font-family)" w:hAnsi="var(--bs-body-font-family)"/>
          <w:lang w:val="en-US"/>
        </w:rPr>
        <w:t>ir</w:t>
      </w:r>
      <w:r w:rsidRPr="23ADB1D8">
        <w:rPr>
          <w:rFonts w:ascii="var(--bs-body-font-family)" w:hAnsi="var(--bs-body-font-family)"/>
          <w:lang w:val="en-US"/>
        </w:rPr>
        <w:t xml:space="preserve"> </w:t>
      </w:r>
      <w:r w:rsidR="008372DE">
        <w:rPr>
          <w:rFonts w:ascii="var(--bs-body-font-family)" w:hAnsi="var(--bs-body-font-family)"/>
          <w:lang w:val="en-US"/>
        </w:rPr>
        <w:t>advocacy for</w:t>
      </w:r>
      <w:r w:rsidRPr="23ADB1D8">
        <w:rPr>
          <w:rFonts w:ascii="var(--bs-body-font-family)" w:hAnsi="var(--bs-body-font-family)"/>
          <w:lang w:val="en-US"/>
        </w:rPr>
        <w:t xml:space="preserve"> decent work. The results of our analysis raise important questions for both theory and practice about the range and accuracy of the estimates that it is possible to generate using these statistical techniques. Meaningful and trustworthy estimates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among such vulnerable groups are required if </w:t>
      </w:r>
      <w:r w:rsidR="002B4612">
        <w:rPr>
          <w:rFonts w:ascii="var(--bs-body-font-family)" w:hAnsi="var(--bs-body-font-family)"/>
          <w:lang w:val="en-US"/>
        </w:rPr>
        <w:t xml:space="preserve">civil society actors are to convince </w:t>
      </w:r>
      <w:r w:rsidRPr="23ADB1D8">
        <w:rPr>
          <w:rFonts w:ascii="var(--bs-body-font-family)" w:hAnsi="var(--bs-body-font-family)"/>
          <w:lang w:val="en-US"/>
        </w:rPr>
        <w:t>policymakers to make sensitive decisions about policy adjustments and the allocation of scarce resources to ensure entrants</w:t>
      </w:r>
      <w:r w:rsidR="00BE2434">
        <w:rPr>
          <w:rFonts w:ascii="var(--bs-body-font-family)" w:hAnsi="var(--bs-body-font-family)"/>
          <w:lang w:val="en-US"/>
        </w:rPr>
        <w:t>, such as those entering</w:t>
      </w:r>
      <w:r w:rsidRPr="23ADB1D8">
        <w:rPr>
          <w:rFonts w:ascii="var(--bs-body-font-family)" w:hAnsi="var(--bs-body-font-family)"/>
          <w:lang w:val="en-US"/>
        </w:rPr>
        <w:t xml:space="preserve"> the UK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market</w:t>
      </w:r>
      <w:r w:rsidR="00BE2434">
        <w:rPr>
          <w:rFonts w:ascii="var(--bs-body-font-family)" w:hAnsi="var(--bs-body-font-family)"/>
          <w:lang w:val="en-US"/>
        </w:rPr>
        <w:t>,</w:t>
      </w:r>
      <w:r w:rsidRPr="23ADB1D8">
        <w:rPr>
          <w:rFonts w:ascii="var(--bs-body-font-family)" w:hAnsi="var(--bs-body-font-family)"/>
          <w:lang w:val="en-US"/>
        </w:rPr>
        <w:t xml:space="preserve"> experience decent working conditions. We believe our study opens the way for further</w:t>
      </w:r>
      <w:r w:rsidR="0075379E">
        <w:rPr>
          <w:rFonts w:ascii="var(--bs-body-font-family)" w:hAnsi="var(--bs-body-font-family)"/>
          <w:lang w:val="en-US"/>
        </w:rPr>
        <w:t xml:space="preserve"> </w:t>
      </w:r>
      <w:r w:rsidR="00AE3E67">
        <w:rPr>
          <w:rFonts w:ascii="var(--bs-body-font-family)" w:hAnsi="var(--bs-body-font-family)"/>
          <w:lang w:val="en-US"/>
        </w:rPr>
        <w:t>transdisciplinar</w:t>
      </w:r>
      <w:r w:rsidR="00AE3E67">
        <w:rPr>
          <w:rFonts w:ascii="var(--bs-body-font-family)" w:hAnsi="var(--bs-body-font-family)" w:hint="eastAsia"/>
          <w:lang w:val="en-US"/>
        </w:rPr>
        <w:t>y</w:t>
      </w:r>
      <w:r w:rsidRPr="23ADB1D8">
        <w:rPr>
          <w:rFonts w:ascii="var(--bs-body-font-family)" w:hAnsi="var(--bs-body-font-family)"/>
          <w:lang w:val="en-US"/>
        </w:rPr>
        <w:t xml:space="preserve"> research on the efficacious use of statistical estimators to measure the size of hidden populations of exploited</w:t>
      </w:r>
      <w:r w:rsidR="00BE2434">
        <w:rPr>
          <w:rFonts w:ascii="var(--bs-body-font-family)" w:hAnsi="var(--bs-body-font-family)"/>
          <w:lang w:val="en-US"/>
        </w:rPr>
        <w:t>, hard-to-reach</w:t>
      </w:r>
      <w:r w:rsidR="00EC2B35">
        <w:rPr>
          <w:rFonts w:ascii="var(--bs-body-font-family)" w:hAnsi="var(--bs-body-font-family)"/>
          <w:lang w:val="en-US"/>
        </w:rPr>
        <w:t>,</w:t>
      </w:r>
      <w:r w:rsidRPr="23ADB1D8">
        <w:rPr>
          <w:rFonts w:ascii="var(--bs-body-font-family)" w:hAnsi="var(--bs-body-font-family)"/>
          <w:lang w:val="en-US"/>
        </w:rPr>
        <w:t xml:space="preserve"> workers and the identification of appropriate means to quantify the extent of </w:t>
      </w:r>
      <w:proofErr w:type="spellStart"/>
      <w:r w:rsidRPr="23ADB1D8">
        <w:rPr>
          <w:rFonts w:ascii="var(--bs-body-font-family)" w:hAnsi="var(--bs-body-font-family)"/>
          <w:lang w:val="en-US"/>
        </w:rPr>
        <w:t>labour</w:t>
      </w:r>
      <w:proofErr w:type="spellEnd"/>
      <w:r w:rsidRPr="23ADB1D8">
        <w:rPr>
          <w:rFonts w:ascii="var(--bs-body-font-family)" w:hAnsi="var(--bs-body-font-family)"/>
          <w:lang w:val="en-US"/>
        </w:rPr>
        <w:t xml:space="preserve"> exploitation </w:t>
      </w:r>
      <w:r w:rsidR="00EC2B35">
        <w:rPr>
          <w:rFonts w:ascii="var(--bs-body-font-family)" w:hAnsi="var(--bs-body-font-family)"/>
          <w:lang w:val="en-US"/>
        </w:rPr>
        <w:t>experienced</w:t>
      </w:r>
      <w:r w:rsidRPr="23ADB1D8">
        <w:rPr>
          <w:rFonts w:ascii="var(--bs-body-font-family)" w:hAnsi="var(--bs-body-font-family)"/>
          <w:lang w:val="en-US"/>
        </w:rPr>
        <w:t>.</w:t>
      </w:r>
    </w:p>
    <w:p w14:paraId="6D54ED19" w14:textId="77777777" w:rsidR="004248E3" w:rsidRDefault="004248E3" w:rsidP="00E669D5">
      <w:pPr>
        <w:pStyle w:val="NormalWeb"/>
        <w:spacing w:line="480" w:lineRule="auto"/>
        <w:divId w:val="1975518704"/>
        <w:rPr>
          <w:rFonts w:ascii="var(--bs-body-font-family)" w:hAnsi="var(--bs-body-font-family)" w:hint="eastAsia"/>
          <w:lang w:val="en-US"/>
        </w:rPr>
      </w:pPr>
    </w:p>
    <w:p w14:paraId="2FDA10D2" w14:textId="5E5D20F2" w:rsidR="00AA7A35" w:rsidRDefault="003B681D" w:rsidP="00ED6819">
      <w:pPr>
        <w:pStyle w:val="Heading1"/>
        <w:divId w:val="1975518704"/>
      </w:pPr>
      <w:r w:rsidRPr="006C4698">
        <w:t>References</w:t>
      </w:r>
    </w:p>
    <w:p w14:paraId="51420C9E" w14:textId="77777777" w:rsidR="006958C1" w:rsidRDefault="00D33C0A" w:rsidP="006958C1">
      <w:pPr>
        <w:pStyle w:val="Bibliography"/>
      </w:pPr>
      <w:r>
        <w:fldChar w:fldCharType="begin"/>
      </w:r>
      <w:r w:rsidR="005415CD">
        <w:instrText xml:space="preserve"> ADDIN ZOTERO_BIBL {"uncited":[],"omitted":[],"custom":[]} CSL_BIBLIOGRAPHY </w:instrText>
      </w:r>
      <w:r>
        <w:fldChar w:fldCharType="separate"/>
      </w:r>
      <w:r w:rsidR="006958C1">
        <w:t xml:space="preserve">Abdul-Quader, A.S. </w:t>
      </w:r>
      <w:r w:rsidR="006958C1">
        <w:rPr>
          <w:i/>
          <w:iCs/>
        </w:rPr>
        <w:t>et al.</w:t>
      </w:r>
      <w:r w:rsidR="006958C1">
        <w:t xml:space="preserve"> (2006) ‘Effectiveness of respondent-driven sampling for recruiting drug users in New York City: findings from a pilot study’, </w:t>
      </w:r>
      <w:r w:rsidR="006958C1">
        <w:rPr>
          <w:i/>
          <w:iCs/>
        </w:rPr>
        <w:t>Journal of Urban Health</w:t>
      </w:r>
      <w:r w:rsidR="006958C1">
        <w:t>, 83(3), pp. 459–76.</w:t>
      </w:r>
    </w:p>
    <w:p w14:paraId="6DEAF511" w14:textId="77777777" w:rsidR="006958C1" w:rsidRDefault="006958C1" w:rsidP="006958C1">
      <w:pPr>
        <w:pStyle w:val="Bibliography"/>
      </w:pPr>
      <w:r>
        <w:t xml:space="preserve">Alberti, G. and Cutter, J. (2022) ‘Labour migration policy post-Brexit: The contested meaning of regulation by old and new actors’, </w:t>
      </w:r>
      <w:r>
        <w:rPr>
          <w:i/>
          <w:iCs/>
        </w:rPr>
        <w:t>Industrial Relations Journal</w:t>
      </w:r>
      <w:r>
        <w:t>, 53(5), pp. 430–445. Available at: https://doi.org/10.1111/irj.12382.</w:t>
      </w:r>
    </w:p>
    <w:p w14:paraId="69C88E0D" w14:textId="77777777" w:rsidR="006958C1" w:rsidRDefault="006958C1" w:rsidP="006958C1">
      <w:pPr>
        <w:pStyle w:val="Bibliography"/>
      </w:pPr>
      <w:r>
        <w:lastRenderedPageBreak/>
        <w:t xml:space="preserve">Alberti, G. and Però, D. (2018) ‘Migrating Industrial Relations: Migrant Workers’ Initiative Within and Outside Trade Unions’, </w:t>
      </w:r>
      <w:r>
        <w:rPr>
          <w:i/>
          <w:iCs/>
        </w:rPr>
        <w:t>British Journal of Industrial Relations</w:t>
      </w:r>
      <w:r>
        <w:t>, 56(4), pp. 693–715. Available at: https://doi.org/10.1111/bjir.12308.</w:t>
      </w:r>
    </w:p>
    <w:p w14:paraId="4DFE72BF" w14:textId="77777777" w:rsidR="006958C1" w:rsidRDefault="006958C1" w:rsidP="006958C1">
      <w:pPr>
        <w:pStyle w:val="Bibliography"/>
      </w:pPr>
      <w:r>
        <w:t xml:space="preserve">Benstead, A.V., Hendry, L.C. and Stevenson, M. (2018) ‘Horizontal collaboration in response to modern slavery legislation: An action research project’, </w:t>
      </w:r>
      <w:r>
        <w:rPr>
          <w:i/>
          <w:iCs/>
        </w:rPr>
        <w:t>International Journal of Operations &amp;amp; Production Management</w:t>
      </w:r>
      <w:r>
        <w:t>, 38(12), pp. 2286–2312. Available at: https://doi.org/10.1108/IJOPM-10-2017-0611.</w:t>
      </w:r>
    </w:p>
    <w:p w14:paraId="3584E40D" w14:textId="77777777" w:rsidR="006958C1" w:rsidRDefault="006958C1" w:rsidP="006958C1">
      <w:pPr>
        <w:pStyle w:val="Bibliography"/>
      </w:pPr>
      <w:r>
        <w:t xml:space="preserve">Bernhardt, A., Milkman, R.T., and N. (2009) </w:t>
      </w:r>
      <w:r>
        <w:rPr>
          <w:i/>
          <w:iCs/>
        </w:rPr>
        <w:t>Broken laws, unprotected workers: Violations of employment and labor laws in america’s cities</w:t>
      </w:r>
      <w:r>
        <w:t>. UCLA IRLE Report.</w:t>
      </w:r>
    </w:p>
    <w:p w14:paraId="462D9852" w14:textId="77777777" w:rsidR="006958C1" w:rsidRDefault="006958C1" w:rsidP="006958C1">
      <w:pPr>
        <w:pStyle w:val="Bibliography"/>
      </w:pPr>
      <w:r>
        <w:t xml:space="preserve">Brown, J.S., Schonfeld, T.L. and Gordon, B.G. (2006) ‘You may have already won...”: An examination of the use of lottery payments in research’, </w:t>
      </w:r>
      <w:r>
        <w:rPr>
          <w:i/>
          <w:iCs/>
        </w:rPr>
        <w:t>IRB: Ethics &amp; Human Research</w:t>
      </w:r>
      <w:r>
        <w:t>, 28(1), pp. 12–16.</w:t>
      </w:r>
    </w:p>
    <w:p w14:paraId="5E395435" w14:textId="77777777" w:rsidR="006958C1" w:rsidRDefault="006958C1" w:rsidP="006958C1">
      <w:pPr>
        <w:pStyle w:val="Bibliography"/>
      </w:pPr>
      <w:r>
        <w:t xml:space="preserve">Brunovskis, A. and Surtees, R. (2010) ‘Untold stories: biases and selection effects in research with victims of trafficking for sexual exploitation’, </w:t>
      </w:r>
      <w:r>
        <w:rPr>
          <w:i/>
          <w:iCs/>
        </w:rPr>
        <w:t>International Migration</w:t>
      </w:r>
      <w:r>
        <w:t>, 48(4), pp. 1–37.</w:t>
      </w:r>
    </w:p>
    <w:p w14:paraId="58606DF6" w14:textId="77777777" w:rsidR="006958C1" w:rsidRDefault="006958C1" w:rsidP="006958C1">
      <w:pPr>
        <w:pStyle w:val="Bibliography"/>
      </w:pPr>
      <w:r>
        <w:t xml:space="preserve">Cobanoglu, C. and Cobanoglu, N. (2003) ‘The effect of incentives in web surveys: application and ethical considerations’, </w:t>
      </w:r>
      <w:r>
        <w:rPr>
          <w:i/>
          <w:iCs/>
        </w:rPr>
        <w:t>International Journal of Market Research</w:t>
      </w:r>
      <w:r>
        <w:t>, 45(4), pp. 1–13.</w:t>
      </w:r>
    </w:p>
    <w:p w14:paraId="0667681D" w14:textId="77777777" w:rsidR="006958C1" w:rsidRDefault="006958C1" w:rsidP="006958C1">
      <w:pPr>
        <w:pStyle w:val="Bibliography"/>
      </w:pPr>
      <w:r>
        <w:t xml:space="preserve">DeJong, J. </w:t>
      </w:r>
      <w:r>
        <w:rPr>
          <w:i/>
          <w:iCs/>
        </w:rPr>
        <w:t>et al.</w:t>
      </w:r>
      <w:r>
        <w:t xml:space="preserve"> (2009) ‘Ethical considerations in HIV/AIDS biobehavioral surveys that use respondent-driven sampling: illustrations from Lebanon’, </w:t>
      </w:r>
      <w:r>
        <w:rPr>
          <w:i/>
          <w:iCs/>
        </w:rPr>
        <w:t>American Journal of Public Health</w:t>
      </w:r>
      <w:r>
        <w:t>, 99(9), pp. 1562–1567.</w:t>
      </w:r>
    </w:p>
    <w:p w14:paraId="4811C9AC" w14:textId="77777777" w:rsidR="006958C1" w:rsidRDefault="006958C1" w:rsidP="006958C1">
      <w:pPr>
        <w:pStyle w:val="Bibliography"/>
      </w:pPr>
      <w:r>
        <w:t>European Commission (2012) ‘Staff Working Docuemnt on exploitating the employment potential of the personal and household services, SWD (2012) final’.</w:t>
      </w:r>
    </w:p>
    <w:p w14:paraId="6D729A9B" w14:textId="77777777" w:rsidR="006958C1" w:rsidRDefault="006958C1" w:rsidP="006958C1">
      <w:pPr>
        <w:pStyle w:val="Bibliography"/>
      </w:pPr>
      <w:r>
        <w:t>European Union for Fundamental Rights (2015) ‘Severe labour exploitation: workers moving within or into the European Union’. Available at: https://doi.org/10.1163/2210-7975_HRD-9992-2016018.</w:t>
      </w:r>
    </w:p>
    <w:p w14:paraId="60A22551" w14:textId="77777777" w:rsidR="006958C1" w:rsidRDefault="006958C1" w:rsidP="006958C1">
      <w:pPr>
        <w:pStyle w:val="Bibliography"/>
      </w:pPr>
      <w:r>
        <w:t xml:space="preserve">Feehan, D.M. and Salganick, M.J. (2016) </w:t>
      </w:r>
      <w:r>
        <w:rPr>
          <w:i/>
          <w:iCs/>
        </w:rPr>
        <w:t>Generalizing the Network Scale-up Method: A New Estimator for the Size of Hidden Populations - Dennis M. Feehan, Matthew J. Salganik, 2016</w:t>
      </w:r>
      <w:r>
        <w:t>. Available at: https://journals.sagepub.com/doi/10.1177/0081175016665425 (Accessed: 12 March 2024).</w:t>
      </w:r>
    </w:p>
    <w:p w14:paraId="477E7BC0" w14:textId="77777777" w:rsidR="006958C1" w:rsidRDefault="006958C1" w:rsidP="006958C1">
      <w:pPr>
        <w:pStyle w:val="Bibliography"/>
      </w:pPr>
      <w:r>
        <w:t xml:space="preserve">Gajic, A., Cameron, D. and Hurley, J. (2012) ‘The cost-effectiveness of cash versus lottery incentives for a web-based, stated-preference community survey’, </w:t>
      </w:r>
      <w:r>
        <w:rPr>
          <w:i/>
          <w:iCs/>
        </w:rPr>
        <w:t>The European Journal of Health Economics</w:t>
      </w:r>
      <w:r>
        <w:t>, 13(6), pp. 789–799.</w:t>
      </w:r>
    </w:p>
    <w:p w14:paraId="5A5E6118" w14:textId="77777777" w:rsidR="006958C1" w:rsidRDefault="006958C1" w:rsidP="006958C1">
      <w:pPr>
        <w:pStyle w:val="Bibliography"/>
      </w:pPr>
      <w:r>
        <w:t xml:space="preserve">Gile, K.J. (2011) ‘Improved Inference for Respondent-Driven Sampling Data With Application to HIV Prevalence Estimation’, </w:t>
      </w:r>
      <w:r>
        <w:rPr>
          <w:i/>
          <w:iCs/>
        </w:rPr>
        <w:t>Journal of the American Statistical Association</w:t>
      </w:r>
      <w:r>
        <w:t>, 106(493), pp. 135–146. Available at: https://doi.org/10.1198/jasa.2011.ap09475.</w:t>
      </w:r>
    </w:p>
    <w:p w14:paraId="71BFC895" w14:textId="77777777" w:rsidR="006958C1" w:rsidRDefault="006958C1" w:rsidP="006958C1">
      <w:pPr>
        <w:pStyle w:val="Bibliography"/>
      </w:pPr>
      <w:r>
        <w:t xml:space="preserve">Gile, K.J. </w:t>
      </w:r>
      <w:r>
        <w:rPr>
          <w:i/>
          <w:iCs/>
        </w:rPr>
        <w:t>et al.</w:t>
      </w:r>
      <w:r>
        <w:t xml:space="preserve"> (2018) ‘Methods for inference from respondent-driven sampling data’, </w:t>
      </w:r>
      <w:r>
        <w:rPr>
          <w:i/>
          <w:iCs/>
        </w:rPr>
        <w:t>Annual Review of Statistics and Its Application</w:t>
      </w:r>
      <w:r>
        <w:t>, 5(1), pp. 65–93. Available at: https://doi.org/10.1146/annurev-statistics-031017-100704.</w:t>
      </w:r>
    </w:p>
    <w:p w14:paraId="657EE76D" w14:textId="77777777" w:rsidR="006958C1" w:rsidRDefault="006958C1" w:rsidP="006958C1">
      <w:pPr>
        <w:pStyle w:val="Bibliography"/>
      </w:pPr>
      <w:r>
        <w:lastRenderedPageBreak/>
        <w:t xml:space="preserve">Gile, K.J. and Handcock, M.S. (2010) ‘Respondent-Driven Sampling: An Assessment of Current Methodology’, </w:t>
      </w:r>
      <w:r>
        <w:rPr>
          <w:i/>
          <w:iCs/>
        </w:rPr>
        <w:t>Sociological Methodology</w:t>
      </w:r>
      <w:r>
        <w:t>, 40(1), pp. 285–327. Available at: https://doi.org/10.1111/j.1467-9531.2010.01223.x.</w:t>
      </w:r>
    </w:p>
    <w:p w14:paraId="50811EA2" w14:textId="77777777" w:rsidR="006958C1" w:rsidRDefault="006958C1" w:rsidP="006958C1">
      <w:pPr>
        <w:pStyle w:val="Bibliography"/>
      </w:pPr>
      <w:r>
        <w:t xml:space="preserve">Gile, K.J. and Handcock, M.S. (2015) ‘Network Model-Assisted Inference from Respondent-Driven Sampling Data’, </w:t>
      </w:r>
      <w:r>
        <w:rPr>
          <w:i/>
          <w:iCs/>
        </w:rPr>
        <w:t>Journal of the Royal Statistical Society. Series A, (Statistics in Society)</w:t>
      </w:r>
      <w:r>
        <w:t>, 178(3), pp. 619–639. Available at: https://doi.org/10.1111/rssa.12091.</w:t>
      </w:r>
    </w:p>
    <w:p w14:paraId="0481051F" w14:textId="77777777" w:rsidR="006958C1" w:rsidRDefault="006958C1" w:rsidP="006958C1">
      <w:pPr>
        <w:pStyle w:val="Bibliography"/>
      </w:pPr>
      <w:r>
        <w:t xml:space="preserve">Goel, S. and Salganik, M.J. (2010) ‘Assessing respondent-driven sampling’, </w:t>
      </w:r>
      <w:r>
        <w:rPr>
          <w:i/>
          <w:iCs/>
        </w:rPr>
        <w:t>Proceedings of the National Academy of Sciences</w:t>
      </w:r>
      <w:r>
        <w:t>, 107(15), pp. 6743–6747. Available at: https://doi.org/10.1073/pnas.1000261107.</w:t>
      </w:r>
    </w:p>
    <w:p w14:paraId="64AE28B0" w14:textId="77777777" w:rsidR="006958C1" w:rsidRDefault="006958C1" w:rsidP="006958C1">
      <w:pPr>
        <w:pStyle w:val="Bibliography"/>
      </w:pPr>
      <w:r>
        <w:t xml:space="preserve">Gold, S., Trautrims, A. and Trodd, Z. (2015) ‘Modern slavery challenges to supply chain management’, </w:t>
      </w:r>
      <w:r>
        <w:rPr>
          <w:i/>
          <w:iCs/>
        </w:rPr>
        <w:t>Supply Chain Management: An International Journal</w:t>
      </w:r>
      <w:r>
        <w:t>, 20(5), pp. 485–494. Available at: https://doi.org/10.1108/SCM-02-2015-0046.</w:t>
      </w:r>
    </w:p>
    <w:p w14:paraId="085BCB25" w14:textId="77777777" w:rsidR="006958C1" w:rsidRDefault="006958C1" w:rsidP="006958C1">
      <w:pPr>
        <w:pStyle w:val="Bibliography"/>
      </w:pPr>
      <w:r>
        <w:t>Gower, M. (2016) ‘Calls to change overseas domestic worker visa conditions’. Available at: https://researchbriefings.files.parliament.uk/documents/SN04786/SN04786.pdf.</w:t>
      </w:r>
    </w:p>
    <w:p w14:paraId="448D10CD" w14:textId="77777777" w:rsidR="006958C1" w:rsidRDefault="006958C1" w:rsidP="006958C1">
      <w:pPr>
        <w:pStyle w:val="Bibliography"/>
      </w:pPr>
      <w:r>
        <w:t xml:space="preserve">Handcock, M.S., Gile, K.J. and Mar, C.M. (2014) ‘Estimating hidden population size using Respondent-Driven Sampling data’, </w:t>
      </w:r>
      <w:r>
        <w:rPr>
          <w:i/>
          <w:iCs/>
        </w:rPr>
        <w:t>Electronic Journal of Statistics</w:t>
      </w:r>
      <w:r>
        <w:t>, 8(1), pp. 1491–1521. Available at: https://doi.org/10.1214/14-EJS923.</w:t>
      </w:r>
    </w:p>
    <w:p w14:paraId="72CA5173" w14:textId="77777777" w:rsidR="006958C1" w:rsidRDefault="006958C1" w:rsidP="006958C1">
      <w:pPr>
        <w:pStyle w:val="Bibliography"/>
      </w:pPr>
      <w:r>
        <w:t xml:space="preserve">Heckathorn, D.D. (1997) ‘Respondent-Driven Sampling: A New Approach to the Study of Hidden Populations’, </w:t>
      </w:r>
      <w:r>
        <w:rPr>
          <w:i/>
          <w:iCs/>
        </w:rPr>
        <w:t>Social Problems</w:t>
      </w:r>
      <w:r>
        <w:t>, 44(2), pp. 174–199. Available at: https://doi.org/10.2307/3096941.</w:t>
      </w:r>
    </w:p>
    <w:p w14:paraId="56A3A5D5" w14:textId="77777777" w:rsidR="006958C1" w:rsidRDefault="006958C1" w:rsidP="006958C1">
      <w:pPr>
        <w:pStyle w:val="Bibliography"/>
      </w:pPr>
      <w:r>
        <w:t xml:space="preserve">Heckathorn, D.D. (2011) ‘Comment: Snowball versus respondent-driven sampling’, </w:t>
      </w:r>
      <w:r>
        <w:rPr>
          <w:i/>
          <w:iCs/>
        </w:rPr>
        <w:t>Sociological Methodology</w:t>
      </w:r>
      <w:r>
        <w:t>, 41(1), pp. 355–366.</w:t>
      </w:r>
    </w:p>
    <w:p w14:paraId="5F1DBC5C" w14:textId="77777777" w:rsidR="006958C1" w:rsidRDefault="006958C1" w:rsidP="006958C1">
      <w:pPr>
        <w:pStyle w:val="Bibliography"/>
      </w:pPr>
      <w:r>
        <w:t xml:space="preserve">Hickman, S. </w:t>
      </w:r>
      <w:r>
        <w:rPr>
          <w:i/>
          <w:iCs/>
        </w:rPr>
        <w:t>et al.</w:t>
      </w:r>
      <w:r>
        <w:t xml:space="preserve"> (2025) </w:t>
      </w:r>
      <w:r>
        <w:rPr>
          <w:i/>
          <w:iCs/>
        </w:rPr>
        <w:t>Human Trafficking Prevalence Estimation Feasibility Study | Bureau of Justice Statistics</w:t>
      </w:r>
      <w:r>
        <w:t>. Available at: https://bjs.ojp.gov/library/publications/human-trafficking-prevalence-estimation-feasibility-study (Accessed: 19 December 2025).</w:t>
      </w:r>
    </w:p>
    <w:p w14:paraId="12D0096A" w14:textId="77777777" w:rsidR="006958C1" w:rsidRDefault="006958C1" w:rsidP="006958C1">
      <w:pPr>
        <w:pStyle w:val="Bibliography"/>
      </w:pPr>
      <w:r>
        <w:t>Home Office (2023) ‘Why do people come to the UK to work?’ Available at: https://www.gov.uk/government/statistics/immigration-system-statistics-year-ending-june-2023/why-do-people-come-to-the-uk-to-work.</w:t>
      </w:r>
    </w:p>
    <w:p w14:paraId="5205E1E0" w14:textId="77777777" w:rsidR="006958C1" w:rsidRDefault="006958C1" w:rsidP="006958C1">
      <w:pPr>
        <w:pStyle w:val="Bibliography"/>
      </w:pPr>
      <w:r>
        <w:t xml:space="preserve">ILO (2011) </w:t>
      </w:r>
      <w:r>
        <w:rPr>
          <w:i/>
          <w:iCs/>
        </w:rPr>
        <w:t>C189 - Domestic Workers Convention, 2011 (No. 189)</w:t>
      </w:r>
      <w:r>
        <w:t>. Available at: https://normlex.ilo.org/dyn/nrmlx_en/f?p=NORMLEXPUB:55:0::NO::P55_TYPE%2CP55_LANG%2CP55_DOCUMENT%2CP55_NODE:SUP%2Cen%2CC189%2C%2FDocument (Accessed: 19 December 2025).</w:t>
      </w:r>
    </w:p>
    <w:p w14:paraId="46B73B52" w14:textId="77777777" w:rsidR="006958C1" w:rsidRDefault="006958C1" w:rsidP="006958C1">
      <w:pPr>
        <w:pStyle w:val="Bibliography"/>
      </w:pPr>
      <w:r>
        <w:t>I.L.O. (2012) ‘ILO indicators of forced labour’. Available at: https://www.ilo.org/global/topics/forced-labour/publications/WCMS_203832/lang--en/index.htm.</w:t>
      </w:r>
    </w:p>
    <w:p w14:paraId="7E6B96AC" w14:textId="77777777" w:rsidR="006958C1" w:rsidRDefault="006958C1" w:rsidP="006958C1">
      <w:pPr>
        <w:pStyle w:val="Bibliography"/>
      </w:pPr>
      <w:r>
        <w:t xml:space="preserve">IST Research and University of California, Los Angeles (2020) </w:t>
      </w:r>
      <w:r>
        <w:rPr>
          <w:i/>
          <w:iCs/>
        </w:rPr>
        <w:t>Estimating the Prevalence of Child Sex Trafficking in Mahashtra, India</w:t>
      </w:r>
      <w:r>
        <w:t>. Technical Report. Global Fund to End Modern Slavery.</w:t>
      </w:r>
    </w:p>
    <w:p w14:paraId="0080352E" w14:textId="77777777" w:rsidR="006958C1" w:rsidRDefault="006958C1" w:rsidP="006958C1">
      <w:pPr>
        <w:pStyle w:val="Bibliography"/>
      </w:pPr>
      <w:r>
        <w:lastRenderedPageBreak/>
        <w:t xml:space="preserve">Jordan, L. </w:t>
      </w:r>
      <w:r>
        <w:rPr>
          <w:i/>
          <w:iCs/>
        </w:rPr>
        <w:t>et al.</w:t>
      </w:r>
      <w:r>
        <w:t xml:space="preserve"> (2020) ‘Overcoming methodological challenges in prevalence studies in developing contexts with vulnerable children’, </w:t>
      </w:r>
      <w:r>
        <w:rPr>
          <w:i/>
          <w:iCs/>
        </w:rPr>
        <w:t>International Social Work</w:t>
      </w:r>
      <w:r>
        <w:t>, 63(3), pp. 371–385.</w:t>
      </w:r>
    </w:p>
    <w:p w14:paraId="5184E061" w14:textId="77777777" w:rsidR="006958C1" w:rsidRDefault="006958C1" w:rsidP="006958C1">
      <w:pPr>
        <w:pStyle w:val="Bibliography"/>
      </w:pPr>
      <w:r>
        <w:t>Kalayaan (2008) ‘The new bonded labour?’ Available at: http://www.kalayaan.org.uk/documents/Kalayaan%20Oxfam%20report.pdf.</w:t>
      </w:r>
    </w:p>
    <w:p w14:paraId="71A0CBB1" w14:textId="77777777" w:rsidR="006958C1" w:rsidRDefault="006958C1" w:rsidP="006958C1">
      <w:pPr>
        <w:pStyle w:val="Bibliography"/>
      </w:pPr>
      <w:r>
        <w:t xml:space="preserve">Laguilles, J.S., Williams, E.A. and Saunders, D.B. (2011) ‘Can lottery incentives boost web survey response rates? Findings from four experiments’, </w:t>
      </w:r>
      <w:r>
        <w:rPr>
          <w:i/>
          <w:iCs/>
        </w:rPr>
        <w:t>Research in Higher Education</w:t>
      </w:r>
      <w:r>
        <w:t>, 52(5), pp. 537–553.</w:t>
      </w:r>
    </w:p>
    <w:p w14:paraId="40B34488" w14:textId="77777777" w:rsidR="006958C1" w:rsidRDefault="006958C1" w:rsidP="006958C1">
      <w:pPr>
        <w:pStyle w:val="Bibliography"/>
      </w:pPr>
      <w:r>
        <w:t>Latin American Women’s Rights Service (2023) ‘Behind closed doors: Experiences of Latin American domestic workers in the UK’. Available at: https://lawrs.org.uk/wp-content/uploads/2023/08/Behind-closed-doors_domestic_work.pdf.</w:t>
      </w:r>
    </w:p>
    <w:p w14:paraId="3858D95E" w14:textId="77777777" w:rsidR="006958C1" w:rsidRDefault="006958C1" w:rsidP="006958C1">
      <w:pPr>
        <w:pStyle w:val="Bibliography"/>
      </w:pPr>
      <w:r>
        <w:t xml:space="preserve">Manoudi, A. </w:t>
      </w:r>
      <w:r>
        <w:rPr>
          <w:i/>
          <w:iCs/>
        </w:rPr>
        <w:t>et al.</w:t>
      </w:r>
      <w:r>
        <w:t xml:space="preserve"> (2018) </w:t>
      </w:r>
      <w:r>
        <w:rPr>
          <w:i/>
          <w:iCs/>
        </w:rPr>
        <w:t>An analysis of Personal and Household Services to support work life balance for working parents and carers - Google Search</w:t>
      </w:r>
      <w:r>
        <w:t>. Synthesis Report ECE Thematic Review. European Commission. Available at: https://www.google.com/search?q=An+analysis+of+Personal+and+Household+Services+to+support+work+life+balance+for+working+parents+and+carers&amp;rlz=1C1GCEB_enGB932GB935&amp;oq=An+analysis+of+Personal+and+Household+Services+to+support+work+life+balance+for+working+parents+and+carers&amp;gs_lcrp=EgZjaHJvbWUyBggAEEUYOdIBCDIzNjNqMGo3qAIAsAIA&amp;sourceid=chrome&amp;ie=UTF-8 (Accessed: 28 October 2024).</w:t>
      </w:r>
    </w:p>
    <w:p w14:paraId="4397BB52" w14:textId="77777777" w:rsidR="006958C1" w:rsidRDefault="006958C1" w:rsidP="006958C1">
      <w:pPr>
        <w:pStyle w:val="Bibliography"/>
      </w:pPr>
      <w:r>
        <w:t xml:space="preserve">Mantouvalou, V. (2016) ‘Modern slavery? The UK visa system and the exploitation of migrant domestic workers’, in </w:t>
      </w:r>
      <w:r>
        <w:rPr>
          <w:i/>
          <w:iCs/>
        </w:rPr>
        <w:t>British politics and policy at LSE</w:t>
      </w:r>
      <w:r>
        <w:t>. Available at: https://blogs.lse.ac.uk/politicsandpolicy/exploitation-of-migrant-domestic-workers-in-the-uk/.</w:t>
      </w:r>
    </w:p>
    <w:p w14:paraId="2EFA2044" w14:textId="77777777" w:rsidR="006958C1" w:rsidRDefault="006958C1" w:rsidP="006958C1">
      <w:pPr>
        <w:pStyle w:val="Bibliography"/>
      </w:pPr>
      <w:r>
        <w:t xml:space="preserve">McCreesh, N. </w:t>
      </w:r>
      <w:r>
        <w:rPr>
          <w:i/>
          <w:iCs/>
        </w:rPr>
        <w:t>et al.</w:t>
      </w:r>
      <w:r>
        <w:t xml:space="preserve"> (2012) ‘Evaluation of respondent-driven sampling’, </w:t>
      </w:r>
      <w:r>
        <w:rPr>
          <w:i/>
          <w:iCs/>
        </w:rPr>
        <w:t>Epidemiology</w:t>
      </w:r>
      <w:r>
        <w:t>, 23(1), pp. 138–147. Available at: https://www.jstor.org/stable/23214188 (Accessed: 25 April 2023).</w:t>
      </w:r>
    </w:p>
    <w:p w14:paraId="4CB4A49F" w14:textId="77777777" w:rsidR="006958C1" w:rsidRDefault="006958C1" w:rsidP="006958C1">
      <w:pPr>
        <w:pStyle w:val="Bibliography"/>
      </w:pPr>
      <w:r>
        <w:t xml:space="preserve">New, S.J. (2015) ‘modern slavery and the supply chain: the limits of corporate social responsibility?’, </w:t>
      </w:r>
      <w:r>
        <w:rPr>
          <w:i/>
          <w:iCs/>
        </w:rPr>
        <w:t>Supply Chain Management</w:t>
      </w:r>
      <w:r>
        <w:t>, 20(6), pp. 697–707. Available at: https://doi.org/10.1108/SCM-06-2015-0201.</w:t>
      </w:r>
    </w:p>
    <w:p w14:paraId="491C5262" w14:textId="77777777" w:rsidR="006958C1" w:rsidRDefault="006958C1" w:rsidP="006958C1">
      <w:pPr>
        <w:pStyle w:val="Bibliography"/>
      </w:pPr>
      <w:r>
        <w:t xml:space="preserve">Platt, L., Luthra, R. and Frere-Smith, T. (2015) ‘Adapting chain referral methods to sample new migrants: Possibilities and limitations’, </w:t>
      </w:r>
      <w:r>
        <w:rPr>
          <w:i/>
          <w:iCs/>
        </w:rPr>
        <w:t>Demographic Research</w:t>
      </w:r>
      <w:r>
        <w:t>, 33, pp. 665–700.</w:t>
      </w:r>
    </w:p>
    <w:p w14:paraId="5E9165A6" w14:textId="77777777" w:rsidR="006958C1" w:rsidRDefault="006958C1" w:rsidP="006958C1">
      <w:pPr>
        <w:pStyle w:val="Bibliography"/>
      </w:pPr>
      <w:r>
        <w:t xml:space="preserve">Robinson, O.C. (2014) ‘Sampling in interview-based qualitative research: A theoretical and practical guide’, </w:t>
      </w:r>
      <w:r>
        <w:rPr>
          <w:i/>
          <w:iCs/>
        </w:rPr>
        <w:t>Qualitative research in psychology</w:t>
      </w:r>
      <w:r>
        <w:t>, 11(1), pp. 25–41.</w:t>
      </w:r>
    </w:p>
    <w:p w14:paraId="0AF5684D" w14:textId="77777777" w:rsidR="006958C1" w:rsidRDefault="006958C1" w:rsidP="006958C1">
      <w:pPr>
        <w:pStyle w:val="Bibliography"/>
      </w:pPr>
      <w:r>
        <w:t>Romero, A. and Fisher, O. (2025) ‘Blueprint for safer and fairer migration for low-paid work’. Focus on Labour Exploitation. Available at: https://labourexploitation.org/app/uploads/2025/06/Flex-Report-Blueprint-for-safer-and-fairer-migration-for-low-paid-work_final_30_June-.pdf (Accessed: 11 July 2025).</w:t>
      </w:r>
    </w:p>
    <w:p w14:paraId="03AF0108" w14:textId="77777777" w:rsidR="006958C1" w:rsidRDefault="006958C1" w:rsidP="006958C1">
      <w:pPr>
        <w:pStyle w:val="Bibliography"/>
      </w:pPr>
      <w:r>
        <w:t xml:space="preserve">Salganik, M.J. and Heckathorn, D.D. (2004) ‘5. Sampling and Estimation in Hidden Populations Using Respondent-Driven Sampling’, </w:t>
      </w:r>
      <w:r>
        <w:rPr>
          <w:i/>
          <w:iCs/>
        </w:rPr>
        <w:t>Sociological Methodology</w:t>
      </w:r>
      <w:r>
        <w:t>, 34(1), pp. 193–240. Available at: https://doi.org/10.1111/j.0081-1750.2004.00152.x.</w:t>
      </w:r>
    </w:p>
    <w:p w14:paraId="6BC74614" w14:textId="77777777" w:rsidR="006958C1" w:rsidRDefault="006958C1" w:rsidP="006958C1">
      <w:pPr>
        <w:pStyle w:val="Bibliography"/>
      </w:pPr>
      <w:r>
        <w:t xml:space="preserve">Schwitters, A., Swaminathan, M. and Serwadda, D. (2012) ‘Prevalence of rape and client-initiated gender-based violence among female sex workers: Kampala, uganda’, </w:t>
      </w:r>
      <w:r>
        <w:rPr>
          <w:i/>
          <w:iCs/>
        </w:rPr>
        <w:t>AIDS Behaviour</w:t>
      </w:r>
      <w:r>
        <w:t>, 19(Supply Nr 1), pp. 68–76.</w:t>
      </w:r>
    </w:p>
    <w:p w14:paraId="56D8539E" w14:textId="77777777" w:rsidR="006958C1" w:rsidRDefault="006958C1" w:rsidP="006958C1">
      <w:pPr>
        <w:pStyle w:val="Bibliography"/>
      </w:pPr>
      <w:r>
        <w:lastRenderedPageBreak/>
        <w:t xml:space="preserve">Semaan, S. </w:t>
      </w:r>
      <w:r>
        <w:rPr>
          <w:i/>
          <w:iCs/>
        </w:rPr>
        <w:t>et al.</w:t>
      </w:r>
      <w:r>
        <w:t xml:space="preserve"> (2009) ‘Ethical and regulatory considerations in HIV prevention studies employing respondent-driven sampling’, </w:t>
      </w:r>
      <w:r>
        <w:rPr>
          <w:i/>
          <w:iCs/>
        </w:rPr>
        <w:t>International Journal of Drug Policy</w:t>
      </w:r>
      <w:r>
        <w:t>, 20(1), pp. 14–27.</w:t>
      </w:r>
    </w:p>
    <w:p w14:paraId="440CB308" w14:textId="77777777" w:rsidR="006958C1" w:rsidRDefault="006958C1" w:rsidP="006958C1">
      <w:pPr>
        <w:pStyle w:val="Bibliography"/>
      </w:pPr>
      <w:r>
        <w:t xml:space="preserve">Semaan, S. (2010) ‘Time-space sampling and respondent-driven sampling with hard-to-reach populations’, </w:t>
      </w:r>
      <w:r>
        <w:rPr>
          <w:i/>
          <w:iCs/>
        </w:rPr>
        <w:t>Methodological Innovations Online</w:t>
      </w:r>
      <w:r>
        <w:t>, 5(2), pp. 60–75.</w:t>
      </w:r>
    </w:p>
    <w:p w14:paraId="363D238E" w14:textId="77777777" w:rsidR="006958C1" w:rsidRDefault="006958C1" w:rsidP="006958C1">
      <w:pPr>
        <w:pStyle w:val="Bibliography"/>
      </w:pPr>
      <w:r>
        <w:t xml:space="preserve">Singer, E. and Bossarte, R.M. (2006) ‘Incentives for survey participation: when are they “coercive”?’, </w:t>
      </w:r>
      <w:r>
        <w:rPr>
          <w:i/>
          <w:iCs/>
        </w:rPr>
        <w:t>American journal of preventive medicine</w:t>
      </w:r>
      <w:r>
        <w:t>, 31(5), pp. 411–418.</w:t>
      </w:r>
    </w:p>
    <w:p w14:paraId="6289DCC5" w14:textId="77777777" w:rsidR="006958C1" w:rsidRDefault="006958C1" w:rsidP="006958C1">
      <w:pPr>
        <w:pStyle w:val="Bibliography"/>
      </w:pPr>
      <w:r>
        <w:t xml:space="preserve">Stevenson, M. and Cole, R. (2018) ‘Modern slavery in supply chains: a secondary data analysis of detection, remediation and disclosure’, </w:t>
      </w:r>
      <w:r>
        <w:rPr>
          <w:i/>
          <w:iCs/>
        </w:rPr>
        <w:t>Supply Chain Management: An International Journal</w:t>
      </w:r>
      <w:r>
        <w:t>, 23. Available at: https://doi.org/10.1108/SCM-11-2017-0382.</w:t>
      </w:r>
    </w:p>
    <w:p w14:paraId="5DE757C4" w14:textId="77777777" w:rsidR="006958C1" w:rsidRDefault="006958C1" w:rsidP="006958C1">
      <w:pPr>
        <w:pStyle w:val="Bibliography"/>
      </w:pPr>
      <w:r>
        <w:t>Thompson, S. (2020) ‘New estimates for network sampling’.</w:t>
      </w:r>
    </w:p>
    <w:p w14:paraId="0F1EF11E" w14:textId="77777777" w:rsidR="006958C1" w:rsidRDefault="006958C1" w:rsidP="006958C1">
      <w:pPr>
        <w:pStyle w:val="Bibliography"/>
      </w:pPr>
      <w:r>
        <w:t xml:space="preserve">Varman, R. </w:t>
      </w:r>
      <w:r>
        <w:rPr>
          <w:i/>
          <w:iCs/>
        </w:rPr>
        <w:t>et al.</w:t>
      </w:r>
      <w:r>
        <w:t xml:space="preserve"> (2021) ‘Normative Violence in Domestic Service: A Study of Exploitation, Status, and Grievability’, </w:t>
      </w:r>
      <w:r>
        <w:rPr>
          <w:i/>
          <w:iCs/>
        </w:rPr>
        <w:t>Journal of Business Ethics</w:t>
      </w:r>
      <w:r>
        <w:t>, 171(4), pp. 645–665. Available at: https://www.jstor.org/stable/45390479 (Accessed: 3 November 2025).</w:t>
      </w:r>
    </w:p>
    <w:p w14:paraId="3114C97E" w14:textId="77777777" w:rsidR="006958C1" w:rsidRDefault="006958C1" w:rsidP="006958C1">
      <w:pPr>
        <w:pStyle w:val="Bibliography"/>
      </w:pPr>
      <w:r>
        <w:t xml:space="preserve">Vincent, K. and Thompson, S. (2017) ‘Estimating population size with link-tracing sampling’, </w:t>
      </w:r>
      <w:r>
        <w:rPr>
          <w:i/>
          <w:iCs/>
        </w:rPr>
        <w:t>Journal of the American Statistical Association</w:t>
      </w:r>
      <w:r>
        <w:t>, 112(519), pp. 1286–1295. Available at: https://doi.org/10.1080/01621459.2016.1212712.</w:t>
      </w:r>
    </w:p>
    <w:p w14:paraId="0582A617" w14:textId="77777777" w:rsidR="006958C1" w:rsidRDefault="006958C1" w:rsidP="006958C1">
      <w:pPr>
        <w:pStyle w:val="Bibliography"/>
      </w:pPr>
      <w:r>
        <w:t xml:space="preserve">Volz, E. and Heckathorn, D. (2008) ‘Probability Based Estimation Theory for Respondent Driven Sampling’, </w:t>
      </w:r>
      <w:r>
        <w:rPr>
          <w:i/>
          <w:iCs/>
        </w:rPr>
        <w:t>Journal of Official Statistics</w:t>
      </w:r>
      <w:r>
        <w:t>, 24, pp. 79–97.</w:t>
      </w:r>
    </w:p>
    <w:p w14:paraId="002A867E" w14:textId="77777777" w:rsidR="006958C1" w:rsidRDefault="006958C1" w:rsidP="006958C1">
      <w:pPr>
        <w:pStyle w:val="Bibliography"/>
      </w:pPr>
      <w:r>
        <w:t xml:space="preserve">Wang, J. </w:t>
      </w:r>
      <w:r>
        <w:rPr>
          <w:i/>
          <w:iCs/>
        </w:rPr>
        <w:t>et al.</w:t>
      </w:r>
      <w:r>
        <w:t xml:space="preserve"> (2005) ‘Respondent-driven sampling to recruit MDMA users: a methodological assessment’, </w:t>
      </w:r>
      <w:r>
        <w:rPr>
          <w:i/>
          <w:iCs/>
        </w:rPr>
        <w:t>Drug and alcohol dependence</w:t>
      </w:r>
      <w:r>
        <w:t>, 78(2), pp. 147–157.</w:t>
      </w:r>
    </w:p>
    <w:p w14:paraId="7A7643D8" w14:textId="77777777" w:rsidR="006958C1" w:rsidRDefault="006958C1" w:rsidP="006958C1">
      <w:pPr>
        <w:pStyle w:val="Bibliography"/>
      </w:pPr>
      <w:r>
        <w:t xml:space="preserve">Wejnert, C. and Heckathorn, D.D. (2008) ‘Web-based network sampling: efficiency and efficacy of respondent-driven sampling for online research’, </w:t>
      </w:r>
      <w:r>
        <w:rPr>
          <w:i/>
          <w:iCs/>
        </w:rPr>
        <w:t>Sociological Methods &amp; Research</w:t>
      </w:r>
      <w:r>
        <w:t>, 37(1), pp. 105–134.</w:t>
      </w:r>
    </w:p>
    <w:p w14:paraId="2615BEE4" w14:textId="77777777" w:rsidR="006958C1" w:rsidRDefault="006958C1" w:rsidP="006958C1">
      <w:pPr>
        <w:pStyle w:val="Bibliography"/>
      </w:pPr>
      <w:r>
        <w:t xml:space="preserve">Yauck, M. </w:t>
      </w:r>
      <w:r>
        <w:rPr>
          <w:i/>
          <w:iCs/>
        </w:rPr>
        <w:t>et al.</w:t>
      </w:r>
      <w:r>
        <w:t xml:space="preserve"> (2022) ‘Neighborhood Bootstrap for Respondent-Driven Sampling’, </w:t>
      </w:r>
      <w:r>
        <w:rPr>
          <w:i/>
          <w:iCs/>
        </w:rPr>
        <w:t>Journal of Survey Statistics and Methodology</w:t>
      </w:r>
      <w:r>
        <w:t>, 10(2), pp. 419–438. Available at: https://doi.org/10.1093/jssam/smab057.</w:t>
      </w:r>
    </w:p>
    <w:p w14:paraId="2B48F7A3" w14:textId="77777777" w:rsidR="006958C1" w:rsidRDefault="006958C1" w:rsidP="006958C1">
      <w:pPr>
        <w:pStyle w:val="Bibliography"/>
      </w:pPr>
      <w:r>
        <w:t xml:space="preserve">Zhang, S.X. (2012) ‘Measuring labour trafficking: a research note’, </w:t>
      </w:r>
      <w:r>
        <w:rPr>
          <w:i/>
          <w:iCs/>
        </w:rPr>
        <w:t>Crime, Law and Social Change</w:t>
      </w:r>
      <w:r>
        <w:t>, 58, pp. 469–482.</w:t>
      </w:r>
    </w:p>
    <w:p w14:paraId="2950F4A5" w14:textId="77777777" w:rsidR="006958C1" w:rsidRDefault="006958C1" w:rsidP="006958C1">
      <w:pPr>
        <w:pStyle w:val="Bibliography"/>
      </w:pPr>
      <w:r>
        <w:t xml:space="preserve">Zhang, S.X. </w:t>
      </w:r>
      <w:r>
        <w:rPr>
          <w:i/>
          <w:iCs/>
        </w:rPr>
        <w:t>et al.</w:t>
      </w:r>
      <w:r>
        <w:t xml:space="preserve"> (2019) ‘Victims without a voice: Measuring worst forms of child labor in the Indian State of Bihar’, </w:t>
      </w:r>
      <w:r>
        <w:rPr>
          <w:i/>
          <w:iCs/>
        </w:rPr>
        <w:t>Victims &amp; Offenders</w:t>
      </w:r>
      <w:r>
        <w:t>, 14(7), pp. 832–858.</w:t>
      </w:r>
    </w:p>
    <w:p w14:paraId="633165E6" w14:textId="798B2193" w:rsidR="0043739C" w:rsidRDefault="00D33C0A" w:rsidP="00ED6819">
      <w:pPr>
        <w:pStyle w:val="Heading1"/>
        <w:divId w:val="1975518704"/>
      </w:pPr>
      <w:r>
        <w:fldChar w:fldCharType="end"/>
      </w:r>
    </w:p>
    <w:p w14:paraId="2C695342" w14:textId="77777777" w:rsidR="0043739C" w:rsidRDefault="0043739C">
      <w:pPr>
        <w:jc w:val="left"/>
        <w:rPr>
          <w:b/>
          <w:bCs/>
          <w:kern w:val="36"/>
          <w:szCs w:val="48"/>
          <w:lang w:val="en-US"/>
        </w:rPr>
      </w:pPr>
      <w:r>
        <w:br w:type="page"/>
      </w:r>
    </w:p>
    <w:p w14:paraId="01F61508" w14:textId="555E4A7D" w:rsidR="00561C3D" w:rsidRDefault="00561C3D" w:rsidP="00ED6819">
      <w:pPr>
        <w:pStyle w:val="Heading1"/>
        <w:divId w:val="1975518704"/>
      </w:pPr>
      <w:r>
        <w:lastRenderedPageBreak/>
        <w:t>Figure Legend</w:t>
      </w:r>
    </w:p>
    <w:p w14:paraId="62C08873" w14:textId="1FA46CFE" w:rsidR="0043739C" w:rsidRDefault="00DF42E2" w:rsidP="00ED6819">
      <w:pPr>
        <w:pStyle w:val="Heading1"/>
        <w:divId w:val="1975518704"/>
      </w:pPr>
      <w:r w:rsidRPr="00DF42E2">
        <w:t>Figure 1 RDS Recruitment Network Structure Recruitment chains showing seed nodes (triangles) and recruit nodes (circles). Node colours represent nationality clusters, which node size proportional to out-degree (number of recruits). Lines show recruiter-recruit relationships. Source: Authors’ Own Work</w:t>
      </w:r>
      <w:r w:rsidR="00F061E5">
        <w:t>.</w:t>
      </w:r>
    </w:p>
    <w:p w14:paraId="5997CC10" w14:textId="0CF053DF" w:rsidR="00DF42E2" w:rsidRDefault="00C83176" w:rsidP="00ED6819">
      <w:pPr>
        <w:pStyle w:val="Heading1"/>
        <w:divId w:val="1975518704"/>
      </w:pPr>
      <w:r w:rsidRPr="00C83176">
        <w:rPr>
          <w:lang w:val="en-US"/>
        </w:rPr>
        <w:t>Figure 2 Model-Assisted Estimates of Composite Risk Index. Distribution comparison between observed sample data and population-adjusted estimates. The left panel shows the empirical distribution of risk scores in the RDS sample, while the rights panel presents the model-assisted population proportion estimates for specific risk categories with uncertainty bounds (the light band shows confidence intervals around the proportion estimates). Source: Authors’ Own Work</w:t>
      </w:r>
      <w:r w:rsidR="00F061E5">
        <w:t>.</w:t>
      </w:r>
    </w:p>
    <w:p w14:paraId="347B40C9" w14:textId="5308816F" w:rsidR="00BF1EB3" w:rsidRDefault="00BF1EB3" w:rsidP="00ED6819">
      <w:pPr>
        <w:pStyle w:val="Heading1"/>
        <w:divId w:val="1975518704"/>
      </w:pPr>
      <w:r w:rsidRPr="00BF1EB3">
        <w:rPr>
          <w:lang w:val="en-US"/>
        </w:rPr>
        <w:t>Figure 3 Forest Plot of Model-Assisted Binary Exploitation Estimates: Population prevalence estimates with 95% credible intervals for each exploitation indicator, ordered by prevalence magnitude. Error bars represent posterior uncertainty from Bayesian MA-RDS (N=980,000, sample seed selection). Source: Authors’ Own Work</w:t>
      </w:r>
      <w:r w:rsidR="00F061E5">
        <w:rPr>
          <w:lang w:val="en-US"/>
        </w:rPr>
        <w:t>.</w:t>
      </w:r>
      <w:r w:rsidRPr="00BF1EB3">
        <w:t> </w:t>
      </w:r>
    </w:p>
    <w:p w14:paraId="2BE5A1D4" w14:textId="35E5C75E" w:rsidR="00BF1EB3" w:rsidRDefault="00BF1EB3" w:rsidP="00ED6819">
      <w:pPr>
        <w:pStyle w:val="Heading1"/>
        <w:divId w:val="1975518704"/>
      </w:pPr>
      <w:r w:rsidRPr="00BF1EB3">
        <w:rPr>
          <w:lang w:val="en-US"/>
        </w:rPr>
        <w:t>Figure 4 Forest Plot of RDS Estimates: Comparison of RDS-I and RDS-SS prevalence estimates for binary exploitation indicators (N=980,000). Error bars represent 95% bootstrap confidence intervals. Source: Authors’ Own Work.</w:t>
      </w:r>
      <w:r w:rsidRPr="00BF1EB3">
        <w:t> </w:t>
      </w:r>
    </w:p>
    <w:p w14:paraId="605C98BE" w14:textId="6E0B96EA" w:rsidR="00D569AC" w:rsidRDefault="00D569AC" w:rsidP="00ED6819">
      <w:pPr>
        <w:pStyle w:val="Heading1"/>
        <w:divId w:val="1975518704"/>
      </w:pPr>
      <w:r w:rsidRPr="00D569AC">
        <w:lastRenderedPageBreak/>
        <w:t>Figure 5 Forest Plot of RDS Estimates: Comparison of RDS-I and RDS-SS prevalence estimates for binary exploitation indicators (N=980,000). Error bars represent 95% bootstrap confidence intervals. Source: Authors’ Own Work</w:t>
      </w:r>
    </w:p>
    <w:p w14:paraId="5BAEA84D" w14:textId="6E2FCF92" w:rsidR="00222445" w:rsidRDefault="00222445" w:rsidP="00ED6819">
      <w:pPr>
        <w:pStyle w:val="Heading1"/>
        <w:divId w:val="1975518704"/>
      </w:pPr>
      <w:r w:rsidRPr="00222445">
        <w:rPr>
          <w:lang w:val="en"/>
        </w:rPr>
        <w:t>Table 1 RDS Sample Characteristics by Nationality Cluster and Recruitment Wave. Source: Authors’ Own Work.</w:t>
      </w:r>
      <w:r w:rsidRPr="00222445">
        <w:t> </w:t>
      </w:r>
    </w:p>
    <w:p w14:paraId="220FD09C" w14:textId="3E0F3890" w:rsidR="00222445" w:rsidRDefault="00222445" w:rsidP="00ED6819">
      <w:pPr>
        <w:pStyle w:val="Heading1"/>
        <w:divId w:val="1975518704"/>
      </w:pPr>
      <w:r w:rsidRPr="00222445">
        <w:rPr>
          <w:lang w:val="en-US"/>
        </w:rPr>
        <w:t>Table 2 Model-Assisted Estimates of Binary Exploitation Indicators: Population prevalence estimates adjusted for RDS sampling bias. Values represent the estimated proportion of domestic workers experiencing each form of exploitation. Source: Authors’ Own Work</w:t>
      </w:r>
      <w:r w:rsidR="00F061E5">
        <w:rPr>
          <w:lang w:val="en-US"/>
        </w:rPr>
        <w:t>.</w:t>
      </w:r>
      <w:r w:rsidRPr="00222445">
        <w:t> </w:t>
      </w:r>
    </w:p>
    <w:p w14:paraId="4970E5FF" w14:textId="51841438" w:rsidR="00D71DFB" w:rsidRDefault="00D71DFB" w:rsidP="00ED6819">
      <w:pPr>
        <w:pStyle w:val="Heading1"/>
        <w:divId w:val="1975518704"/>
      </w:pPr>
      <w:r w:rsidRPr="00D71DFB">
        <w:rPr>
          <w:lang w:val="en-US"/>
        </w:rPr>
        <w:t xml:space="preserve">Table 3 RDS Estimates of Binary Exploitation Indicators: Comparison of RDS-I and RDS-SS estimators with </w:t>
      </w:r>
      <w:proofErr w:type="spellStart"/>
      <w:r w:rsidRPr="00D71DFB">
        <w:rPr>
          <w:lang w:val="en-US"/>
        </w:rPr>
        <w:t>neighbourhood</w:t>
      </w:r>
      <w:proofErr w:type="spellEnd"/>
      <w:r w:rsidRPr="00D71DFB">
        <w:rPr>
          <w:lang w:val="en-US"/>
        </w:rPr>
        <w:t xml:space="preserve"> bootstrap confidence intervals (N=980,000). Source: Authors’ Own Work</w:t>
      </w:r>
      <w:r w:rsidR="00F061E5">
        <w:t>.</w:t>
      </w:r>
    </w:p>
    <w:p w14:paraId="5F1CAF02" w14:textId="091B2B3D" w:rsidR="00F061E5" w:rsidRPr="00DF42E2" w:rsidRDefault="00F061E5" w:rsidP="00ED6819">
      <w:pPr>
        <w:pStyle w:val="Heading1"/>
        <w:divId w:val="1975518704"/>
        <w:rPr>
          <w:lang w:val="en"/>
        </w:rPr>
      </w:pPr>
      <w:r w:rsidRPr="00F061E5">
        <w:t>Table 4 NSUM Prevalence Estimates for Labour Exploitation Indicators: Estimates using Modified Basic Scale-Up (MBSU) method with Sequential Sampling weights and population size of 980,000 domestic workers. Adjustment factors: \(\delta\) (δ, degree ratio) controls for network size differences; \(\tau\) (τ, visibility/true positive rate) controls for reporting accuracy and visibility barriers. Bootstrap confidence intervals based on neighbourhood resampling (B=1000). Source: Authors’ Own Work. </w:t>
      </w:r>
    </w:p>
    <w:sectPr w:rsidR="00F061E5" w:rsidRPr="00DF42E2">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0D20D" w14:textId="77777777" w:rsidR="00C31E45" w:rsidRDefault="00C31E45" w:rsidP="001227A7">
      <w:r>
        <w:separator/>
      </w:r>
    </w:p>
  </w:endnote>
  <w:endnote w:type="continuationSeparator" w:id="0">
    <w:p w14:paraId="7C7AC890" w14:textId="77777777" w:rsidR="00C31E45" w:rsidRDefault="00C31E45" w:rsidP="0012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Mincho">
    <w:altName w:val="游明朝"/>
    <w:panose1 w:val="02020400000000000000"/>
    <w:charset w:val="80"/>
    <w:family w:val="roman"/>
    <w:pitch w:val="variable"/>
    <w:sig w:usb0="800002E7" w:usb1="2AC7FCFF" w:usb2="00000012" w:usb3="00000000" w:csb0="0002009F" w:csb1="00000000"/>
  </w:font>
  <w:font w:name="var(--bs-body-font-family)">
    <w:altName w:val="Cambria"/>
    <w:panose1 w:val="020B0604020202020204"/>
    <w:charset w:val="00"/>
    <w:family w:val="roman"/>
    <w:notTrueType/>
    <w:pitch w:val="default"/>
  </w:font>
  <w:font w:name="Menlo">
    <w:altName w:val="DokChampa"/>
    <w:panose1 w:val="020B0609030804020204"/>
    <w:charset w:val="00"/>
    <w:family w:val="modern"/>
    <w:pitch w:val="fixed"/>
    <w:sig w:usb0="E60022FF" w:usb1="D200F9FB" w:usb2="02000028" w:usb3="00000000" w:csb0="000001DF" w:csb1="00000000"/>
  </w:font>
  <w:font w:name="Aptos">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10006FF" w:usb1="4000FCFF" w:usb2="00000009" w:usb3="00000000" w:csb0="0000019F" w:csb1="00000000"/>
  </w:font>
  <w:font w:name="var(--bs-btn-font-family)">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Roboto">
    <w:panose1 w:val="02000000000000000000"/>
    <w:charset w:val="00"/>
    <w:family w:val="auto"/>
    <w:pitch w:val="variable"/>
    <w:sig w:usb0="E0000AFF" w:usb1="5000217F" w:usb2="00000021" w:usb3="00000000" w:csb0="0000019F" w:csb1="00000000"/>
  </w:font>
  <w:font w:name="var(--bs-font-monospace)">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91972759"/>
      <w:docPartObj>
        <w:docPartGallery w:val="Page Numbers (Bottom of Page)"/>
        <w:docPartUnique/>
      </w:docPartObj>
    </w:sdtPr>
    <w:sdtEndPr>
      <w:rPr>
        <w:noProof/>
      </w:rPr>
    </w:sdtEndPr>
    <w:sdtContent>
      <w:p w14:paraId="38367356" w14:textId="155DCD44" w:rsidR="001227A7" w:rsidRDefault="001227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D10B60" w14:textId="77777777" w:rsidR="001227A7" w:rsidRDefault="001227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BB0AE" w14:textId="77777777" w:rsidR="00C31E45" w:rsidRDefault="00C31E45" w:rsidP="001227A7">
      <w:r>
        <w:separator/>
      </w:r>
    </w:p>
  </w:footnote>
  <w:footnote w:type="continuationSeparator" w:id="0">
    <w:p w14:paraId="239BFAC6" w14:textId="77777777" w:rsidR="00C31E45" w:rsidRDefault="00C31E45" w:rsidP="00122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50CE4"/>
    <w:multiLevelType w:val="multilevel"/>
    <w:tmpl w:val="5B7C3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0018CE"/>
    <w:multiLevelType w:val="multilevel"/>
    <w:tmpl w:val="9DA64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30844"/>
    <w:multiLevelType w:val="hybridMultilevel"/>
    <w:tmpl w:val="F498F9BE"/>
    <w:lvl w:ilvl="0" w:tplc="A23C57A4">
      <w:start w:val="1"/>
      <w:numFmt w:val="decimal"/>
      <w:lvlText w:val="%1."/>
      <w:lvlJc w:val="left"/>
      <w:pPr>
        <w:ind w:left="720" w:hanging="360"/>
      </w:pPr>
    </w:lvl>
    <w:lvl w:ilvl="1" w:tplc="86446FE6">
      <w:start w:val="1"/>
      <w:numFmt w:val="lowerLetter"/>
      <w:lvlText w:val="%2."/>
      <w:lvlJc w:val="left"/>
      <w:pPr>
        <w:ind w:left="1440" w:hanging="360"/>
      </w:pPr>
    </w:lvl>
    <w:lvl w:ilvl="2" w:tplc="57B42E2A">
      <w:start w:val="1"/>
      <w:numFmt w:val="lowerRoman"/>
      <w:lvlText w:val="%3."/>
      <w:lvlJc w:val="right"/>
      <w:pPr>
        <w:ind w:left="2160" w:hanging="180"/>
      </w:pPr>
    </w:lvl>
    <w:lvl w:ilvl="3" w:tplc="6D827BEC">
      <w:start w:val="1"/>
      <w:numFmt w:val="decimal"/>
      <w:lvlText w:val="%4."/>
      <w:lvlJc w:val="left"/>
      <w:pPr>
        <w:ind w:left="2880" w:hanging="360"/>
      </w:pPr>
    </w:lvl>
    <w:lvl w:ilvl="4" w:tplc="7C44BBE2">
      <w:start w:val="1"/>
      <w:numFmt w:val="lowerLetter"/>
      <w:lvlText w:val="%5."/>
      <w:lvlJc w:val="left"/>
      <w:pPr>
        <w:ind w:left="3600" w:hanging="360"/>
      </w:pPr>
    </w:lvl>
    <w:lvl w:ilvl="5" w:tplc="53EE47BE">
      <w:start w:val="1"/>
      <w:numFmt w:val="lowerRoman"/>
      <w:lvlText w:val="%6."/>
      <w:lvlJc w:val="right"/>
      <w:pPr>
        <w:ind w:left="4320" w:hanging="180"/>
      </w:pPr>
    </w:lvl>
    <w:lvl w:ilvl="6" w:tplc="CD501AA2">
      <w:start w:val="1"/>
      <w:numFmt w:val="decimal"/>
      <w:lvlText w:val="%7."/>
      <w:lvlJc w:val="left"/>
      <w:pPr>
        <w:ind w:left="5040" w:hanging="360"/>
      </w:pPr>
    </w:lvl>
    <w:lvl w:ilvl="7" w:tplc="F6FA7324">
      <w:start w:val="1"/>
      <w:numFmt w:val="lowerLetter"/>
      <w:lvlText w:val="%8."/>
      <w:lvlJc w:val="left"/>
      <w:pPr>
        <w:ind w:left="5760" w:hanging="360"/>
      </w:pPr>
    </w:lvl>
    <w:lvl w:ilvl="8" w:tplc="9F4213AC">
      <w:start w:val="1"/>
      <w:numFmt w:val="lowerRoman"/>
      <w:lvlText w:val="%9."/>
      <w:lvlJc w:val="right"/>
      <w:pPr>
        <w:ind w:left="6480" w:hanging="180"/>
      </w:pPr>
    </w:lvl>
  </w:abstractNum>
  <w:abstractNum w:abstractNumId="3" w15:restartNumberingAfterBreak="0">
    <w:nsid w:val="217669F1"/>
    <w:multiLevelType w:val="multilevel"/>
    <w:tmpl w:val="FDB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68238B"/>
    <w:multiLevelType w:val="multilevel"/>
    <w:tmpl w:val="6FE0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25067A"/>
    <w:multiLevelType w:val="multilevel"/>
    <w:tmpl w:val="48DE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17312"/>
    <w:multiLevelType w:val="multilevel"/>
    <w:tmpl w:val="B25C0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4461B3"/>
    <w:multiLevelType w:val="multilevel"/>
    <w:tmpl w:val="9FD4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45F17"/>
    <w:multiLevelType w:val="multilevel"/>
    <w:tmpl w:val="8A24E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BF2CDA"/>
    <w:multiLevelType w:val="multilevel"/>
    <w:tmpl w:val="BAF8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9B1E2D"/>
    <w:multiLevelType w:val="multilevel"/>
    <w:tmpl w:val="ACDE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E22318"/>
    <w:multiLevelType w:val="multilevel"/>
    <w:tmpl w:val="19A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B51369"/>
    <w:multiLevelType w:val="multilevel"/>
    <w:tmpl w:val="CF883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9C2FAF"/>
    <w:multiLevelType w:val="hybridMultilevel"/>
    <w:tmpl w:val="212840C0"/>
    <w:lvl w:ilvl="0" w:tplc="9BB623DC">
      <w:start w:val="1"/>
      <w:numFmt w:val="decimal"/>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14" w15:restartNumberingAfterBreak="0">
    <w:nsid w:val="77E320F1"/>
    <w:multiLevelType w:val="multilevel"/>
    <w:tmpl w:val="C706B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EB681E"/>
    <w:multiLevelType w:val="multilevel"/>
    <w:tmpl w:val="06289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D04553"/>
    <w:multiLevelType w:val="multilevel"/>
    <w:tmpl w:val="A1C8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4643654">
    <w:abstractNumId w:val="2"/>
  </w:num>
  <w:num w:numId="2" w16cid:durableId="311064432">
    <w:abstractNumId w:val="8"/>
  </w:num>
  <w:num w:numId="3" w16cid:durableId="638193660">
    <w:abstractNumId w:val="4"/>
  </w:num>
  <w:num w:numId="4" w16cid:durableId="200480788">
    <w:abstractNumId w:val="15"/>
  </w:num>
  <w:num w:numId="5" w16cid:durableId="1005982153">
    <w:abstractNumId w:val="16"/>
  </w:num>
  <w:num w:numId="6" w16cid:durableId="569535687">
    <w:abstractNumId w:val="14"/>
  </w:num>
  <w:num w:numId="7" w16cid:durableId="1422025669">
    <w:abstractNumId w:val="10"/>
  </w:num>
  <w:num w:numId="8" w16cid:durableId="1094012502">
    <w:abstractNumId w:val="6"/>
  </w:num>
  <w:num w:numId="9" w16cid:durableId="1645503874">
    <w:abstractNumId w:val="12"/>
  </w:num>
  <w:num w:numId="10" w16cid:durableId="183634442">
    <w:abstractNumId w:val="0"/>
  </w:num>
  <w:num w:numId="11" w16cid:durableId="1494108199">
    <w:abstractNumId w:val="7"/>
  </w:num>
  <w:num w:numId="12" w16cid:durableId="1433865966">
    <w:abstractNumId w:val="5"/>
  </w:num>
  <w:num w:numId="13" w16cid:durableId="1966499041">
    <w:abstractNumId w:val="11"/>
  </w:num>
  <w:num w:numId="14" w16cid:durableId="591159619">
    <w:abstractNumId w:val="9"/>
  </w:num>
  <w:num w:numId="15" w16cid:durableId="541138869">
    <w:abstractNumId w:val="3"/>
  </w:num>
  <w:num w:numId="16" w16cid:durableId="52854234">
    <w:abstractNumId w:val="1"/>
  </w:num>
  <w:num w:numId="17" w16cid:durableId="18445876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EC"/>
    <w:rsid w:val="000368C9"/>
    <w:rsid w:val="000412E2"/>
    <w:rsid w:val="00042E35"/>
    <w:rsid w:val="000450E6"/>
    <w:rsid w:val="00047431"/>
    <w:rsid w:val="00057305"/>
    <w:rsid w:val="00064660"/>
    <w:rsid w:val="0006737F"/>
    <w:rsid w:val="00077FF2"/>
    <w:rsid w:val="0009533F"/>
    <w:rsid w:val="000A5E7C"/>
    <w:rsid w:val="000A71DC"/>
    <w:rsid w:val="000B4C44"/>
    <w:rsid w:val="000B5D2E"/>
    <w:rsid w:val="000C08BD"/>
    <w:rsid w:val="000C7DED"/>
    <w:rsid w:val="000D0EF8"/>
    <w:rsid w:val="000D7F66"/>
    <w:rsid w:val="000E669A"/>
    <w:rsid w:val="000F51ED"/>
    <w:rsid w:val="000F6DFD"/>
    <w:rsid w:val="000F6F27"/>
    <w:rsid w:val="00105BC7"/>
    <w:rsid w:val="0011230D"/>
    <w:rsid w:val="001227A7"/>
    <w:rsid w:val="00130146"/>
    <w:rsid w:val="00131C1F"/>
    <w:rsid w:val="0013214C"/>
    <w:rsid w:val="00136B3E"/>
    <w:rsid w:val="00137FE0"/>
    <w:rsid w:val="00140068"/>
    <w:rsid w:val="00143806"/>
    <w:rsid w:val="00145A18"/>
    <w:rsid w:val="001526B2"/>
    <w:rsid w:val="0015350A"/>
    <w:rsid w:val="001566D9"/>
    <w:rsid w:val="00162501"/>
    <w:rsid w:val="0017228A"/>
    <w:rsid w:val="00183652"/>
    <w:rsid w:val="001840FB"/>
    <w:rsid w:val="00191E3F"/>
    <w:rsid w:val="001A6906"/>
    <w:rsid w:val="001B2528"/>
    <w:rsid w:val="001B366A"/>
    <w:rsid w:val="001C3BE1"/>
    <w:rsid w:val="001D0852"/>
    <w:rsid w:val="001D16F7"/>
    <w:rsid w:val="001E0429"/>
    <w:rsid w:val="001E1B76"/>
    <w:rsid w:val="001E397C"/>
    <w:rsid w:val="001F0210"/>
    <w:rsid w:val="001F4FCE"/>
    <w:rsid w:val="001F6E18"/>
    <w:rsid w:val="002148E3"/>
    <w:rsid w:val="00214D3D"/>
    <w:rsid w:val="002171EC"/>
    <w:rsid w:val="00222445"/>
    <w:rsid w:val="00223419"/>
    <w:rsid w:val="00223D09"/>
    <w:rsid w:val="002248BD"/>
    <w:rsid w:val="00231A65"/>
    <w:rsid w:val="00231BE9"/>
    <w:rsid w:val="00242862"/>
    <w:rsid w:val="002430CD"/>
    <w:rsid w:val="00250DEB"/>
    <w:rsid w:val="00262373"/>
    <w:rsid w:val="002723AD"/>
    <w:rsid w:val="002730C3"/>
    <w:rsid w:val="002776CE"/>
    <w:rsid w:val="00282433"/>
    <w:rsid w:val="00292C68"/>
    <w:rsid w:val="002A40A7"/>
    <w:rsid w:val="002B2B42"/>
    <w:rsid w:val="002B4612"/>
    <w:rsid w:val="002C20B0"/>
    <w:rsid w:val="002C61D7"/>
    <w:rsid w:val="002C6A0D"/>
    <w:rsid w:val="002C79FC"/>
    <w:rsid w:val="002E29F1"/>
    <w:rsid w:val="00300C53"/>
    <w:rsid w:val="00301116"/>
    <w:rsid w:val="00301A2E"/>
    <w:rsid w:val="00306995"/>
    <w:rsid w:val="00313600"/>
    <w:rsid w:val="00324647"/>
    <w:rsid w:val="003257E2"/>
    <w:rsid w:val="00330523"/>
    <w:rsid w:val="00334717"/>
    <w:rsid w:val="003400BB"/>
    <w:rsid w:val="00350057"/>
    <w:rsid w:val="00355683"/>
    <w:rsid w:val="00357D1B"/>
    <w:rsid w:val="00362ADF"/>
    <w:rsid w:val="00363A0B"/>
    <w:rsid w:val="00364C53"/>
    <w:rsid w:val="00367004"/>
    <w:rsid w:val="003710AA"/>
    <w:rsid w:val="00372697"/>
    <w:rsid w:val="003A2B5B"/>
    <w:rsid w:val="003A6E21"/>
    <w:rsid w:val="003B681D"/>
    <w:rsid w:val="003C5F47"/>
    <w:rsid w:val="003D0C01"/>
    <w:rsid w:val="003D5A39"/>
    <w:rsid w:val="003F3DB0"/>
    <w:rsid w:val="00404230"/>
    <w:rsid w:val="00407957"/>
    <w:rsid w:val="0041001D"/>
    <w:rsid w:val="004179DB"/>
    <w:rsid w:val="004210E8"/>
    <w:rsid w:val="004248E3"/>
    <w:rsid w:val="004253C3"/>
    <w:rsid w:val="00425518"/>
    <w:rsid w:val="004303C6"/>
    <w:rsid w:val="0043214D"/>
    <w:rsid w:val="0043739C"/>
    <w:rsid w:val="00441043"/>
    <w:rsid w:val="00443205"/>
    <w:rsid w:val="00451939"/>
    <w:rsid w:val="00455260"/>
    <w:rsid w:val="00455F45"/>
    <w:rsid w:val="00463194"/>
    <w:rsid w:val="00466947"/>
    <w:rsid w:val="0048154B"/>
    <w:rsid w:val="00483529"/>
    <w:rsid w:val="00492DD6"/>
    <w:rsid w:val="004957DB"/>
    <w:rsid w:val="00496996"/>
    <w:rsid w:val="00497106"/>
    <w:rsid w:val="004A0D31"/>
    <w:rsid w:val="004A5A71"/>
    <w:rsid w:val="004B4DA1"/>
    <w:rsid w:val="004B76AE"/>
    <w:rsid w:val="004C516E"/>
    <w:rsid w:val="004D430B"/>
    <w:rsid w:val="004E1C7C"/>
    <w:rsid w:val="004E568D"/>
    <w:rsid w:val="004E6F9F"/>
    <w:rsid w:val="004F3F2B"/>
    <w:rsid w:val="00500135"/>
    <w:rsid w:val="00503FC7"/>
    <w:rsid w:val="0052019D"/>
    <w:rsid w:val="00522727"/>
    <w:rsid w:val="00536C4A"/>
    <w:rsid w:val="005415CD"/>
    <w:rsid w:val="00542F72"/>
    <w:rsid w:val="005434AE"/>
    <w:rsid w:val="005440DC"/>
    <w:rsid w:val="00545280"/>
    <w:rsid w:val="00554FB3"/>
    <w:rsid w:val="00556775"/>
    <w:rsid w:val="00561C3D"/>
    <w:rsid w:val="00561E3F"/>
    <w:rsid w:val="005678A8"/>
    <w:rsid w:val="00577DEA"/>
    <w:rsid w:val="00590329"/>
    <w:rsid w:val="005A3473"/>
    <w:rsid w:val="005A7E45"/>
    <w:rsid w:val="005C1E62"/>
    <w:rsid w:val="005D323E"/>
    <w:rsid w:val="005D559A"/>
    <w:rsid w:val="005D58CE"/>
    <w:rsid w:val="005E3113"/>
    <w:rsid w:val="005E6F0A"/>
    <w:rsid w:val="005F2FEE"/>
    <w:rsid w:val="006031D3"/>
    <w:rsid w:val="0060581B"/>
    <w:rsid w:val="00606266"/>
    <w:rsid w:val="006075E1"/>
    <w:rsid w:val="00622510"/>
    <w:rsid w:val="006250E0"/>
    <w:rsid w:val="006302C1"/>
    <w:rsid w:val="00652DBF"/>
    <w:rsid w:val="00653402"/>
    <w:rsid w:val="00656A22"/>
    <w:rsid w:val="006613BA"/>
    <w:rsid w:val="00662781"/>
    <w:rsid w:val="00673C6A"/>
    <w:rsid w:val="006854DD"/>
    <w:rsid w:val="006958C1"/>
    <w:rsid w:val="00697D0D"/>
    <w:rsid w:val="006B6965"/>
    <w:rsid w:val="006C41B7"/>
    <w:rsid w:val="006C4698"/>
    <w:rsid w:val="006D0F30"/>
    <w:rsid w:val="006D4CE1"/>
    <w:rsid w:val="006D7A16"/>
    <w:rsid w:val="006F5C04"/>
    <w:rsid w:val="007018AC"/>
    <w:rsid w:val="00704386"/>
    <w:rsid w:val="00717C43"/>
    <w:rsid w:val="00721E72"/>
    <w:rsid w:val="00736495"/>
    <w:rsid w:val="0074080D"/>
    <w:rsid w:val="0074288F"/>
    <w:rsid w:val="007466DB"/>
    <w:rsid w:val="0075379E"/>
    <w:rsid w:val="00756B27"/>
    <w:rsid w:val="00756D42"/>
    <w:rsid w:val="00770951"/>
    <w:rsid w:val="00776FD7"/>
    <w:rsid w:val="007777E2"/>
    <w:rsid w:val="007811A3"/>
    <w:rsid w:val="007866F7"/>
    <w:rsid w:val="00796E48"/>
    <w:rsid w:val="007975D9"/>
    <w:rsid w:val="007A43AA"/>
    <w:rsid w:val="007B1B21"/>
    <w:rsid w:val="007D24AD"/>
    <w:rsid w:val="007D3830"/>
    <w:rsid w:val="007D6280"/>
    <w:rsid w:val="007D71DD"/>
    <w:rsid w:val="007E656F"/>
    <w:rsid w:val="007E6C65"/>
    <w:rsid w:val="007F1F24"/>
    <w:rsid w:val="00805247"/>
    <w:rsid w:val="00806BDF"/>
    <w:rsid w:val="00811BB7"/>
    <w:rsid w:val="00812970"/>
    <w:rsid w:val="008130DF"/>
    <w:rsid w:val="008372DE"/>
    <w:rsid w:val="008435B2"/>
    <w:rsid w:val="00843B20"/>
    <w:rsid w:val="00844131"/>
    <w:rsid w:val="00851B0C"/>
    <w:rsid w:val="008547C0"/>
    <w:rsid w:val="00862105"/>
    <w:rsid w:val="00867B07"/>
    <w:rsid w:val="0087301A"/>
    <w:rsid w:val="00876455"/>
    <w:rsid w:val="00881DF4"/>
    <w:rsid w:val="008834AA"/>
    <w:rsid w:val="008912CB"/>
    <w:rsid w:val="00891588"/>
    <w:rsid w:val="008A68CE"/>
    <w:rsid w:val="008B21CE"/>
    <w:rsid w:val="008B623E"/>
    <w:rsid w:val="008B6F16"/>
    <w:rsid w:val="008D120B"/>
    <w:rsid w:val="008D2126"/>
    <w:rsid w:val="008D4E33"/>
    <w:rsid w:val="008D7807"/>
    <w:rsid w:val="00915E84"/>
    <w:rsid w:val="00931716"/>
    <w:rsid w:val="00941087"/>
    <w:rsid w:val="00941C25"/>
    <w:rsid w:val="009618B4"/>
    <w:rsid w:val="00961CCE"/>
    <w:rsid w:val="0096742F"/>
    <w:rsid w:val="00985E43"/>
    <w:rsid w:val="00986DBD"/>
    <w:rsid w:val="00992D4E"/>
    <w:rsid w:val="00995F2C"/>
    <w:rsid w:val="0099670F"/>
    <w:rsid w:val="009A21C3"/>
    <w:rsid w:val="009A3BBE"/>
    <w:rsid w:val="009A5AD0"/>
    <w:rsid w:val="009B1BAE"/>
    <w:rsid w:val="009B658E"/>
    <w:rsid w:val="009C033C"/>
    <w:rsid w:val="009C0FCC"/>
    <w:rsid w:val="009D21CD"/>
    <w:rsid w:val="009D57D8"/>
    <w:rsid w:val="009E15E9"/>
    <w:rsid w:val="009E5920"/>
    <w:rsid w:val="009E6691"/>
    <w:rsid w:val="009F0392"/>
    <w:rsid w:val="009F209D"/>
    <w:rsid w:val="00A111DC"/>
    <w:rsid w:val="00A124C5"/>
    <w:rsid w:val="00A167FC"/>
    <w:rsid w:val="00A173B2"/>
    <w:rsid w:val="00A25596"/>
    <w:rsid w:val="00A27FB6"/>
    <w:rsid w:val="00A42799"/>
    <w:rsid w:val="00A433BE"/>
    <w:rsid w:val="00A50F28"/>
    <w:rsid w:val="00A527EB"/>
    <w:rsid w:val="00A620D5"/>
    <w:rsid w:val="00A75611"/>
    <w:rsid w:val="00A917D5"/>
    <w:rsid w:val="00A91DB7"/>
    <w:rsid w:val="00A95576"/>
    <w:rsid w:val="00AA02DB"/>
    <w:rsid w:val="00AA35FB"/>
    <w:rsid w:val="00AA7A35"/>
    <w:rsid w:val="00AB34DF"/>
    <w:rsid w:val="00AC2F3D"/>
    <w:rsid w:val="00AC4F35"/>
    <w:rsid w:val="00AC62E2"/>
    <w:rsid w:val="00AD6B2F"/>
    <w:rsid w:val="00AE1597"/>
    <w:rsid w:val="00AE2E98"/>
    <w:rsid w:val="00AE391C"/>
    <w:rsid w:val="00AE3A52"/>
    <w:rsid w:val="00AE3E67"/>
    <w:rsid w:val="00AF12CF"/>
    <w:rsid w:val="00B03AE1"/>
    <w:rsid w:val="00B0668A"/>
    <w:rsid w:val="00B15EAB"/>
    <w:rsid w:val="00B163A3"/>
    <w:rsid w:val="00B167AB"/>
    <w:rsid w:val="00B177BA"/>
    <w:rsid w:val="00B238B9"/>
    <w:rsid w:val="00B41349"/>
    <w:rsid w:val="00B459A2"/>
    <w:rsid w:val="00B51217"/>
    <w:rsid w:val="00B54444"/>
    <w:rsid w:val="00B55383"/>
    <w:rsid w:val="00B57A8B"/>
    <w:rsid w:val="00B72446"/>
    <w:rsid w:val="00B75DAC"/>
    <w:rsid w:val="00B83316"/>
    <w:rsid w:val="00B84E8C"/>
    <w:rsid w:val="00B86441"/>
    <w:rsid w:val="00B904A3"/>
    <w:rsid w:val="00B91F8D"/>
    <w:rsid w:val="00B9465A"/>
    <w:rsid w:val="00BE2434"/>
    <w:rsid w:val="00BF1EB3"/>
    <w:rsid w:val="00BF699F"/>
    <w:rsid w:val="00BF70F9"/>
    <w:rsid w:val="00C02B29"/>
    <w:rsid w:val="00C039F0"/>
    <w:rsid w:val="00C05025"/>
    <w:rsid w:val="00C1128B"/>
    <w:rsid w:val="00C15A01"/>
    <w:rsid w:val="00C168CD"/>
    <w:rsid w:val="00C169A8"/>
    <w:rsid w:val="00C20A08"/>
    <w:rsid w:val="00C31E45"/>
    <w:rsid w:val="00C3794D"/>
    <w:rsid w:val="00C51ED4"/>
    <w:rsid w:val="00C62971"/>
    <w:rsid w:val="00C6525B"/>
    <w:rsid w:val="00C729F2"/>
    <w:rsid w:val="00C82CF4"/>
    <w:rsid w:val="00C83176"/>
    <w:rsid w:val="00CA4358"/>
    <w:rsid w:val="00CB1047"/>
    <w:rsid w:val="00CB647F"/>
    <w:rsid w:val="00CB75FE"/>
    <w:rsid w:val="00CD5FCF"/>
    <w:rsid w:val="00D07791"/>
    <w:rsid w:val="00D113D5"/>
    <w:rsid w:val="00D131B3"/>
    <w:rsid w:val="00D14A1D"/>
    <w:rsid w:val="00D2279A"/>
    <w:rsid w:val="00D33C0A"/>
    <w:rsid w:val="00D37B52"/>
    <w:rsid w:val="00D40D4A"/>
    <w:rsid w:val="00D44E31"/>
    <w:rsid w:val="00D54F8E"/>
    <w:rsid w:val="00D565CA"/>
    <w:rsid w:val="00D569AC"/>
    <w:rsid w:val="00D64F2E"/>
    <w:rsid w:val="00D71DFB"/>
    <w:rsid w:val="00D734CA"/>
    <w:rsid w:val="00D73712"/>
    <w:rsid w:val="00D919DB"/>
    <w:rsid w:val="00D92512"/>
    <w:rsid w:val="00D973C9"/>
    <w:rsid w:val="00DA17B6"/>
    <w:rsid w:val="00DA25BA"/>
    <w:rsid w:val="00DB2079"/>
    <w:rsid w:val="00DB2AF7"/>
    <w:rsid w:val="00DB4FB0"/>
    <w:rsid w:val="00DC644F"/>
    <w:rsid w:val="00DD237B"/>
    <w:rsid w:val="00DD2C2D"/>
    <w:rsid w:val="00DE050E"/>
    <w:rsid w:val="00DE33BE"/>
    <w:rsid w:val="00DF42E2"/>
    <w:rsid w:val="00DF4735"/>
    <w:rsid w:val="00E01A7C"/>
    <w:rsid w:val="00E063D0"/>
    <w:rsid w:val="00E13787"/>
    <w:rsid w:val="00E2126D"/>
    <w:rsid w:val="00E2204D"/>
    <w:rsid w:val="00E2406F"/>
    <w:rsid w:val="00E30F7F"/>
    <w:rsid w:val="00E4385F"/>
    <w:rsid w:val="00E45E5A"/>
    <w:rsid w:val="00E46173"/>
    <w:rsid w:val="00E50072"/>
    <w:rsid w:val="00E669D5"/>
    <w:rsid w:val="00E73A52"/>
    <w:rsid w:val="00E80B34"/>
    <w:rsid w:val="00E81073"/>
    <w:rsid w:val="00E81F04"/>
    <w:rsid w:val="00E85ECD"/>
    <w:rsid w:val="00E95FB5"/>
    <w:rsid w:val="00E96266"/>
    <w:rsid w:val="00EA34D3"/>
    <w:rsid w:val="00EB21B3"/>
    <w:rsid w:val="00EB72B9"/>
    <w:rsid w:val="00EC2B35"/>
    <w:rsid w:val="00EC5B88"/>
    <w:rsid w:val="00ED4694"/>
    <w:rsid w:val="00ED6819"/>
    <w:rsid w:val="00EE0A43"/>
    <w:rsid w:val="00EE17EC"/>
    <w:rsid w:val="00EF43F2"/>
    <w:rsid w:val="00EF5404"/>
    <w:rsid w:val="00F009ED"/>
    <w:rsid w:val="00F01EB0"/>
    <w:rsid w:val="00F061E5"/>
    <w:rsid w:val="00F11D56"/>
    <w:rsid w:val="00F22A29"/>
    <w:rsid w:val="00F25D04"/>
    <w:rsid w:val="00F35B83"/>
    <w:rsid w:val="00F455BF"/>
    <w:rsid w:val="00F464A5"/>
    <w:rsid w:val="00F549E8"/>
    <w:rsid w:val="00F63673"/>
    <w:rsid w:val="00F65765"/>
    <w:rsid w:val="00F75831"/>
    <w:rsid w:val="00F80625"/>
    <w:rsid w:val="00F8417F"/>
    <w:rsid w:val="00F9213C"/>
    <w:rsid w:val="00F95160"/>
    <w:rsid w:val="00F967D3"/>
    <w:rsid w:val="00FA5603"/>
    <w:rsid w:val="00FB073B"/>
    <w:rsid w:val="00FB2610"/>
    <w:rsid w:val="00FB285D"/>
    <w:rsid w:val="00FB3D81"/>
    <w:rsid w:val="00FB6F28"/>
    <w:rsid w:val="00FC2597"/>
    <w:rsid w:val="00FD4B18"/>
    <w:rsid w:val="00FE2801"/>
    <w:rsid w:val="00FE72C7"/>
    <w:rsid w:val="00FF57DA"/>
    <w:rsid w:val="031E1F2D"/>
    <w:rsid w:val="0377672D"/>
    <w:rsid w:val="03CC9E55"/>
    <w:rsid w:val="09F7CD19"/>
    <w:rsid w:val="0AE7228C"/>
    <w:rsid w:val="0F08B12A"/>
    <w:rsid w:val="10F52A63"/>
    <w:rsid w:val="127D6546"/>
    <w:rsid w:val="1336D41C"/>
    <w:rsid w:val="13D8F00B"/>
    <w:rsid w:val="155A5766"/>
    <w:rsid w:val="15EB2E26"/>
    <w:rsid w:val="16C1D4E6"/>
    <w:rsid w:val="1CABA96C"/>
    <w:rsid w:val="1D58EBDF"/>
    <w:rsid w:val="1E9D9EBD"/>
    <w:rsid w:val="200F21A2"/>
    <w:rsid w:val="204F5BF3"/>
    <w:rsid w:val="20623E89"/>
    <w:rsid w:val="2097CC04"/>
    <w:rsid w:val="209EFF71"/>
    <w:rsid w:val="20BE06DB"/>
    <w:rsid w:val="2221F1E3"/>
    <w:rsid w:val="23ADB1D8"/>
    <w:rsid w:val="2498C434"/>
    <w:rsid w:val="25823EA4"/>
    <w:rsid w:val="261DD6DC"/>
    <w:rsid w:val="281F87F8"/>
    <w:rsid w:val="29639A3F"/>
    <w:rsid w:val="29FA58D5"/>
    <w:rsid w:val="2D270D48"/>
    <w:rsid w:val="2E3D659E"/>
    <w:rsid w:val="2F0EDE8D"/>
    <w:rsid w:val="39D0AF42"/>
    <w:rsid w:val="3A1A7B4F"/>
    <w:rsid w:val="3B89894F"/>
    <w:rsid w:val="3BD00C27"/>
    <w:rsid w:val="3CCEEAAE"/>
    <w:rsid w:val="3FA09C2D"/>
    <w:rsid w:val="40E1E62A"/>
    <w:rsid w:val="411D23BD"/>
    <w:rsid w:val="42137F93"/>
    <w:rsid w:val="481442D0"/>
    <w:rsid w:val="4BCEB955"/>
    <w:rsid w:val="4BD09761"/>
    <w:rsid w:val="4C9C29CE"/>
    <w:rsid w:val="4F906A24"/>
    <w:rsid w:val="5002703E"/>
    <w:rsid w:val="52DA8100"/>
    <w:rsid w:val="569A5B8D"/>
    <w:rsid w:val="57C05C4F"/>
    <w:rsid w:val="5948AA5B"/>
    <w:rsid w:val="5A0095A1"/>
    <w:rsid w:val="5B618448"/>
    <w:rsid w:val="5D64726D"/>
    <w:rsid w:val="5DB69B09"/>
    <w:rsid w:val="613065E5"/>
    <w:rsid w:val="64A0D784"/>
    <w:rsid w:val="65DF30FE"/>
    <w:rsid w:val="676F6343"/>
    <w:rsid w:val="67B9E9B1"/>
    <w:rsid w:val="698E0021"/>
    <w:rsid w:val="69EB8FAA"/>
    <w:rsid w:val="6F188E7C"/>
    <w:rsid w:val="70D53E30"/>
    <w:rsid w:val="72C5BF65"/>
    <w:rsid w:val="73017EAA"/>
    <w:rsid w:val="7369024A"/>
    <w:rsid w:val="74F593FA"/>
    <w:rsid w:val="752265D2"/>
    <w:rsid w:val="75531725"/>
    <w:rsid w:val="77679F6C"/>
    <w:rsid w:val="781CC7A7"/>
    <w:rsid w:val="781F39F0"/>
    <w:rsid w:val="79432F5C"/>
    <w:rsid w:val="7B008DC5"/>
    <w:rsid w:val="7F54FC3D"/>
    <w:rsid w:val="7F8D2D5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07837"/>
  <w15:chartTrackingRefBased/>
  <w15:docId w15:val="{E3112566-6911-460E-98AE-D4D2BB5543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65CA"/>
    <w:pPr>
      <w:jc w:val="both"/>
    </w:pPr>
    <w:rPr>
      <w:rFonts w:eastAsiaTheme="minorEastAsia"/>
      <w:sz w:val="24"/>
      <w:szCs w:val="24"/>
    </w:rPr>
  </w:style>
  <w:style w:type="paragraph" w:styleId="Heading1">
    <w:name w:val="heading 1"/>
    <w:aliases w:val="Article title"/>
    <w:basedOn w:val="Normal"/>
    <w:link w:val="Heading1Char"/>
    <w:autoRedefine/>
    <w:uiPriority w:val="9"/>
    <w:qFormat/>
    <w:rsid w:val="00ED6819"/>
    <w:pPr>
      <w:spacing w:after="100" w:afterAutospacing="1" w:line="480" w:lineRule="auto"/>
      <w:outlineLvl w:val="0"/>
    </w:pPr>
    <w:rPr>
      <w:rFonts w:ascii="var(--bs-body-font-family)" w:eastAsia="Times New Roman" w:hAnsi="var(--bs-body-font-family)"/>
      <w:b/>
      <w:bCs/>
      <w:kern w:val="36"/>
      <w:szCs w:val="48"/>
    </w:rPr>
  </w:style>
  <w:style w:type="paragraph" w:styleId="Heading2">
    <w:name w:val="heading 2"/>
    <w:basedOn w:val="Normal"/>
    <w:link w:val="Heading2Char"/>
    <w:uiPriority w:val="9"/>
    <w:qFormat/>
    <w:rsid w:val="00844131"/>
    <w:pPr>
      <w:spacing w:after="100" w:afterAutospacing="1"/>
      <w:outlineLvl w:val="1"/>
    </w:pPr>
    <w:rPr>
      <w:b/>
      <w:bCs/>
      <w:sz w:val="36"/>
      <w:szCs w:val="36"/>
    </w:rPr>
  </w:style>
  <w:style w:type="paragraph" w:styleId="Heading3">
    <w:name w:val="heading 3"/>
    <w:basedOn w:val="Normal"/>
    <w:link w:val="Heading3Char"/>
    <w:uiPriority w:val="9"/>
    <w:qFormat/>
    <w:pPr>
      <w:spacing w:after="100" w:afterAutospacing="1"/>
      <w:outlineLvl w:val="2"/>
    </w:pPr>
    <w:rPr>
      <w:b/>
      <w:bCs/>
      <w:sz w:val="27"/>
      <w:szCs w:val="27"/>
    </w:rPr>
  </w:style>
  <w:style w:type="paragraph" w:styleId="Heading4">
    <w:name w:val="heading 4"/>
    <w:basedOn w:val="Normal"/>
    <w:link w:val="Heading4Char"/>
    <w:uiPriority w:val="9"/>
    <w:qFormat/>
    <w:pPr>
      <w:spacing w:after="100" w:afterAutospacing="1"/>
      <w:outlineLvl w:val="3"/>
    </w:pPr>
  </w:style>
  <w:style w:type="paragraph" w:styleId="Heading5">
    <w:name w:val="heading 5"/>
    <w:basedOn w:val="Normal"/>
    <w:link w:val="Heading5Char"/>
    <w:uiPriority w:val="9"/>
    <w:qFormat/>
    <w:pPr>
      <w:spacing w:after="100" w:afterAutospacing="1"/>
      <w:outlineLvl w:val="4"/>
    </w:pPr>
    <w:rPr>
      <w:sz w:val="20"/>
      <w:szCs w:val="20"/>
    </w:rPr>
  </w:style>
  <w:style w:type="paragraph" w:styleId="Heading6">
    <w:name w:val="heading 6"/>
    <w:basedOn w:val="Normal"/>
    <w:link w:val="Heading6Char"/>
    <w:uiPriority w:val="9"/>
    <w:qFormat/>
    <w:pPr>
      <w:spacing w:after="100" w:afterAutospacing="1"/>
      <w:outlineLvl w:val="5"/>
    </w:pPr>
    <w:rPr>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b w:val="0"/>
      <w:bCs w:val="0"/>
      <w:color w:val="0000FF"/>
      <w:u w:val="single"/>
    </w:rPr>
  </w:style>
  <w:style w:type="character" w:styleId="FollowedHyperlink">
    <w:name w:val="FollowedHyperlink"/>
    <w:basedOn w:val="DefaultParagraphFont"/>
    <w:uiPriority w:val="99"/>
    <w:semiHidden/>
    <w:unhideWhenUsed/>
    <w:rPr>
      <w:b w:val="0"/>
      <w:bCs w:val="0"/>
      <w:color w:val="800080"/>
      <w:u w:val="single"/>
    </w:rPr>
  </w:style>
  <w:style w:type="paragraph" w:styleId="HTMLAddress">
    <w:name w:val="HTML Address"/>
    <w:basedOn w:val="Normal"/>
    <w:link w:val="HTMLAddressChar"/>
    <w:uiPriority w:val="99"/>
    <w:semiHidden/>
    <w:unhideWhenUsed/>
  </w:style>
  <w:style w:type="character" w:customStyle="1" w:styleId="HTMLAddressChar">
    <w:name w:val="HTML Address Char"/>
    <w:basedOn w:val="DefaultParagraphFont"/>
    <w:link w:val="HTMLAddress"/>
    <w:uiPriority w:val="99"/>
    <w:semiHidden/>
    <w:rPr>
      <w:rFonts w:eastAsiaTheme="minorEastAsia"/>
      <w:i/>
      <w:iCs/>
      <w:sz w:val="24"/>
      <w:szCs w:val="24"/>
    </w:rPr>
  </w:style>
  <w:style w:type="character" w:styleId="HTMLCode">
    <w:name w:val="HTML Code"/>
    <w:basedOn w:val="DefaultParagraphFont"/>
    <w:uiPriority w:val="99"/>
    <w:semiHidden/>
    <w:unhideWhenUsed/>
    <w:rPr>
      <w:rFonts w:ascii="Menlo" w:eastAsiaTheme="minorEastAsia" w:hAnsi="Menlo" w:cs="Menlo" w:hint="default"/>
      <w:b w:val="0"/>
      <w:bCs w:val="0"/>
      <w:sz w:val="21"/>
      <w:szCs w:val="21"/>
      <w:shd w:val="clear" w:color="auto" w:fill="F8F9FA"/>
    </w:rPr>
  </w:style>
  <w:style w:type="character" w:customStyle="1" w:styleId="Heading1Char">
    <w:name w:val="Heading 1 Char"/>
    <w:aliases w:val="Article title Char"/>
    <w:basedOn w:val="DefaultParagraphFont"/>
    <w:link w:val="Heading1"/>
    <w:uiPriority w:val="9"/>
    <w:rsid w:val="00ED6819"/>
    <w:rPr>
      <w:rFonts w:ascii="var(--bs-body-font-family)" w:hAnsi="var(--bs-body-font-family)"/>
      <w:b/>
      <w:bCs/>
      <w:kern w:val="36"/>
      <w:sz w:val="24"/>
      <w:szCs w:val="48"/>
    </w:rPr>
  </w:style>
  <w:style w:type="character" w:customStyle="1" w:styleId="Heading2Char">
    <w:name w:val="Heading 2 Char"/>
    <w:basedOn w:val="DefaultParagraphFont"/>
    <w:link w:val="Heading2"/>
    <w:uiPriority w:val="9"/>
    <w:rsid w:val="00844131"/>
    <w:rPr>
      <w:rFonts w:eastAsiaTheme="minorEastAsia"/>
      <w:b/>
      <w:bCs/>
      <w:sz w:val="36"/>
      <w:szCs w:val="36"/>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sz w:val="24"/>
      <w:szCs w:val="24"/>
    </w:rPr>
  </w:style>
  <w:style w:type="character" w:styleId="HTMLKeyboard">
    <w:name w:val="HTML Keyboard"/>
    <w:basedOn w:val="DefaultParagraphFont"/>
    <w:uiPriority w:val="99"/>
    <w:semiHidden/>
    <w:unhideWhenUsed/>
    <w:rPr>
      <w:rFonts w:ascii="Menlo" w:eastAsiaTheme="minorEastAsia" w:hAnsi="Menlo" w:cs="Menlo" w:hint="default"/>
      <w:color w:val="373A3C"/>
      <w:sz w:val="21"/>
      <w:szCs w:val="21"/>
      <w:bdr w:val="single" w:sz="6" w:space="0" w:color="E1E1E1" w:frame="1"/>
      <w:shd w:val="clear" w:color="auto" w:fill="F8F9FA"/>
    </w:rPr>
  </w:style>
  <w:style w:type="paragraph" w:styleId="HTMLPreformatted">
    <w:name w:val="HTML Preformatted"/>
    <w:basedOn w:val="Normal"/>
    <w:link w:val="HTMLPreformattedChar"/>
    <w:uiPriority w:val="99"/>
    <w:semiHidden/>
    <w:unhideWhenUsed/>
    <w:pPr>
      <w:shd w:val="clear" w:color="auto" w:fill="F8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Menlo" w:hAnsi="Menlo" w:cs="Menlo"/>
      <w:color w:val="000000"/>
      <w:sz w:val="21"/>
      <w:szCs w:val="21"/>
    </w:rPr>
  </w:style>
  <w:style w:type="character" w:customStyle="1" w:styleId="HTMLPreformattedChar">
    <w:name w:val="HTML Preformatted Char"/>
    <w:basedOn w:val="DefaultParagraphFont"/>
    <w:link w:val="HTMLPreformatted"/>
    <w:uiPriority w:val="99"/>
    <w:semiHidden/>
    <w:rPr>
      <w:rFonts w:ascii="Consolas" w:eastAsiaTheme="minorEastAsia" w:hAnsi="Consolas" w:cs="Consolas"/>
    </w:rPr>
  </w:style>
  <w:style w:type="character" w:styleId="HTMLSample">
    <w:name w:val="HTML Sample"/>
    <w:basedOn w:val="DefaultParagraphFont"/>
    <w:uiPriority w:val="99"/>
    <w:semiHidden/>
    <w:unhideWhenUsed/>
    <w:rPr>
      <w:rFonts w:ascii="Menlo" w:eastAsiaTheme="minorEastAsia" w:hAnsi="Menlo" w:cs="Menlo" w:hint="default"/>
      <w:sz w:val="24"/>
      <w:szCs w:val="24"/>
    </w:rPr>
  </w:style>
  <w:style w:type="character" w:styleId="Strong">
    <w:name w:val="Strong"/>
    <w:basedOn w:val="DefaultParagraphFont"/>
    <w:uiPriority w:val="22"/>
    <w:qFormat/>
    <w:rPr>
      <w:b/>
      <w:bCs/>
    </w:rPr>
  </w:style>
  <w:style w:type="paragraph" w:customStyle="1" w:styleId="msonormal0">
    <w:name w:val="msonormal"/>
    <w:basedOn w:val="Normal"/>
    <w:pPr>
      <w:spacing w:after="100" w:afterAutospacing="1"/>
    </w:pPr>
  </w:style>
  <w:style w:type="paragraph" w:styleId="NormalWeb">
    <w:name w:val="Normal (Web)"/>
    <w:basedOn w:val="Normal"/>
    <w:uiPriority w:val="99"/>
    <w:unhideWhenUsed/>
    <w:pPr>
      <w:spacing w:after="100" w:afterAutospacing="1"/>
    </w:pPr>
  </w:style>
  <w:style w:type="paragraph" w:customStyle="1" w:styleId="Subtitle1">
    <w:name w:val="Subtitle1"/>
    <w:basedOn w:val="Normal"/>
    <w:pPr>
      <w:spacing w:before="60" w:after="120"/>
    </w:pPr>
  </w:style>
  <w:style w:type="paragraph" w:customStyle="1" w:styleId="tippy-box">
    <w:name w:val="tippy-box"/>
    <w:basedOn w:val="Normal"/>
    <w:pPr>
      <w:shd w:val="clear" w:color="auto" w:fill="333333"/>
      <w:spacing w:before="100" w:beforeAutospacing="1" w:after="100" w:afterAutospacing="1"/>
    </w:pPr>
    <w:rPr>
      <w:color w:val="FFFFFF"/>
      <w:sz w:val="21"/>
      <w:szCs w:val="21"/>
    </w:rPr>
  </w:style>
  <w:style w:type="paragraph" w:customStyle="1" w:styleId="tippy-arrow">
    <w:name w:val="tippy-arrow"/>
    <w:basedOn w:val="Normal"/>
    <w:pPr>
      <w:spacing w:before="100" w:beforeAutospacing="1" w:after="100" w:afterAutospacing="1"/>
    </w:pPr>
    <w:rPr>
      <w:color w:val="333333"/>
    </w:rPr>
  </w:style>
  <w:style w:type="paragraph" w:customStyle="1" w:styleId="tippy-content">
    <w:name w:val="tippy-content"/>
    <w:basedOn w:val="Normal"/>
    <w:pPr>
      <w:spacing w:before="100" w:beforeAutospacing="1" w:after="100" w:afterAutospacing="1"/>
    </w:pPr>
  </w:style>
  <w:style w:type="paragraph" w:customStyle="1" w:styleId="h6">
    <w:name w:val="h6"/>
    <w:basedOn w:val="Normal"/>
    <w:pPr>
      <w:spacing w:after="100" w:afterAutospacing="1"/>
    </w:pPr>
  </w:style>
  <w:style w:type="paragraph" w:customStyle="1" w:styleId="h5">
    <w:name w:val="h5"/>
    <w:basedOn w:val="Normal"/>
    <w:pPr>
      <w:spacing w:after="100" w:afterAutospacing="1"/>
    </w:pPr>
  </w:style>
  <w:style w:type="paragraph" w:customStyle="1" w:styleId="h4">
    <w:name w:val="h4"/>
    <w:basedOn w:val="Normal"/>
    <w:pPr>
      <w:spacing w:after="100" w:afterAutospacing="1"/>
    </w:pPr>
  </w:style>
  <w:style w:type="paragraph" w:customStyle="1" w:styleId="h3">
    <w:name w:val="h3"/>
    <w:basedOn w:val="Normal"/>
    <w:pPr>
      <w:spacing w:after="100" w:afterAutospacing="1"/>
    </w:pPr>
    <w:rPr>
      <w:b/>
      <w:bCs/>
    </w:rPr>
  </w:style>
  <w:style w:type="paragraph" w:customStyle="1" w:styleId="h2">
    <w:name w:val="h2"/>
    <w:basedOn w:val="Normal"/>
    <w:pPr>
      <w:pBdr>
        <w:bottom w:val="single" w:sz="6" w:space="0" w:color="E1E1E1"/>
      </w:pBdr>
      <w:spacing w:after="100" w:afterAutospacing="1"/>
    </w:pPr>
    <w:rPr>
      <w:b/>
      <w:bCs/>
    </w:rPr>
  </w:style>
  <w:style w:type="paragraph" w:customStyle="1" w:styleId="h1">
    <w:name w:val="h1"/>
    <w:basedOn w:val="Normal"/>
    <w:pPr>
      <w:spacing w:after="100" w:afterAutospacing="1"/>
    </w:pPr>
    <w:rPr>
      <w:b/>
      <w:bCs/>
    </w:rPr>
  </w:style>
  <w:style w:type="paragraph" w:customStyle="1" w:styleId="small">
    <w:name w:val="small"/>
    <w:basedOn w:val="Normal"/>
    <w:pPr>
      <w:spacing w:before="100" w:beforeAutospacing="1" w:after="100" w:afterAutospacing="1"/>
    </w:pPr>
    <w:rPr>
      <w:sz w:val="21"/>
      <w:szCs w:val="21"/>
    </w:rPr>
  </w:style>
  <w:style w:type="paragraph" w:customStyle="1" w:styleId="lead">
    <w:name w:val="lead"/>
    <w:basedOn w:val="Normal"/>
    <w:pPr>
      <w:spacing w:before="100" w:beforeAutospacing="1" w:after="100" w:afterAutospacing="1"/>
    </w:pPr>
  </w:style>
  <w:style w:type="paragraph" w:customStyle="1" w:styleId="display-1">
    <w:name w:val="display-1"/>
    <w:basedOn w:val="Normal"/>
    <w:pPr>
      <w:spacing w:before="100" w:beforeAutospacing="1" w:after="100" w:afterAutospacing="1"/>
    </w:pPr>
  </w:style>
  <w:style w:type="paragraph" w:customStyle="1" w:styleId="display-2">
    <w:name w:val="display-2"/>
    <w:basedOn w:val="Normal"/>
    <w:pPr>
      <w:spacing w:before="100" w:beforeAutospacing="1" w:after="100" w:afterAutospacing="1"/>
    </w:pPr>
  </w:style>
  <w:style w:type="paragraph" w:customStyle="1" w:styleId="display-3">
    <w:name w:val="display-3"/>
    <w:basedOn w:val="Normal"/>
    <w:pPr>
      <w:spacing w:before="100" w:beforeAutospacing="1" w:after="100" w:afterAutospacing="1"/>
    </w:pPr>
  </w:style>
  <w:style w:type="paragraph" w:customStyle="1" w:styleId="display-4">
    <w:name w:val="display-4"/>
    <w:basedOn w:val="Normal"/>
    <w:pPr>
      <w:spacing w:before="100" w:beforeAutospacing="1" w:after="100" w:afterAutospacing="1"/>
    </w:pPr>
  </w:style>
  <w:style w:type="paragraph" w:customStyle="1" w:styleId="display-5">
    <w:name w:val="display-5"/>
    <w:basedOn w:val="Normal"/>
    <w:pPr>
      <w:spacing w:before="100" w:beforeAutospacing="1" w:after="100" w:afterAutospacing="1"/>
    </w:pPr>
  </w:style>
  <w:style w:type="paragraph" w:customStyle="1" w:styleId="display-6">
    <w:name w:val="display-6"/>
    <w:basedOn w:val="Normal"/>
    <w:pPr>
      <w:spacing w:before="100" w:beforeAutospacing="1" w:after="100" w:afterAutospacing="1"/>
    </w:pPr>
  </w:style>
  <w:style w:type="paragraph" w:customStyle="1" w:styleId="list-unstyled">
    <w:name w:val="list-unstyled"/>
    <w:basedOn w:val="Normal"/>
    <w:pPr>
      <w:spacing w:before="100" w:beforeAutospacing="1" w:after="100" w:afterAutospacing="1"/>
    </w:pPr>
  </w:style>
  <w:style w:type="paragraph" w:customStyle="1" w:styleId="list-inline">
    <w:name w:val="list-inline"/>
    <w:basedOn w:val="Normal"/>
    <w:pPr>
      <w:spacing w:before="100" w:beforeAutospacing="1" w:after="100" w:afterAutospacing="1"/>
    </w:pPr>
  </w:style>
  <w:style w:type="paragraph" w:customStyle="1" w:styleId="initialism">
    <w:name w:val="initialism"/>
    <w:basedOn w:val="Normal"/>
    <w:pPr>
      <w:spacing w:before="100" w:beforeAutospacing="1" w:after="100" w:afterAutospacing="1"/>
    </w:pPr>
    <w:rPr>
      <w:caps/>
      <w:sz w:val="21"/>
      <w:szCs w:val="21"/>
    </w:rPr>
  </w:style>
  <w:style w:type="paragraph" w:customStyle="1" w:styleId="blockquote-footer">
    <w:name w:val="blockquote-footer"/>
    <w:basedOn w:val="Normal"/>
    <w:pPr>
      <w:spacing w:before="100" w:beforeAutospacing="1" w:after="100" w:afterAutospacing="1"/>
    </w:pPr>
    <w:rPr>
      <w:color w:val="868E96"/>
      <w:sz w:val="21"/>
      <w:szCs w:val="21"/>
    </w:rPr>
  </w:style>
  <w:style w:type="paragraph" w:customStyle="1" w:styleId="img-thumbnail">
    <w:name w:val="img-thumbnai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style>
  <w:style w:type="paragraph" w:customStyle="1" w:styleId="figure-img">
    <w:name w:val="figure-img"/>
    <w:basedOn w:val="Normal"/>
    <w:pPr>
      <w:spacing w:before="100" w:beforeAutospacing="1" w:after="100" w:afterAutospacing="1"/>
    </w:pPr>
  </w:style>
  <w:style w:type="paragraph" w:customStyle="1" w:styleId="figure-caption">
    <w:name w:val="figure-caption"/>
    <w:basedOn w:val="Normal"/>
    <w:pPr>
      <w:spacing w:before="100" w:beforeAutospacing="1" w:after="100" w:afterAutospacing="1"/>
    </w:pPr>
    <w:rPr>
      <w:sz w:val="21"/>
      <w:szCs w:val="21"/>
    </w:rPr>
  </w:style>
  <w:style w:type="paragraph" w:customStyle="1" w:styleId="container">
    <w:name w:val="container"/>
    <w:basedOn w:val="Normal"/>
    <w:pPr>
      <w:spacing w:before="100" w:beforeAutospacing="1" w:after="100" w:afterAutospacing="1"/>
    </w:pPr>
  </w:style>
  <w:style w:type="paragraph" w:customStyle="1" w:styleId="container-fluid">
    <w:name w:val="container-fluid"/>
    <w:basedOn w:val="Normal"/>
    <w:pPr>
      <w:spacing w:before="100" w:beforeAutospacing="1" w:after="100" w:afterAutospacing="1"/>
    </w:pPr>
  </w:style>
  <w:style w:type="paragraph" w:customStyle="1" w:styleId="container-xxl">
    <w:name w:val="container-xxl"/>
    <w:basedOn w:val="Normal"/>
    <w:pPr>
      <w:spacing w:before="100" w:beforeAutospacing="1" w:after="100" w:afterAutospacing="1"/>
    </w:pPr>
  </w:style>
  <w:style w:type="paragraph" w:customStyle="1" w:styleId="container-xl">
    <w:name w:val="container-xl"/>
    <w:basedOn w:val="Normal"/>
    <w:pPr>
      <w:spacing w:before="100" w:beforeAutospacing="1" w:after="100" w:afterAutospacing="1"/>
    </w:pPr>
  </w:style>
  <w:style w:type="paragraph" w:customStyle="1" w:styleId="container-lg">
    <w:name w:val="container-lg"/>
    <w:basedOn w:val="Normal"/>
    <w:pPr>
      <w:spacing w:before="100" w:beforeAutospacing="1" w:after="100" w:afterAutospacing="1"/>
    </w:pPr>
  </w:style>
  <w:style w:type="paragraph" w:customStyle="1" w:styleId="container-md">
    <w:name w:val="container-md"/>
    <w:basedOn w:val="Normal"/>
    <w:pPr>
      <w:spacing w:before="100" w:beforeAutospacing="1" w:after="100" w:afterAutospacing="1"/>
    </w:pPr>
  </w:style>
  <w:style w:type="paragraph" w:customStyle="1" w:styleId="container-sm">
    <w:name w:val="container-sm"/>
    <w:basedOn w:val="Normal"/>
    <w:pPr>
      <w:spacing w:before="100" w:beforeAutospacing="1" w:after="100" w:afterAutospacing="1"/>
    </w:pPr>
  </w:style>
  <w:style w:type="paragraph" w:customStyle="1" w:styleId="table">
    <w:name w:val="table"/>
    <w:basedOn w:val="Normal"/>
    <w:pPr>
      <w:pBdr>
        <w:top w:val="single" w:sz="6" w:space="0" w:color="D7D7D8"/>
        <w:bottom w:val="single" w:sz="6" w:space="0" w:color="D7D7D8"/>
      </w:pBdr>
      <w:spacing w:before="100" w:beforeAutospacing="1" w:after="100" w:afterAutospacing="1"/>
      <w:textAlignment w:val="top"/>
    </w:pPr>
  </w:style>
  <w:style w:type="paragraph" w:customStyle="1" w:styleId="tablethead">
    <w:name w:val="table&gt;thead"/>
    <w:basedOn w:val="Normal"/>
    <w:pPr>
      <w:pBdr>
        <w:bottom w:val="single" w:sz="6" w:space="0" w:color="9B9C9D"/>
      </w:pBdr>
      <w:spacing w:before="100" w:beforeAutospacing="1" w:after="100" w:afterAutospacing="1"/>
      <w:textAlignment w:val="bottom"/>
    </w:pPr>
  </w:style>
  <w:style w:type="paragraph" w:customStyle="1" w:styleId="col-form-label">
    <w:name w:val="col-form-label"/>
    <w:basedOn w:val="Normal"/>
    <w:pPr>
      <w:spacing w:before="100" w:beforeAutospacing="1"/>
    </w:pPr>
  </w:style>
  <w:style w:type="paragraph" w:customStyle="1" w:styleId="form-text">
    <w:name w:val="form-text"/>
    <w:basedOn w:val="Normal"/>
    <w:pPr>
      <w:spacing w:before="100" w:beforeAutospacing="1" w:after="100" w:afterAutospacing="1"/>
    </w:pPr>
    <w:rPr>
      <w:sz w:val="21"/>
      <w:szCs w:val="21"/>
    </w:rPr>
  </w:style>
  <w:style w:type="paragraph" w:customStyle="1" w:styleId="form-control">
    <w:name w:val="form-control"/>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ontrol-plaintext">
    <w:name w:val="form-control-plaintext"/>
    <w:basedOn w:val="Normal"/>
    <w:pPr>
      <w:spacing w:before="100" w:beforeAutospacing="1"/>
    </w:pPr>
    <w:rPr>
      <w:color w:val="373A3C"/>
    </w:rPr>
  </w:style>
  <w:style w:type="paragraph" w:customStyle="1" w:styleId="form-select">
    <w:name w:val="form-select"/>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form-check">
    <w:name w:val="form-check"/>
    <w:basedOn w:val="Normal"/>
    <w:pPr>
      <w:spacing w:before="100" w:beforeAutospacing="1" w:after="100" w:afterAutospacing="1"/>
    </w:pPr>
  </w:style>
  <w:style w:type="paragraph" w:customStyle="1" w:styleId="form-check-reverse">
    <w:name w:val="form-check-reverse"/>
    <w:basedOn w:val="Normal"/>
    <w:pPr>
      <w:spacing w:before="100" w:beforeAutospacing="1" w:after="100" w:afterAutospacing="1"/>
      <w:jc w:val="right"/>
    </w:pPr>
  </w:style>
  <w:style w:type="paragraph" w:customStyle="1" w:styleId="form-check-input">
    <w:name w:val="form-check-input"/>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switch">
    <w:name w:val="form-switch"/>
    <w:basedOn w:val="Normal"/>
    <w:pPr>
      <w:spacing w:before="100" w:beforeAutospacing="1" w:after="100" w:afterAutospacing="1"/>
    </w:pPr>
  </w:style>
  <w:style w:type="paragraph" w:customStyle="1" w:styleId="form-range">
    <w:name w:val="form-range"/>
    <w:basedOn w:val="Normal"/>
    <w:pPr>
      <w:spacing w:before="100" w:beforeAutospacing="1" w:after="100" w:afterAutospacing="1"/>
    </w:pPr>
  </w:style>
  <w:style w:type="paragraph" w:customStyle="1" w:styleId="form-floatinglabel">
    <w:name w:val="form-floating&gt;label"/>
    <w:basedOn w:val="Normal"/>
    <w:pPr>
      <w:spacing w:before="100" w:beforeAutospacing="1" w:after="100" w:afterAutospacing="1"/>
    </w:pPr>
  </w:style>
  <w:style w:type="paragraph" w:customStyle="1" w:styleId="input-group">
    <w:name w:val="input-group"/>
    <w:basedOn w:val="Normal"/>
    <w:pPr>
      <w:spacing w:before="100" w:beforeAutospacing="1" w:after="100" w:afterAutospacing="1"/>
    </w:pPr>
  </w:style>
  <w:style w:type="paragraph" w:customStyle="1" w:styleId="input-group-text">
    <w:name w:val="input-group-text"/>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jc w:val="center"/>
    </w:pPr>
    <w:rPr>
      <w:color w:val="373A3C"/>
    </w:rPr>
  </w:style>
  <w:style w:type="paragraph" w:customStyle="1" w:styleId="valid-feedback">
    <w:name w:val="valid-feedback"/>
    <w:basedOn w:val="Normal"/>
    <w:pPr>
      <w:spacing w:before="100" w:beforeAutospacing="1" w:after="100" w:afterAutospacing="1"/>
    </w:pPr>
    <w:rPr>
      <w:vanish/>
      <w:color w:val="3FB618"/>
      <w:sz w:val="21"/>
      <w:szCs w:val="21"/>
    </w:rPr>
  </w:style>
  <w:style w:type="paragraph" w:customStyle="1" w:styleId="valid-tooltip">
    <w:name w:val="valid-tooltip"/>
    <w:basedOn w:val="Normal"/>
    <w:pPr>
      <w:shd w:val="clear" w:color="auto" w:fill="3FB618"/>
      <w:spacing w:before="100" w:beforeAutospacing="1" w:after="100" w:afterAutospacing="1"/>
    </w:pPr>
    <w:rPr>
      <w:vanish/>
      <w:color w:val="FFFFFF"/>
    </w:rPr>
  </w:style>
  <w:style w:type="paragraph" w:customStyle="1" w:styleId="invalid-feedback">
    <w:name w:val="invalid-feedback"/>
    <w:basedOn w:val="Normal"/>
    <w:pPr>
      <w:spacing w:before="100" w:beforeAutospacing="1" w:after="100" w:afterAutospacing="1"/>
    </w:pPr>
    <w:rPr>
      <w:vanish/>
      <w:color w:val="FF0039"/>
      <w:sz w:val="21"/>
      <w:szCs w:val="21"/>
    </w:rPr>
  </w:style>
  <w:style w:type="paragraph" w:customStyle="1" w:styleId="invalid-tooltip">
    <w:name w:val="invalid-tooltip"/>
    <w:basedOn w:val="Normal"/>
    <w:pPr>
      <w:shd w:val="clear" w:color="auto" w:fill="FF0039"/>
      <w:spacing w:before="100" w:beforeAutospacing="1" w:after="100" w:afterAutospacing="1"/>
    </w:pPr>
    <w:rPr>
      <w:vanish/>
      <w:color w:val="FFFFFF"/>
    </w:rPr>
  </w:style>
  <w:style w:type="paragraph" w:customStyle="1" w:styleId="btn">
    <w:name w:val="btn"/>
    <w:basedOn w:val="Normal"/>
    <w:pPr>
      <w:spacing w:before="100" w:beforeAutospacing="1" w:after="100" w:afterAutospacing="1"/>
      <w:jc w:val="center"/>
      <w:textAlignment w:val="center"/>
    </w:pPr>
    <w:rPr>
      <w:rFonts w:ascii="var(--bs-btn-font-family)" w:hAnsi="var(--bs-btn-font-family)"/>
    </w:rPr>
  </w:style>
  <w:style w:type="paragraph" w:customStyle="1" w:styleId="btn-link">
    <w:name w:val="btn-link"/>
    <w:basedOn w:val="Normal"/>
    <w:pPr>
      <w:spacing w:before="100" w:beforeAutospacing="1" w:after="100" w:afterAutospacing="1"/>
    </w:pPr>
    <w:rPr>
      <w:u w:val="single"/>
    </w:rPr>
  </w:style>
  <w:style w:type="paragraph" w:customStyle="1" w:styleId="collapsing">
    <w:name w:val="collapsing"/>
    <w:basedOn w:val="Normal"/>
    <w:pPr>
      <w:spacing w:before="100" w:beforeAutospacing="1" w:after="100" w:afterAutospacing="1"/>
    </w:pPr>
  </w:style>
  <w:style w:type="paragraph" w:customStyle="1" w:styleId="dropdown-toggle">
    <w:name w:val="dropdown-toggle"/>
    <w:basedOn w:val="Normal"/>
    <w:pPr>
      <w:spacing w:before="100" w:beforeAutospacing="1" w:after="100" w:afterAutospacing="1"/>
    </w:pPr>
  </w:style>
  <w:style w:type="paragraph" w:customStyle="1" w:styleId="dropdown-menu">
    <w:name w:val="dropdown-menu"/>
    <w:basedOn w:val="Normal"/>
    <w:rPr>
      <w:vanish/>
    </w:rPr>
  </w:style>
  <w:style w:type="paragraph" w:customStyle="1" w:styleId="dropdown-divider">
    <w:name w:val="dropdown-divider"/>
    <w:basedOn w:val="Normal"/>
    <w:pPr>
      <w:spacing w:before="100" w:beforeAutospacing="1" w:after="100" w:afterAutospacing="1"/>
    </w:pPr>
  </w:style>
  <w:style w:type="paragraph" w:customStyle="1" w:styleId="dropdown-item">
    <w:name w:val="dropdown-item"/>
    <w:basedOn w:val="Normal"/>
    <w:pPr>
      <w:spacing w:before="100" w:beforeAutospacing="1" w:after="100" w:afterAutospacing="1"/>
    </w:pPr>
  </w:style>
  <w:style w:type="paragraph" w:customStyle="1" w:styleId="dropdown-header">
    <w:name w:val="dropdown-header"/>
    <w:basedOn w:val="Normal"/>
    <w:pPr>
      <w:spacing w:before="100" w:beforeAutospacing="1"/>
    </w:pPr>
  </w:style>
  <w:style w:type="paragraph" w:customStyle="1" w:styleId="dropdown-item-text">
    <w:name w:val="dropdown-item-text"/>
    <w:basedOn w:val="Normal"/>
    <w:pPr>
      <w:spacing w:before="100" w:beforeAutospacing="1" w:after="100" w:afterAutospacing="1"/>
    </w:pPr>
  </w:style>
  <w:style w:type="paragraph" w:customStyle="1" w:styleId="btn-group">
    <w:name w:val="btn-group"/>
    <w:basedOn w:val="Normal"/>
    <w:pPr>
      <w:spacing w:before="100" w:beforeAutospacing="1" w:after="100" w:afterAutospacing="1"/>
      <w:textAlignment w:val="center"/>
    </w:pPr>
  </w:style>
  <w:style w:type="paragraph" w:customStyle="1" w:styleId="btn-group-vertical">
    <w:name w:val="btn-group-vertical"/>
    <w:basedOn w:val="Normal"/>
    <w:pPr>
      <w:spacing w:before="100" w:beforeAutospacing="1" w:after="100" w:afterAutospacing="1"/>
      <w:textAlignment w:val="center"/>
    </w:pPr>
  </w:style>
  <w:style w:type="paragraph" w:customStyle="1" w:styleId="nav">
    <w:name w:val="nav"/>
    <w:basedOn w:val="Normal"/>
    <w:pPr>
      <w:spacing w:before="100" w:beforeAutospacing="1"/>
    </w:pPr>
  </w:style>
  <w:style w:type="paragraph" w:customStyle="1" w:styleId="nav-link">
    <w:name w:val="nav-link"/>
    <w:basedOn w:val="Normal"/>
    <w:pPr>
      <w:spacing w:before="100" w:beforeAutospacing="1" w:after="100" w:afterAutospacing="1"/>
    </w:pPr>
  </w:style>
  <w:style w:type="paragraph" w:customStyle="1" w:styleId="navbar-brand">
    <w:name w:val="navbar-brand"/>
    <w:basedOn w:val="Normal"/>
    <w:pPr>
      <w:spacing w:before="100" w:beforeAutospacing="1" w:after="100" w:afterAutospacing="1"/>
    </w:pPr>
  </w:style>
  <w:style w:type="paragraph" w:customStyle="1" w:styleId="navbar-nav">
    <w:name w:val="navbar-nav"/>
    <w:basedOn w:val="Normal"/>
    <w:pPr>
      <w:spacing w:before="100" w:beforeAutospacing="1"/>
    </w:pPr>
  </w:style>
  <w:style w:type="paragraph" w:customStyle="1" w:styleId="navbar-toggler">
    <w:name w:val="navbar-toggler"/>
    <w:basedOn w:val="Normal"/>
    <w:pPr>
      <w:spacing w:before="100" w:beforeAutospacing="1" w:after="100" w:afterAutospacing="1"/>
    </w:pPr>
  </w:style>
  <w:style w:type="paragraph" w:customStyle="1" w:styleId="navbar-toggler-icon">
    <w:name w:val="navbar-toggler-icon"/>
    <w:basedOn w:val="Normal"/>
    <w:pPr>
      <w:spacing w:before="100" w:beforeAutospacing="1" w:after="100" w:afterAutospacing="1"/>
      <w:textAlignment w:val="center"/>
    </w:pPr>
  </w:style>
  <w:style w:type="paragraph" w:customStyle="1" w:styleId="cardhr">
    <w:name w:val="card&gt;hr"/>
    <w:basedOn w:val="Normal"/>
    <w:pPr>
      <w:spacing w:before="100" w:beforeAutospacing="1" w:after="100" w:afterAutospacing="1"/>
    </w:pPr>
  </w:style>
  <w:style w:type="paragraph" w:customStyle="1" w:styleId="card-subtitle">
    <w:name w:val="card-subtitle"/>
    <w:basedOn w:val="Normal"/>
    <w:pPr>
      <w:spacing w:before="100" w:beforeAutospacing="1"/>
    </w:pPr>
  </w:style>
  <w:style w:type="paragraph" w:customStyle="1" w:styleId="card-header">
    <w:name w:val="card-header"/>
    <w:basedOn w:val="Normal"/>
    <w:pPr>
      <w:spacing w:before="100" w:beforeAutospacing="1"/>
    </w:pPr>
  </w:style>
  <w:style w:type="paragraph" w:customStyle="1" w:styleId="card-header-tabs">
    <w:name w:val="card-header-tabs"/>
    <w:basedOn w:val="Normal"/>
    <w:pPr>
      <w:spacing w:before="100" w:beforeAutospacing="1" w:after="100" w:afterAutospacing="1"/>
    </w:pPr>
  </w:style>
  <w:style w:type="paragraph" w:customStyle="1" w:styleId="card-img">
    <w:name w:val="card-img"/>
    <w:basedOn w:val="Normal"/>
    <w:pPr>
      <w:spacing w:before="100" w:beforeAutospacing="1" w:after="100" w:afterAutospacing="1"/>
    </w:pPr>
  </w:style>
  <w:style w:type="paragraph" w:customStyle="1" w:styleId="card-img-top">
    <w:name w:val="card-img-top"/>
    <w:basedOn w:val="Normal"/>
    <w:pPr>
      <w:spacing w:before="100" w:beforeAutospacing="1" w:after="100" w:afterAutospacing="1"/>
    </w:pPr>
  </w:style>
  <w:style w:type="paragraph" w:customStyle="1" w:styleId="card-img-bottom">
    <w:name w:val="card-img-bottom"/>
    <w:basedOn w:val="Normal"/>
    <w:pPr>
      <w:spacing w:before="100" w:beforeAutospacing="1" w:after="100" w:afterAutospacing="1"/>
    </w:pPr>
  </w:style>
  <w:style w:type="paragraph" w:customStyle="1" w:styleId="accordion-button">
    <w:name w:val="accordion-button"/>
    <w:basedOn w:val="Normal"/>
    <w:pPr>
      <w:spacing w:before="100" w:beforeAutospacing="1" w:after="100" w:afterAutospacing="1"/>
    </w:pPr>
  </w:style>
  <w:style w:type="paragraph" w:customStyle="1" w:styleId="accordion-header">
    <w:name w:val="accordion-header"/>
    <w:basedOn w:val="Normal"/>
    <w:pPr>
      <w:spacing w:before="100" w:beforeAutospacing="1"/>
    </w:pPr>
  </w:style>
  <w:style w:type="paragraph" w:customStyle="1" w:styleId="pagination">
    <w:name w:val="pagination"/>
    <w:basedOn w:val="Normal"/>
    <w:pPr>
      <w:spacing w:before="100" w:beforeAutospacing="1" w:after="100" w:afterAutospacing="1"/>
    </w:pPr>
  </w:style>
  <w:style w:type="paragraph" w:customStyle="1" w:styleId="page-link">
    <w:name w:val="page-link"/>
    <w:basedOn w:val="Normal"/>
    <w:pPr>
      <w:spacing w:before="100" w:beforeAutospacing="1" w:after="100" w:afterAutospacing="1"/>
    </w:pPr>
  </w:style>
  <w:style w:type="paragraph" w:customStyle="1" w:styleId="badge">
    <w:name w:val="badge"/>
    <w:basedOn w:val="Normal"/>
    <w:pPr>
      <w:spacing w:before="100" w:beforeAutospacing="1" w:after="100" w:afterAutospacing="1"/>
      <w:jc w:val="center"/>
      <w:textAlignment w:val="baseline"/>
    </w:pPr>
  </w:style>
  <w:style w:type="paragraph" w:customStyle="1" w:styleId="alert-link">
    <w:name w:val="alert-link"/>
    <w:basedOn w:val="Normal"/>
    <w:pPr>
      <w:spacing w:before="100" w:beforeAutospacing="1" w:after="100" w:afterAutospacing="1"/>
    </w:pPr>
    <w:rPr>
      <w:b/>
      <w:bCs/>
    </w:rPr>
  </w:style>
  <w:style w:type="paragraph" w:customStyle="1" w:styleId="progress-bar">
    <w:name w:val="progress-bar"/>
    <w:basedOn w:val="Normal"/>
    <w:pPr>
      <w:spacing w:before="100" w:beforeAutospacing="1" w:after="100" w:afterAutospacing="1"/>
      <w:jc w:val="center"/>
    </w:pPr>
  </w:style>
  <w:style w:type="paragraph" w:customStyle="1" w:styleId="list-group">
    <w:name w:val="list-group"/>
    <w:basedOn w:val="Normal"/>
    <w:pPr>
      <w:spacing w:before="100" w:beforeAutospacing="1"/>
    </w:pPr>
  </w:style>
  <w:style w:type="paragraph" w:customStyle="1" w:styleId="list-group-item-action">
    <w:name w:val="list-group-item-action"/>
    <w:basedOn w:val="Normal"/>
    <w:pPr>
      <w:spacing w:before="100" w:beforeAutospacing="1" w:after="100" w:afterAutospacing="1"/>
    </w:pPr>
  </w:style>
  <w:style w:type="paragraph" w:customStyle="1" w:styleId="list-group-item">
    <w:name w:val="list-group-item"/>
    <w:basedOn w:val="Normal"/>
    <w:pPr>
      <w:spacing w:before="100" w:beforeAutospacing="1" w:after="100" w:afterAutospacing="1"/>
    </w:pPr>
  </w:style>
  <w:style w:type="paragraph" w:customStyle="1" w:styleId="btn-close">
    <w:name w:val="btn-close"/>
    <w:basedOn w:val="Normal"/>
    <w:pPr>
      <w:spacing w:before="100" w:beforeAutospacing="1" w:after="100" w:afterAutospacing="1"/>
    </w:pPr>
  </w:style>
  <w:style w:type="paragraph" w:customStyle="1" w:styleId="modal">
    <w:name w:val="modal"/>
    <w:basedOn w:val="Normal"/>
    <w:pPr>
      <w:spacing w:before="100" w:beforeAutospacing="1" w:after="100" w:afterAutospacing="1"/>
    </w:pPr>
    <w:rPr>
      <w:vanish/>
    </w:rPr>
  </w:style>
  <w:style w:type="paragraph" w:customStyle="1" w:styleId="modal-dialog">
    <w:name w:val="modal-dialog"/>
    <w:basedOn w:val="Normal"/>
    <w:pPr>
      <w:spacing w:before="100" w:beforeAutospacing="1" w:after="100" w:afterAutospacing="1"/>
    </w:pPr>
  </w:style>
  <w:style w:type="paragraph" w:customStyle="1" w:styleId="modal-content">
    <w:name w:val="modal-content"/>
    <w:basedOn w:val="Normal"/>
    <w:pPr>
      <w:spacing w:before="100" w:beforeAutospacing="1" w:after="100" w:afterAutospacing="1"/>
    </w:pPr>
  </w:style>
  <w:style w:type="paragraph" w:customStyle="1" w:styleId="modal-title">
    <w:name w:val="modal-title"/>
    <w:basedOn w:val="Normal"/>
    <w:pPr>
      <w:spacing w:before="100" w:beforeAutospacing="1"/>
    </w:pPr>
  </w:style>
  <w:style w:type="paragraph" w:customStyle="1" w:styleId="modal-fullscreen">
    <w:name w:val="modal-fullscreen"/>
    <w:basedOn w:val="Normal"/>
  </w:style>
  <w:style w:type="paragraph" w:customStyle="1" w:styleId="tooltip">
    <w:name w:val="tooltip"/>
    <w:basedOn w:val="Normal"/>
    <w:pPr>
      <w:spacing w:before="100" w:beforeAutospacing="1" w:after="100" w:afterAutospacing="1"/>
    </w:pPr>
    <w:rPr>
      <w:rFonts w:ascii="Source Sans Pro" w:hAnsi="Source Sans Pro"/>
    </w:rPr>
  </w:style>
  <w:style w:type="paragraph" w:customStyle="1" w:styleId="tooltip-inner">
    <w:name w:val="tooltip-inner"/>
    <w:basedOn w:val="Normal"/>
    <w:pPr>
      <w:spacing w:before="100" w:beforeAutospacing="1" w:after="100" w:afterAutospacing="1"/>
      <w:jc w:val="center"/>
    </w:pPr>
  </w:style>
  <w:style w:type="paragraph" w:customStyle="1" w:styleId="popover">
    <w:name w:val="popover"/>
    <w:basedOn w:val="Normal"/>
    <w:pPr>
      <w:spacing w:before="100" w:beforeAutospacing="1" w:after="100" w:afterAutospacing="1"/>
    </w:pPr>
    <w:rPr>
      <w:rFonts w:ascii="Source Sans Pro" w:hAnsi="Source Sans Pro"/>
    </w:rPr>
  </w:style>
  <w:style w:type="paragraph" w:customStyle="1" w:styleId="popover-header">
    <w:name w:val="popover-header"/>
    <w:basedOn w:val="Normal"/>
    <w:pPr>
      <w:spacing w:before="100" w:beforeAutospacing="1"/>
    </w:pPr>
  </w:style>
  <w:style w:type="paragraph" w:customStyle="1" w:styleId="carousel-inner">
    <w:name w:val="carousel-inner"/>
    <w:basedOn w:val="Normal"/>
    <w:pPr>
      <w:spacing w:before="100" w:beforeAutospacing="1" w:after="100" w:afterAutospacing="1"/>
    </w:pPr>
  </w:style>
  <w:style w:type="paragraph" w:customStyle="1" w:styleId="carousel-item">
    <w:name w:val="carousel-item"/>
    <w:basedOn w:val="Normal"/>
    <w:pPr>
      <w:spacing w:before="100" w:beforeAutospacing="1" w:after="100" w:afterAutospacing="1"/>
      <w:ind w:right="-11906"/>
    </w:pPr>
    <w:rPr>
      <w:vanish/>
    </w:rPr>
  </w:style>
  <w:style w:type="paragraph" w:customStyle="1" w:styleId="carousel-control-prev">
    <w:name w:val="carousel-control-prev"/>
    <w:basedOn w:val="Normal"/>
    <w:pPr>
      <w:spacing w:before="100" w:beforeAutospacing="1" w:after="100" w:afterAutospacing="1"/>
      <w:jc w:val="center"/>
    </w:pPr>
    <w:rPr>
      <w:color w:val="FFFFFF"/>
    </w:rPr>
  </w:style>
  <w:style w:type="paragraph" w:customStyle="1" w:styleId="carousel-control-next">
    <w:name w:val="carousel-control-next"/>
    <w:basedOn w:val="Normal"/>
    <w:pPr>
      <w:spacing w:before="100" w:beforeAutospacing="1" w:after="100" w:afterAutospacing="1"/>
      <w:jc w:val="center"/>
    </w:pPr>
    <w:rPr>
      <w:color w:val="FFFFFF"/>
    </w:rPr>
  </w:style>
  <w:style w:type="paragraph" w:customStyle="1" w:styleId="carousel-control-prev-icon">
    <w:name w:val="carousel-control-prev-icon"/>
    <w:basedOn w:val="Normal"/>
    <w:pPr>
      <w:spacing w:before="100" w:beforeAutospacing="1" w:after="100" w:afterAutospacing="1"/>
    </w:pPr>
  </w:style>
  <w:style w:type="paragraph" w:customStyle="1" w:styleId="carousel-control-next-icon">
    <w:name w:val="carousel-control-next-icon"/>
    <w:basedOn w:val="Normal"/>
    <w:pPr>
      <w:spacing w:before="100" w:beforeAutospacing="1" w:after="100" w:afterAutospacing="1"/>
    </w:pPr>
  </w:style>
  <w:style w:type="paragraph" w:customStyle="1" w:styleId="carousel-indicators">
    <w:name w:val="carousel-indicators"/>
    <w:basedOn w:val="Normal"/>
    <w:pPr>
      <w:spacing w:before="100" w:beforeAutospacing="1" w:after="100" w:afterAutospacing="1"/>
      <w:ind w:left="1785" w:right="1785"/>
    </w:pPr>
  </w:style>
  <w:style w:type="paragraph" w:customStyle="1" w:styleId="carousel-caption">
    <w:name w:val="carousel-caption"/>
    <w:basedOn w:val="Normal"/>
    <w:pPr>
      <w:spacing w:before="100" w:beforeAutospacing="1" w:after="100" w:afterAutospacing="1"/>
      <w:jc w:val="center"/>
    </w:pPr>
    <w:rPr>
      <w:color w:val="FFFFFF"/>
    </w:rPr>
  </w:style>
  <w:style w:type="paragraph" w:customStyle="1" w:styleId="offcanvas-backdrop">
    <w:name w:val="offcanvas-backdrop"/>
    <w:basedOn w:val="Normal"/>
    <w:pPr>
      <w:shd w:val="clear" w:color="auto" w:fill="000000"/>
      <w:spacing w:before="100" w:beforeAutospacing="1" w:after="100" w:afterAutospacing="1"/>
    </w:pPr>
  </w:style>
  <w:style w:type="paragraph" w:customStyle="1" w:styleId="offcanvas-title">
    <w:name w:val="offcanvas-title"/>
    <w:basedOn w:val="Normal"/>
    <w:pPr>
      <w:spacing w:before="100" w:beforeAutospacing="1"/>
    </w:pPr>
  </w:style>
  <w:style w:type="paragraph" w:customStyle="1" w:styleId="placeholder">
    <w:name w:val="placeholder"/>
    <w:basedOn w:val="Normal"/>
    <w:pPr>
      <w:spacing w:before="100" w:beforeAutospacing="1" w:after="100" w:afterAutospacing="1"/>
      <w:textAlignment w:val="center"/>
    </w:pPr>
  </w:style>
  <w:style w:type="paragraph" w:customStyle="1" w:styleId="ratio">
    <w:name w:val="ratio"/>
    <w:basedOn w:val="Normal"/>
    <w:pPr>
      <w:spacing w:before="100" w:beforeAutospacing="1" w:after="100" w:afterAutospacing="1"/>
    </w:pPr>
  </w:style>
  <w:style w:type="paragraph" w:customStyle="1" w:styleId="ratio0">
    <w:name w:val="ratio&gt;*"/>
    <w:basedOn w:val="Normal"/>
    <w:pPr>
      <w:spacing w:before="100" w:beforeAutospacing="1" w:after="100" w:afterAutospacing="1"/>
    </w:pPr>
  </w:style>
  <w:style w:type="paragraph" w:customStyle="1" w:styleId="text-truncate">
    <w:name w:val="text-truncate"/>
    <w:basedOn w:val="Normal"/>
    <w:pPr>
      <w:spacing w:before="100" w:beforeAutospacing="1" w:after="100" w:afterAutospacing="1"/>
    </w:pPr>
  </w:style>
  <w:style w:type="paragraph" w:customStyle="1" w:styleId="vr">
    <w:name w:val="vr"/>
    <w:basedOn w:val="Normal"/>
    <w:pPr>
      <w:spacing w:before="100" w:beforeAutospacing="1" w:after="100" w:afterAutospacing="1"/>
    </w:pPr>
  </w:style>
  <w:style w:type="paragraph" w:customStyle="1" w:styleId="bg-default">
    <w:name w:val="bg-default"/>
    <w:basedOn w:val="Normal"/>
    <w:pPr>
      <w:spacing w:before="100" w:beforeAutospacing="1" w:after="100" w:afterAutospacing="1"/>
    </w:pPr>
    <w:rPr>
      <w:color w:val="FFFFFF"/>
    </w:rPr>
  </w:style>
  <w:style w:type="paragraph" w:customStyle="1" w:styleId="bg-primary">
    <w:name w:val="bg-primary"/>
    <w:basedOn w:val="Normal"/>
    <w:pPr>
      <w:spacing w:before="100" w:beforeAutospacing="1" w:after="100" w:afterAutospacing="1"/>
    </w:pPr>
    <w:rPr>
      <w:color w:val="FFFFFF"/>
    </w:rPr>
  </w:style>
  <w:style w:type="paragraph" w:customStyle="1" w:styleId="bg-secondary">
    <w:name w:val="bg-secondary"/>
    <w:basedOn w:val="Normal"/>
    <w:pPr>
      <w:spacing w:before="100" w:beforeAutospacing="1" w:after="100" w:afterAutospacing="1"/>
    </w:pPr>
    <w:rPr>
      <w:color w:val="FFFFFF"/>
    </w:rPr>
  </w:style>
  <w:style w:type="paragraph" w:customStyle="1" w:styleId="bg-success">
    <w:name w:val="bg-success"/>
    <w:basedOn w:val="Normal"/>
    <w:pPr>
      <w:spacing w:before="100" w:beforeAutospacing="1" w:after="100" w:afterAutospacing="1"/>
    </w:pPr>
    <w:rPr>
      <w:color w:val="FFFFFF"/>
    </w:rPr>
  </w:style>
  <w:style w:type="paragraph" w:customStyle="1" w:styleId="bg-info">
    <w:name w:val="bg-info"/>
    <w:basedOn w:val="Normal"/>
    <w:pPr>
      <w:spacing w:before="100" w:beforeAutospacing="1" w:after="100" w:afterAutospacing="1"/>
    </w:pPr>
    <w:rPr>
      <w:color w:val="FFFFFF"/>
    </w:rPr>
  </w:style>
  <w:style w:type="paragraph" w:customStyle="1" w:styleId="bg-warning">
    <w:name w:val="bg-warning"/>
    <w:basedOn w:val="Normal"/>
    <w:pPr>
      <w:spacing w:before="100" w:beforeAutospacing="1" w:after="100" w:afterAutospacing="1"/>
    </w:pPr>
    <w:rPr>
      <w:color w:val="FFFFFF"/>
    </w:rPr>
  </w:style>
  <w:style w:type="paragraph" w:customStyle="1" w:styleId="bg-danger">
    <w:name w:val="bg-danger"/>
    <w:basedOn w:val="Normal"/>
    <w:pPr>
      <w:spacing w:before="100" w:beforeAutospacing="1" w:after="100" w:afterAutospacing="1"/>
    </w:pPr>
    <w:rPr>
      <w:color w:val="FFFFFF"/>
    </w:rPr>
  </w:style>
  <w:style w:type="paragraph" w:customStyle="1" w:styleId="bg-light">
    <w:name w:val="bg-light"/>
    <w:basedOn w:val="Normal"/>
    <w:pPr>
      <w:spacing w:before="100" w:beforeAutospacing="1" w:after="100" w:afterAutospacing="1"/>
    </w:pPr>
    <w:rPr>
      <w:color w:val="000000"/>
    </w:rPr>
  </w:style>
  <w:style w:type="paragraph" w:customStyle="1" w:styleId="bg-dark">
    <w:name w:val="bg-dark"/>
    <w:basedOn w:val="Normal"/>
    <w:pPr>
      <w:spacing w:before="100" w:beforeAutospacing="1" w:after="100" w:afterAutospacing="1"/>
    </w:pPr>
    <w:rPr>
      <w:color w:val="FFFFFF"/>
    </w:rPr>
  </w:style>
  <w:style w:type="paragraph" w:customStyle="1" w:styleId="bg-gradient-blue-indigo">
    <w:name w:val="bg-gradient-blue-indigo"/>
    <w:basedOn w:val="Normal"/>
    <w:pPr>
      <w:spacing w:before="100" w:beforeAutospacing="1" w:after="100" w:afterAutospacing="1"/>
    </w:pPr>
    <w:rPr>
      <w:color w:val="FFFFFF"/>
    </w:rPr>
  </w:style>
  <w:style w:type="paragraph" w:customStyle="1" w:styleId="bg-gradient-blue-purple">
    <w:name w:val="bg-gradient-blue-purple"/>
    <w:basedOn w:val="Normal"/>
    <w:pPr>
      <w:spacing w:before="100" w:beforeAutospacing="1" w:after="100" w:afterAutospacing="1"/>
    </w:pPr>
    <w:rPr>
      <w:color w:val="FFFFFF"/>
    </w:rPr>
  </w:style>
  <w:style w:type="paragraph" w:customStyle="1" w:styleId="bg-gradient-blue-pink">
    <w:name w:val="bg-gradient-blue-pink"/>
    <w:basedOn w:val="Normal"/>
    <w:pPr>
      <w:spacing w:before="100" w:beforeAutospacing="1" w:after="100" w:afterAutospacing="1"/>
    </w:pPr>
    <w:rPr>
      <w:color w:val="FFFFFF"/>
    </w:rPr>
  </w:style>
  <w:style w:type="paragraph" w:customStyle="1" w:styleId="bg-gradient-blue-red">
    <w:name w:val="bg-gradient-blue-red"/>
    <w:basedOn w:val="Normal"/>
    <w:pPr>
      <w:spacing w:before="100" w:beforeAutospacing="1" w:after="100" w:afterAutospacing="1"/>
    </w:pPr>
    <w:rPr>
      <w:color w:val="FFFFFF"/>
    </w:rPr>
  </w:style>
  <w:style w:type="paragraph" w:customStyle="1" w:styleId="bg-gradient-blue-orange">
    <w:name w:val="bg-gradient-blue-orange"/>
    <w:basedOn w:val="Normal"/>
    <w:pPr>
      <w:spacing w:before="100" w:beforeAutospacing="1" w:after="100" w:afterAutospacing="1"/>
    </w:pPr>
    <w:rPr>
      <w:color w:val="FFFFFF"/>
    </w:rPr>
  </w:style>
  <w:style w:type="paragraph" w:customStyle="1" w:styleId="bg-gradient-blue-yellow">
    <w:name w:val="bg-gradient-blue-yellow"/>
    <w:basedOn w:val="Normal"/>
    <w:pPr>
      <w:spacing w:before="100" w:beforeAutospacing="1" w:after="100" w:afterAutospacing="1"/>
    </w:pPr>
    <w:rPr>
      <w:color w:val="FFFFFF"/>
    </w:rPr>
  </w:style>
  <w:style w:type="paragraph" w:customStyle="1" w:styleId="bg-gradient-blue-green">
    <w:name w:val="bg-gradient-blue-green"/>
    <w:basedOn w:val="Normal"/>
    <w:pPr>
      <w:spacing w:before="100" w:beforeAutospacing="1" w:after="100" w:afterAutospacing="1"/>
    </w:pPr>
    <w:rPr>
      <w:color w:val="FFFFFF"/>
    </w:rPr>
  </w:style>
  <w:style w:type="paragraph" w:customStyle="1" w:styleId="bg-gradient-blue-teal">
    <w:name w:val="bg-gradient-blue-teal"/>
    <w:basedOn w:val="Normal"/>
    <w:pPr>
      <w:spacing w:before="100" w:beforeAutospacing="1" w:after="100" w:afterAutospacing="1"/>
    </w:pPr>
    <w:rPr>
      <w:color w:val="FFFFFF"/>
    </w:rPr>
  </w:style>
  <w:style w:type="paragraph" w:customStyle="1" w:styleId="bg-gradient-blue-cyan">
    <w:name w:val="bg-gradient-blue-cyan"/>
    <w:basedOn w:val="Normal"/>
    <w:pPr>
      <w:spacing w:before="100" w:beforeAutospacing="1" w:after="100" w:afterAutospacing="1"/>
    </w:pPr>
    <w:rPr>
      <w:color w:val="FFFFFF"/>
    </w:rPr>
  </w:style>
  <w:style w:type="paragraph" w:customStyle="1" w:styleId="bg-gradient-indigo-blue">
    <w:name w:val="bg-gradient-indigo-blue"/>
    <w:basedOn w:val="Normal"/>
    <w:pPr>
      <w:spacing w:before="100" w:beforeAutospacing="1" w:after="100" w:afterAutospacing="1"/>
    </w:pPr>
    <w:rPr>
      <w:color w:val="FFFFFF"/>
    </w:rPr>
  </w:style>
  <w:style w:type="paragraph" w:customStyle="1" w:styleId="bg-gradient-indigo-purple">
    <w:name w:val="bg-gradient-indigo-purple"/>
    <w:basedOn w:val="Normal"/>
    <w:pPr>
      <w:spacing w:before="100" w:beforeAutospacing="1" w:after="100" w:afterAutospacing="1"/>
    </w:pPr>
    <w:rPr>
      <w:color w:val="FFFFFF"/>
    </w:rPr>
  </w:style>
  <w:style w:type="paragraph" w:customStyle="1" w:styleId="bg-gradient-indigo-pink">
    <w:name w:val="bg-gradient-indigo-pink"/>
    <w:basedOn w:val="Normal"/>
    <w:pPr>
      <w:spacing w:before="100" w:beforeAutospacing="1" w:after="100" w:afterAutospacing="1"/>
    </w:pPr>
    <w:rPr>
      <w:color w:val="FFFFFF"/>
    </w:rPr>
  </w:style>
  <w:style w:type="paragraph" w:customStyle="1" w:styleId="bg-gradient-indigo-red">
    <w:name w:val="bg-gradient-indigo-red"/>
    <w:basedOn w:val="Normal"/>
    <w:pPr>
      <w:spacing w:before="100" w:beforeAutospacing="1" w:after="100" w:afterAutospacing="1"/>
    </w:pPr>
    <w:rPr>
      <w:color w:val="FFFFFF"/>
    </w:rPr>
  </w:style>
  <w:style w:type="paragraph" w:customStyle="1" w:styleId="bg-gradient-indigo-orange">
    <w:name w:val="bg-gradient-indigo-orange"/>
    <w:basedOn w:val="Normal"/>
    <w:pPr>
      <w:spacing w:before="100" w:beforeAutospacing="1" w:after="100" w:afterAutospacing="1"/>
    </w:pPr>
    <w:rPr>
      <w:color w:val="FFFFFF"/>
    </w:rPr>
  </w:style>
  <w:style w:type="paragraph" w:customStyle="1" w:styleId="bg-gradient-indigo-yellow">
    <w:name w:val="bg-gradient-indigo-yellow"/>
    <w:basedOn w:val="Normal"/>
    <w:pPr>
      <w:spacing w:before="100" w:beforeAutospacing="1" w:after="100" w:afterAutospacing="1"/>
    </w:pPr>
    <w:rPr>
      <w:color w:val="FFFFFF"/>
    </w:rPr>
  </w:style>
  <w:style w:type="paragraph" w:customStyle="1" w:styleId="bg-gradient-indigo-green">
    <w:name w:val="bg-gradient-indigo-green"/>
    <w:basedOn w:val="Normal"/>
    <w:pPr>
      <w:spacing w:before="100" w:beforeAutospacing="1" w:after="100" w:afterAutospacing="1"/>
    </w:pPr>
    <w:rPr>
      <w:color w:val="FFFFFF"/>
    </w:rPr>
  </w:style>
  <w:style w:type="paragraph" w:customStyle="1" w:styleId="bg-gradient-indigo-teal">
    <w:name w:val="bg-gradient-indigo-teal"/>
    <w:basedOn w:val="Normal"/>
    <w:pPr>
      <w:spacing w:before="100" w:beforeAutospacing="1" w:after="100" w:afterAutospacing="1"/>
    </w:pPr>
    <w:rPr>
      <w:color w:val="FFFFFF"/>
    </w:rPr>
  </w:style>
  <w:style w:type="paragraph" w:customStyle="1" w:styleId="bg-gradient-indigo-cyan">
    <w:name w:val="bg-gradient-indigo-cyan"/>
    <w:basedOn w:val="Normal"/>
    <w:pPr>
      <w:spacing w:before="100" w:beforeAutospacing="1" w:after="100" w:afterAutospacing="1"/>
    </w:pPr>
    <w:rPr>
      <w:color w:val="FFFFFF"/>
    </w:rPr>
  </w:style>
  <w:style w:type="paragraph" w:customStyle="1" w:styleId="bg-gradient-purple-blue">
    <w:name w:val="bg-gradient-purple-blue"/>
    <w:basedOn w:val="Normal"/>
    <w:pPr>
      <w:spacing w:before="100" w:beforeAutospacing="1" w:after="100" w:afterAutospacing="1"/>
    </w:pPr>
    <w:rPr>
      <w:color w:val="FFFFFF"/>
    </w:rPr>
  </w:style>
  <w:style w:type="paragraph" w:customStyle="1" w:styleId="bg-gradient-purple-indigo">
    <w:name w:val="bg-gradient-purple-indigo"/>
    <w:basedOn w:val="Normal"/>
    <w:pPr>
      <w:spacing w:before="100" w:beforeAutospacing="1" w:after="100" w:afterAutospacing="1"/>
    </w:pPr>
    <w:rPr>
      <w:color w:val="FFFFFF"/>
    </w:rPr>
  </w:style>
  <w:style w:type="paragraph" w:customStyle="1" w:styleId="bg-gradient-purple-pink">
    <w:name w:val="bg-gradient-purple-pink"/>
    <w:basedOn w:val="Normal"/>
    <w:pPr>
      <w:spacing w:before="100" w:beforeAutospacing="1" w:after="100" w:afterAutospacing="1"/>
    </w:pPr>
    <w:rPr>
      <w:color w:val="FFFFFF"/>
    </w:rPr>
  </w:style>
  <w:style w:type="paragraph" w:customStyle="1" w:styleId="bg-gradient-purple-red">
    <w:name w:val="bg-gradient-purple-red"/>
    <w:basedOn w:val="Normal"/>
    <w:pPr>
      <w:spacing w:before="100" w:beforeAutospacing="1" w:after="100" w:afterAutospacing="1"/>
    </w:pPr>
    <w:rPr>
      <w:color w:val="FFFFFF"/>
    </w:rPr>
  </w:style>
  <w:style w:type="paragraph" w:customStyle="1" w:styleId="bg-gradient-purple-orange">
    <w:name w:val="bg-gradient-purple-orange"/>
    <w:basedOn w:val="Normal"/>
    <w:pPr>
      <w:spacing w:before="100" w:beforeAutospacing="1" w:after="100" w:afterAutospacing="1"/>
    </w:pPr>
    <w:rPr>
      <w:color w:val="FFFFFF"/>
    </w:rPr>
  </w:style>
  <w:style w:type="paragraph" w:customStyle="1" w:styleId="bg-gradient-purple-yellow">
    <w:name w:val="bg-gradient-purple-yellow"/>
    <w:basedOn w:val="Normal"/>
    <w:pPr>
      <w:spacing w:before="100" w:beforeAutospacing="1" w:after="100" w:afterAutospacing="1"/>
    </w:pPr>
    <w:rPr>
      <w:color w:val="FFFFFF"/>
    </w:rPr>
  </w:style>
  <w:style w:type="paragraph" w:customStyle="1" w:styleId="bg-gradient-purple-green">
    <w:name w:val="bg-gradient-purple-green"/>
    <w:basedOn w:val="Normal"/>
    <w:pPr>
      <w:spacing w:before="100" w:beforeAutospacing="1" w:after="100" w:afterAutospacing="1"/>
    </w:pPr>
    <w:rPr>
      <w:color w:val="FFFFFF"/>
    </w:rPr>
  </w:style>
  <w:style w:type="paragraph" w:customStyle="1" w:styleId="bg-gradient-purple-teal">
    <w:name w:val="bg-gradient-purple-teal"/>
    <w:basedOn w:val="Normal"/>
    <w:pPr>
      <w:spacing w:before="100" w:beforeAutospacing="1" w:after="100" w:afterAutospacing="1"/>
    </w:pPr>
    <w:rPr>
      <w:color w:val="FFFFFF"/>
    </w:rPr>
  </w:style>
  <w:style w:type="paragraph" w:customStyle="1" w:styleId="bg-gradient-purple-cyan">
    <w:name w:val="bg-gradient-purple-cyan"/>
    <w:basedOn w:val="Normal"/>
    <w:pPr>
      <w:spacing w:before="100" w:beforeAutospacing="1" w:after="100" w:afterAutospacing="1"/>
    </w:pPr>
    <w:rPr>
      <w:color w:val="FFFFFF"/>
    </w:rPr>
  </w:style>
  <w:style w:type="paragraph" w:customStyle="1" w:styleId="bg-gradient-pink-blue">
    <w:name w:val="bg-gradient-pink-blue"/>
    <w:basedOn w:val="Normal"/>
    <w:pPr>
      <w:spacing w:before="100" w:beforeAutospacing="1" w:after="100" w:afterAutospacing="1"/>
    </w:pPr>
    <w:rPr>
      <w:color w:val="FFFFFF"/>
    </w:rPr>
  </w:style>
  <w:style w:type="paragraph" w:customStyle="1" w:styleId="bg-gradient-pink-indigo">
    <w:name w:val="bg-gradient-pink-indigo"/>
    <w:basedOn w:val="Normal"/>
    <w:pPr>
      <w:spacing w:before="100" w:beforeAutospacing="1" w:after="100" w:afterAutospacing="1"/>
    </w:pPr>
    <w:rPr>
      <w:color w:val="FFFFFF"/>
    </w:rPr>
  </w:style>
  <w:style w:type="paragraph" w:customStyle="1" w:styleId="bg-gradient-pink-purple">
    <w:name w:val="bg-gradient-pink-purple"/>
    <w:basedOn w:val="Normal"/>
    <w:pPr>
      <w:spacing w:before="100" w:beforeAutospacing="1" w:after="100" w:afterAutospacing="1"/>
    </w:pPr>
    <w:rPr>
      <w:color w:val="FFFFFF"/>
    </w:rPr>
  </w:style>
  <w:style w:type="paragraph" w:customStyle="1" w:styleId="bg-gradient-pink-red">
    <w:name w:val="bg-gradient-pink-red"/>
    <w:basedOn w:val="Normal"/>
    <w:pPr>
      <w:spacing w:before="100" w:beforeAutospacing="1" w:after="100" w:afterAutospacing="1"/>
    </w:pPr>
    <w:rPr>
      <w:color w:val="FFFFFF"/>
    </w:rPr>
  </w:style>
  <w:style w:type="paragraph" w:customStyle="1" w:styleId="bg-gradient-pink-orange">
    <w:name w:val="bg-gradient-pink-orange"/>
    <w:basedOn w:val="Normal"/>
    <w:pPr>
      <w:spacing w:before="100" w:beforeAutospacing="1" w:after="100" w:afterAutospacing="1"/>
    </w:pPr>
    <w:rPr>
      <w:color w:val="FFFFFF"/>
    </w:rPr>
  </w:style>
  <w:style w:type="paragraph" w:customStyle="1" w:styleId="bg-gradient-pink-yellow">
    <w:name w:val="bg-gradient-pink-yellow"/>
    <w:basedOn w:val="Normal"/>
    <w:pPr>
      <w:spacing w:before="100" w:beforeAutospacing="1" w:after="100" w:afterAutospacing="1"/>
    </w:pPr>
    <w:rPr>
      <w:color w:val="FFFFFF"/>
    </w:rPr>
  </w:style>
  <w:style w:type="paragraph" w:customStyle="1" w:styleId="bg-gradient-pink-green">
    <w:name w:val="bg-gradient-pink-green"/>
    <w:basedOn w:val="Normal"/>
    <w:pPr>
      <w:spacing w:before="100" w:beforeAutospacing="1" w:after="100" w:afterAutospacing="1"/>
    </w:pPr>
    <w:rPr>
      <w:color w:val="FFFFFF"/>
    </w:rPr>
  </w:style>
  <w:style w:type="paragraph" w:customStyle="1" w:styleId="bg-gradient-pink-teal">
    <w:name w:val="bg-gradient-pink-teal"/>
    <w:basedOn w:val="Normal"/>
    <w:pPr>
      <w:spacing w:before="100" w:beforeAutospacing="1" w:after="100" w:afterAutospacing="1"/>
    </w:pPr>
    <w:rPr>
      <w:color w:val="FFFFFF"/>
    </w:rPr>
  </w:style>
  <w:style w:type="paragraph" w:customStyle="1" w:styleId="bg-gradient-pink-cyan">
    <w:name w:val="bg-gradient-pink-cyan"/>
    <w:basedOn w:val="Normal"/>
    <w:pPr>
      <w:spacing w:before="100" w:beforeAutospacing="1" w:after="100" w:afterAutospacing="1"/>
    </w:pPr>
    <w:rPr>
      <w:color w:val="FFFFFF"/>
    </w:rPr>
  </w:style>
  <w:style w:type="paragraph" w:customStyle="1" w:styleId="bg-gradient-red-blue">
    <w:name w:val="bg-gradient-red-blue"/>
    <w:basedOn w:val="Normal"/>
    <w:pPr>
      <w:spacing w:before="100" w:beforeAutospacing="1" w:after="100" w:afterAutospacing="1"/>
    </w:pPr>
    <w:rPr>
      <w:color w:val="FFFFFF"/>
    </w:rPr>
  </w:style>
  <w:style w:type="paragraph" w:customStyle="1" w:styleId="bg-gradient-red-indigo">
    <w:name w:val="bg-gradient-red-indigo"/>
    <w:basedOn w:val="Normal"/>
    <w:pPr>
      <w:spacing w:before="100" w:beforeAutospacing="1" w:after="100" w:afterAutospacing="1"/>
    </w:pPr>
    <w:rPr>
      <w:color w:val="FFFFFF"/>
    </w:rPr>
  </w:style>
  <w:style w:type="paragraph" w:customStyle="1" w:styleId="bg-gradient-red-purple">
    <w:name w:val="bg-gradient-red-purple"/>
    <w:basedOn w:val="Normal"/>
    <w:pPr>
      <w:spacing w:before="100" w:beforeAutospacing="1" w:after="100" w:afterAutospacing="1"/>
    </w:pPr>
    <w:rPr>
      <w:color w:val="FFFFFF"/>
    </w:rPr>
  </w:style>
  <w:style w:type="paragraph" w:customStyle="1" w:styleId="bg-gradient-red-pink">
    <w:name w:val="bg-gradient-red-pink"/>
    <w:basedOn w:val="Normal"/>
    <w:pPr>
      <w:spacing w:before="100" w:beforeAutospacing="1" w:after="100" w:afterAutospacing="1"/>
    </w:pPr>
    <w:rPr>
      <w:color w:val="FFFFFF"/>
    </w:rPr>
  </w:style>
  <w:style w:type="paragraph" w:customStyle="1" w:styleId="bg-gradient-red-orange">
    <w:name w:val="bg-gradient-red-orange"/>
    <w:basedOn w:val="Normal"/>
    <w:pPr>
      <w:spacing w:before="100" w:beforeAutospacing="1" w:after="100" w:afterAutospacing="1"/>
    </w:pPr>
    <w:rPr>
      <w:color w:val="FFFFFF"/>
    </w:rPr>
  </w:style>
  <w:style w:type="paragraph" w:customStyle="1" w:styleId="bg-gradient-red-yellow">
    <w:name w:val="bg-gradient-red-yellow"/>
    <w:basedOn w:val="Normal"/>
    <w:pPr>
      <w:spacing w:before="100" w:beforeAutospacing="1" w:after="100" w:afterAutospacing="1"/>
    </w:pPr>
    <w:rPr>
      <w:color w:val="FFFFFF"/>
    </w:rPr>
  </w:style>
  <w:style w:type="paragraph" w:customStyle="1" w:styleId="bg-gradient-red-green">
    <w:name w:val="bg-gradient-red-green"/>
    <w:basedOn w:val="Normal"/>
    <w:pPr>
      <w:spacing w:before="100" w:beforeAutospacing="1" w:after="100" w:afterAutospacing="1"/>
    </w:pPr>
    <w:rPr>
      <w:color w:val="FFFFFF"/>
    </w:rPr>
  </w:style>
  <w:style w:type="paragraph" w:customStyle="1" w:styleId="bg-gradient-red-teal">
    <w:name w:val="bg-gradient-red-teal"/>
    <w:basedOn w:val="Normal"/>
    <w:pPr>
      <w:spacing w:before="100" w:beforeAutospacing="1" w:after="100" w:afterAutospacing="1"/>
    </w:pPr>
    <w:rPr>
      <w:color w:val="FFFFFF"/>
    </w:rPr>
  </w:style>
  <w:style w:type="paragraph" w:customStyle="1" w:styleId="bg-gradient-red-cyan">
    <w:name w:val="bg-gradient-red-cyan"/>
    <w:basedOn w:val="Normal"/>
    <w:pPr>
      <w:spacing w:before="100" w:beforeAutospacing="1" w:after="100" w:afterAutospacing="1"/>
    </w:pPr>
    <w:rPr>
      <w:color w:val="FFFFFF"/>
    </w:rPr>
  </w:style>
  <w:style w:type="paragraph" w:customStyle="1" w:styleId="bg-gradient-orange-blue">
    <w:name w:val="bg-gradient-orange-blue"/>
    <w:basedOn w:val="Normal"/>
    <w:pPr>
      <w:spacing w:before="100" w:beforeAutospacing="1" w:after="100" w:afterAutospacing="1"/>
    </w:pPr>
    <w:rPr>
      <w:color w:val="FFFFFF"/>
    </w:rPr>
  </w:style>
  <w:style w:type="paragraph" w:customStyle="1" w:styleId="bg-gradient-orange-indigo">
    <w:name w:val="bg-gradient-orange-indigo"/>
    <w:basedOn w:val="Normal"/>
    <w:pPr>
      <w:spacing w:before="100" w:beforeAutospacing="1" w:after="100" w:afterAutospacing="1"/>
    </w:pPr>
    <w:rPr>
      <w:color w:val="FFFFFF"/>
    </w:rPr>
  </w:style>
  <w:style w:type="paragraph" w:customStyle="1" w:styleId="bg-gradient-orange-purple">
    <w:name w:val="bg-gradient-orange-purple"/>
    <w:basedOn w:val="Normal"/>
    <w:pPr>
      <w:spacing w:before="100" w:beforeAutospacing="1" w:after="100" w:afterAutospacing="1"/>
    </w:pPr>
    <w:rPr>
      <w:color w:val="FFFFFF"/>
    </w:rPr>
  </w:style>
  <w:style w:type="paragraph" w:customStyle="1" w:styleId="bg-gradient-orange-pink">
    <w:name w:val="bg-gradient-orange-pink"/>
    <w:basedOn w:val="Normal"/>
    <w:pPr>
      <w:spacing w:before="100" w:beforeAutospacing="1" w:after="100" w:afterAutospacing="1"/>
    </w:pPr>
    <w:rPr>
      <w:color w:val="FFFFFF"/>
    </w:rPr>
  </w:style>
  <w:style w:type="paragraph" w:customStyle="1" w:styleId="bg-gradient-orange-red">
    <w:name w:val="bg-gradient-orange-red"/>
    <w:basedOn w:val="Normal"/>
    <w:pPr>
      <w:spacing w:before="100" w:beforeAutospacing="1" w:after="100" w:afterAutospacing="1"/>
    </w:pPr>
    <w:rPr>
      <w:color w:val="FFFFFF"/>
    </w:rPr>
  </w:style>
  <w:style w:type="paragraph" w:customStyle="1" w:styleId="bg-gradient-orange-yellow">
    <w:name w:val="bg-gradient-orange-yellow"/>
    <w:basedOn w:val="Normal"/>
    <w:pPr>
      <w:spacing w:before="100" w:beforeAutospacing="1" w:after="100" w:afterAutospacing="1"/>
    </w:pPr>
    <w:rPr>
      <w:color w:val="000000"/>
    </w:rPr>
  </w:style>
  <w:style w:type="paragraph" w:customStyle="1" w:styleId="bg-gradient-orange-green">
    <w:name w:val="bg-gradient-orange-green"/>
    <w:basedOn w:val="Normal"/>
    <w:pPr>
      <w:spacing w:before="100" w:beforeAutospacing="1" w:after="100" w:afterAutospacing="1"/>
    </w:pPr>
    <w:rPr>
      <w:color w:val="000000"/>
    </w:rPr>
  </w:style>
  <w:style w:type="paragraph" w:customStyle="1" w:styleId="bg-gradient-orange-teal">
    <w:name w:val="bg-gradient-orange-teal"/>
    <w:basedOn w:val="Normal"/>
    <w:pPr>
      <w:spacing w:before="100" w:beforeAutospacing="1" w:after="100" w:afterAutospacing="1"/>
    </w:pPr>
    <w:rPr>
      <w:color w:val="000000"/>
    </w:rPr>
  </w:style>
  <w:style w:type="paragraph" w:customStyle="1" w:styleId="bg-gradient-orange-cyan">
    <w:name w:val="bg-gradient-orange-cyan"/>
    <w:basedOn w:val="Normal"/>
    <w:pPr>
      <w:spacing w:before="100" w:beforeAutospacing="1" w:after="100" w:afterAutospacing="1"/>
    </w:pPr>
    <w:rPr>
      <w:color w:val="FFFFFF"/>
    </w:rPr>
  </w:style>
  <w:style w:type="paragraph" w:customStyle="1" w:styleId="bg-gradient-yellow-blue">
    <w:name w:val="bg-gradient-yellow-blue"/>
    <w:basedOn w:val="Normal"/>
    <w:pPr>
      <w:spacing w:before="100" w:beforeAutospacing="1" w:after="100" w:afterAutospacing="1"/>
    </w:pPr>
    <w:rPr>
      <w:color w:val="FFFFFF"/>
    </w:rPr>
  </w:style>
  <w:style w:type="paragraph" w:customStyle="1" w:styleId="bg-gradient-yellow-indigo">
    <w:name w:val="bg-gradient-yellow-indigo"/>
    <w:basedOn w:val="Normal"/>
    <w:pPr>
      <w:spacing w:before="100" w:beforeAutospacing="1" w:after="100" w:afterAutospacing="1"/>
    </w:pPr>
    <w:rPr>
      <w:color w:val="FFFFFF"/>
    </w:rPr>
  </w:style>
  <w:style w:type="paragraph" w:customStyle="1" w:styleId="bg-gradient-yellow-purple">
    <w:name w:val="bg-gradient-yellow-purple"/>
    <w:basedOn w:val="Normal"/>
    <w:pPr>
      <w:spacing w:before="100" w:beforeAutospacing="1" w:after="100" w:afterAutospacing="1"/>
    </w:pPr>
    <w:rPr>
      <w:color w:val="FFFFFF"/>
    </w:rPr>
  </w:style>
  <w:style w:type="paragraph" w:customStyle="1" w:styleId="bg-gradient-yellow-pink">
    <w:name w:val="bg-gradient-yellow-pink"/>
    <w:basedOn w:val="Normal"/>
    <w:pPr>
      <w:spacing w:before="100" w:beforeAutospacing="1" w:after="100" w:afterAutospacing="1"/>
    </w:pPr>
    <w:rPr>
      <w:color w:val="FFFFFF"/>
    </w:rPr>
  </w:style>
  <w:style w:type="paragraph" w:customStyle="1" w:styleId="bg-gradient-yellow-red">
    <w:name w:val="bg-gradient-yellow-red"/>
    <w:basedOn w:val="Normal"/>
    <w:pPr>
      <w:spacing w:before="100" w:beforeAutospacing="1" w:after="100" w:afterAutospacing="1"/>
    </w:pPr>
    <w:rPr>
      <w:color w:val="FFFFFF"/>
    </w:rPr>
  </w:style>
  <w:style w:type="paragraph" w:customStyle="1" w:styleId="bg-gradient-yellow-orange">
    <w:name w:val="bg-gradient-yellow-orange"/>
    <w:basedOn w:val="Normal"/>
    <w:pPr>
      <w:spacing w:before="100" w:beforeAutospacing="1" w:after="100" w:afterAutospacing="1"/>
    </w:pPr>
    <w:rPr>
      <w:color w:val="000000"/>
    </w:rPr>
  </w:style>
  <w:style w:type="paragraph" w:customStyle="1" w:styleId="bg-gradient-yellow-green">
    <w:name w:val="bg-gradient-yellow-green"/>
    <w:basedOn w:val="Normal"/>
    <w:pPr>
      <w:spacing w:before="100" w:beforeAutospacing="1" w:after="100" w:afterAutospacing="1"/>
    </w:pPr>
    <w:rPr>
      <w:color w:val="FFFFFF"/>
    </w:rPr>
  </w:style>
  <w:style w:type="paragraph" w:customStyle="1" w:styleId="bg-gradient-yellow-teal">
    <w:name w:val="bg-gradient-yellow-teal"/>
    <w:basedOn w:val="Normal"/>
    <w:pPr>
      <w:spacing w:before="100" w:beforeAutospacing="1" w:after="100" w:afterAutospacing="1"/>
    </w:pPr>
    <w:rPr>
      <w:color w:val="FFFFFF"/>
    </w:rPr>
  </w:style>
  <w:style w:type="paragraph" w:customStyle="1" w:styleId="bg-gradient-yellow-cyan">
    <w:name w:val="bg-gradient-yellow-cyan"/>
    <w:basedOn w:val="Normal"/>
    <w:pPr>
      <w:spacing w:before="100" w:beforeAutospacing="1" w:after="100" w:afterAutospacing="1"/>
    </w:pPr>
    <w:rPr>
      <w:color w:val="FFFFFF"/>
    </w:rPr>
  </w:style>
  <w:style w:type="paragraph" w:customStyle="1" w:styleId="bg-gradient-green-blue">
    <w:name w:val="bg-gradient-green-blue"/>
    <w:basedOn w:val="Normal"/>
    <w:pPr>
      <w:spacing w:before="100" w:beforeAutospacing="1" w:after="100" w:afterAutospacing="1"/>
    </w:pPr>
    <w:rPr>
      <w:color w:val="FFFFFF"/>
    </w:rPr>
  </w:style>
  <w:style w:type="paragraph" w:customStyle="1" w:styleId="bg-gradient-green-indigo">
    <w:name w:val="bg-gradient-green-indigo"/>
    <w:basedOn w:val="Normal"/>
    <w:pPr>
      <w:spacing w:before="100" w:beforeAutospacing="1" w:after="100" w:afterAutospacing="1"/>
    </w:pPr>
    <w:rPr>
      <w:color w:val="FFFFFF"/>
    </w:rPr>
  </w:style>
  <w:style w:type="paragraph" w:customStyle="1" w:styleId="bg-gradient-green-purple">
    <w:name w:val="bg-gradient-green-purple"/>
    <w:basedOn w:val="Normal"/>
    <w:pPr>
      <w:spacing w:before="100" w:beforeAutospacing="1" w:after="100" w:afterAutospacing="1"/>
    </w:pPr>
    <w:rPr>
      <w:color w:val="FFFFFF"/>
    </w:rPr>
  </w:style>
  <w:style w:type="paragraph" w:customStyle="1" w:styleId="bg-gradient-green-pink">
    <w:name w:val="bg-gradient-green-pink"/>
    <w:basedOn w:val="Normal"/>
    <w:pPr>
      <w:spacing w:before="100" w:beforeAutospacing="1" w:after="100" w:afterAutospacing="1"/>
    </w:pPr>
    <w:rPr>
      <w:color w:val="FFFFFF"/>
    </w:rPr>
  </w:style>
  <w:style w:type="paragraph" w:customStyle="1" w:styleId="bg-gradient-green-red">
    <w:name w:val="bg-gradient-green-red"/>
    <w:basedOn w:val="Normal"/>
    <w:pPr>
      <w:spacing w:before="100" w:beforeAutospacing="1" w:after="100" w:afterAutospacing="1"/>
    </w:pPr>
    <w:rPr>
      <w:color w:val="FFFFFF"/>
    </w:rPr>
  </w:style>
  <w:style w:type="paragraph" w:customStyle="1" w:styleId="bg-gradient-green-orange">
    <w:name w:val="bg-gradient-green-orange"/>
    <w:basedOn w:val="Normal"/>
    <w:pPr>
      <w:spacing w:before="100" w:beforeAutospacing="1" w:after="100" w:afterAutospacing="1"/>
    </w:pPr>
    <w:rPr>
      <w:color w:val="000000"/>
    </w:rPr>
  </w:style>
  <w:style w:type="paragraph" w:customStyle="1" w:styleId="bg-gradient-green-yellow">
    <w:name w:val="bg-gradient-green-yellow"/>
    <w:basedOn w:val="Normal"/>
    <w:pPr>
      <w:spacing w:before="100" w:beforeAutospacing="1" w:after="100" w:afterAutospacing="1"/>
    </w:pPr>
    <w:rPr>
      <w:color w:val="FFFFFF"/>
    </w:rPr>
  </w:style>
  <w:style w:type="paragraph" w:customStyle="1" w:styleId="bg-gradient-green-teal">
    <w:name w:val="bg-gradient-green-teal"/>
    <w:basedOn w:val="Normal"/>
    <w:pPr>
      <w:spacing w:before="100" w:beforeAutospacing="1" w:after="100" w:afterAutospacing="1"/>
    </w:pPr>
    <w:rPr>
      <w:color w:val="000000"/>
    </w:rPr>
  </w:style>
  <w:style w:type="paragraph" w:customStyle="1" w:styleId="bg-gradient-green-cyan">
    <w:name w:val="bg-gradient-green-cyan"/>
    <w:basedOn w:val="Normal"/>
    <w:pPr>
      <w:spacing w:before="100" w:beforeAutospacing="1" w:after="100" w:afterAutospacing="1"/>
    </w:pPr>
    <w:rPr>
      <w:color w:val="FFFFFF"/>
    </w:rPr>
  </w:style>
  <w:style w:type="paragraph" w:customStyle="1" w:styleId="bg-gradient-teal-blue">
    <w:name w:val="bg-gradient-teal-blue"/>
    <w:basedOn w:val="Normal"/>
    <w:pPr>
      <w:spacing w:before="100" w:beforeAutospacing="1" w:after="100" w:afterAutospacing="1"/>
    </w:pPr>
    <w:rPr>
      <w:color w:val="FFFFFF"/>
    </w:rPr>
  </w:style>
  <w:style w:type="paragraph" w:customStyle="1" w:styleId="bg-gradient-teal-indigo">
    <w:name w:val="bg-gradient-teal-indigo"/>
    <w:basedOn w:val="Normal"/>
    <w:pPr>
      <w:spacing w:before="100" w:beforeAutospacing="1" w:after="100" w:afterAutospacing="1"/>
    </w:pPr>
    <w:rPr>
      <w:color w:val="FFFFFF"/>
    </w:rPr>
  </w:style>
  <w:style w:type="paragraph" w:customStyle="1" w:styleId="bg-gradient-teal-purple">
    <w:name w:val="bg-gradient-teal-purple"/>
    <w:basedOn w:val="Normal"/>
    <w:pPr>
      <w:spacing w:before="100" w:beforeAutospacing="1" w:after="100" w:afterAutospacing="1"/>
    </w:pPr>
    <w:rPr>
      <w:color w:val="FFFFFF"/>
    </w:rPr>
  </w:style>
  <w:style w:type="paragraph" w:customStyle="1" w:styleId="bg-gradient-teal-pink">
    <w:name w:val="bg-gradient-teal-pink"/>
    <w:basedOn w:val="Normal"/>
    <w:pPr>
      <w:spacing w:before="100" w:beforeAutospacing="1" w:after="100" w:afterAutospacing="1"/>
    </w:pPr>
    <w:rPr>
      <w:color w:val="FFFFFF"/>
    </w:rPr>
  </w:style>
  <w:style w:type="paragraph" w:customStyle="1" w:styleId="bg-gradient-teal-red">
    <w:name w:val="bg-gradient-teal-red"/>
    <w:basedOn w:val="Normal"/>
    <w:pPr>
      <w:spacing w:before="100" w:beforeAutospacing="1" w:after="100" w:afterAutospacing="1"/>
    </w:pPr>
    <w:rPr>
      <w:color w:val="FFFFFF"/>
    </w:rPr>
  </w:style>
  <w:style w:type="paragraph" w:customStyle="1" w:styleId="bg-gradient-teal-orange">
    <w:name w:val="bg-gradient-teal-orange"/>
    <w:basedOn w:val="Normal"/>
    <w:pPr>
      <w:spacing w:before="100" w:beforeAutospacing="1" w:after="100" w:afterAutospacing="1"/>
    </w:pPr>
    <w:rPr>
      <w:color w:val="000000"/>
    </w:rPr>
  </w:style>
  <w:style w:type="paragraph" w:customStyle="1" w:styleId="bg-gradient-teal-yellow">
    <w:name w:val="bg-gradient-teal-yellow"/>
    <w:basedOn w:val="Normal"/>
    <w:pPr>
      <w:spacing w:before="100" w:beforeAutospacing="1" w:after="100" w:afterAutospacing="1"/>
    </w:pPr>
    <w:rPr>
      <w:color w:val="FFFFFF"/>
    </w:rPr>
  </w:style>
  <w:style w:type="paragraph" w:customStyle="1" w:styleId="bg-gradient-teal-green">
    <w:name w:val="bg-gradient-teal-green"/>
    <w:basedOn w:val="Normal"/>
    <w:pPr>
      <w:spacing w:before="100" w:beforeAutospacing="1" w:after="100" w:afterAutospacing="1"/>
    </w:pPr>
    <w:rPr>
      <w:color w:val="000000"/>
    </w:rPr>
  </w:style>
  <w:style w:type="paragraph" w:customStyle="1" w:styleId="bg-gradient-teal-cyan">
    <w:name w:val="bg-gradient-teal-cyan"/>
    <w:basedOn w:val="Normal"/>
    <w:pPr>
      <w:spacing w:before="100" w:beforeAutospacing="1" w:after="100" w:afterAutospacing="1"/>
    </w:pPr>
    <w:rPr>
      <w:color w:val="FFFFFF"/>
    </w:rPr>
  </w:style>
  <w:style w:type="paragraph" w:customStyle="1" w:styleId="bg-gradient-cyan-blue">
    <w:name w:val="bg-gradient-cyan-blue"/>
    <w:basedOn w:val="Normal"/>
    <w:pPr>
      <w:spacing w:before="100" w:beforeAutospacing="1" w:after="100" w:afterAutospacing="1"/>
    </w:pPr>
    <w:rPr>
      <w:color w:val="FFFFFF"/>
    </w:rPr>
  </w:style>
  <w:style w:type="paragraph" w:customStyle="1" w:styleId="bg-gradient-cyan-indigo">
    <w:name w:val="bg-gradient-cyan-indigo"/>
    <w:basedOn w:val="Normal"/>
    <w:pPr>
      <w:spacing w:before="100" w:beforeAutospacing="1" w:after="100" w:afterAutospacing="1"/>
    </w:pPr>
    <w:rPr>
      <w:color w:val="FFFFFF"/>
    </w:rPr>
  </w:style>
  <w:style w:type="paragraph" w:customStyle="1" w:styleId="bg-gradient-cyan-purple">
    <w:name w:val="bg-gradient-cyan-purple"/>
    <w:basedOn w:val="Normal"/>
    <w:pPr>
      <w:spacing w:before="100" w:beforeAutospacing="1" w:after="100" w:afterAutospacing="1"/>
    </w:pPr>
    <w:rPr>
      <w:color w:val="FFFFFF"/>
    </w:rPr>
  </w:style>
  <w:style w:type="paragraph" w:customStyle="1" w:styleId="bg-gradient-cyan-pink">
    <w:name w:val="bg-gradient-cyan-pink"/>
    <w:basedOn w:val="Normal"/>
    <w:pPr>
      <w:spacing w:before="100" w:beforeAutospacing="1" w:after="100" w:afterAutospacing="1"/>
    </w:pPr>
    <w:rPr>
      <w:color w:val="FFFFFF"/>
    </w:rPr>
  </w:style>
  <w:style w:type="paragraph" w:customStyle="1" w:styleId="bg-gradient-cyan-red">
    <w:name w:val="bg-gradient-cyan-red"/>
    <w:basedOn w:val="Normal"/>
    <w:pPr>
      <w:spacing w:before="100" w:beforeAutospacing="1" w:after="100" w:afterAutospacing="1"/>
    </w:pPr>
    <w:rPr>
      <w:color w:val="FFFFFF"/>
    </w:rPr>
  </w:style>
  <w:style w:type="paragraph" w:customStyle="1" w:styleId="bg-gradient-cyan-orange">
    <w:name w:val="bg-gradient-cyan-orange"/>
    <w:basedOn w:val="Normal"/>
    <w:pPr>
      <w:spacing w:before="100" w:beforeAutospacing="1" w:after="100" w:afterAutospacing="1"/>
    </w:pPr>
    <w:rPr>
      <w:color w:val="FFFFFF"/>
    </w:rPr>
  </w:style>
  <w:style w:type="paragraph" w:customStyle="1" w:styleId="bg-gradient-cyan-yellow">
    <w:name w:val="bg-gradient-cyan-yellow"/>
    <w:basedOn w:val="Normal"/>
    <w:pPr>
      <w:spacing w:before="100" w:beforeAutospacing="1" w:after="100" w:afterAutospacing="1"/>
    </w:pPr>
    <w:rPr>
      <w:color w:val="FFFFFF"/>
    </w:rPr>
  </w:style>
  <w:style w:type="paragraph" w:customStyle="1" w:styleId="bg-gradient-cyan-green">
    <w:name w:val="bg-gradient-cyan-green"/>
    <w:basedOn w:val="Normal"/>
    <w:pPr>
      <w:spacing w:before="100" w:beforeAutospacing="1" w:after="100" w:afterAutospacing="1"/>
    </w:pPr>
    <w:rPr>
      <w:color w:val="FFFFFF"/>
    </w:rPr>
  </w:style>
  <w:style w:type="paragraph" w:customStyle="1" w:styleId="bg-gradient-cyan-teal">
    <w:name w:val="bg-gradient-cyan-teal"/>
    <w:basedOn w:val="Normal"/>
    <w:pPr>
      <w:spacing w:before="100" w:beforeAutospacing="1" w:after="100" w:afterAutospacing="1"/>
    </w:pPr>
    <w:rPr>
      <w:color w:val="FFFFFF"/>
    </w:rPr>
  </w:style>
  <w:style w:type="paragraph" w:customStyle="1" w:styleId="bslib-full-screen-enter">
    <w:name w:val="bslib-full-screen-enter"/>
    <w:basedOn w:val="Normal"/>
    <w:pPr>
      <w:spacing w:before="100" w:beforeAutospacing="1" w:after="100" w:afterAutospacing="1"/>
    </w:pPr>
    <w:rPr>
      <w:vanish/>
    </w:rPr>
  </w:style>
  <w:style w:type="paragraph" w:customStyle="1" w:styleId="bslib-full-screen-exit">
    <w:name w:val="bslib-full-screen-exit"/>
    <w:basedOn w:val="Normal"/>
    <w:pPr>
      <w:spacing w:before="100" w:beforeAutospacing="1" w:after="100" w:afterAutospacing="1"/>
    </w:pPr>
  </w:style>
  <w:style w:type="paragraph" w:customStyle="1" w:styleId="bslib-page-fill">
    <w:name w:val="bslib-page-fill"/>
    <w:basedOn w:val="Normal"/>
  </w:style>
  <w:style w:type="paragraph" w:customStyle="1" w:styleId="bslib-page-title">
    <w:name w:val="bslib-page-title"/>
    <w:basedOn w:val="Normal"/>
    <w:pPr>
      <w:pBdr>
        <w:bottom w:val="single" w:sz="6" w:space="0" w:color="E1E1E1"/>
      </w:pBdr>
      <w:spacing w:before="100" w:beforeAutospacing="1"/>
    </w:pPr>
  </w:style>
  <w:style w:type="paragraph" w:customStyle="1" w:styleId="bslib-sidebar-layoutdata-bslib-sidebar-borderfalse">
    <w:name w:val="bslib-sidebar-layout[data-bslib-sidebar-border=false]"/>
    <w:basedOn w:val="Normal"/>
    <w:pPr>
      <w:spacing w:before="100" w:beforeAutospacing="1" w:after="100" w:afterAutospacing="1"/>
    </w:pPr>
  </w:style>
  <w:style w:type="paragraph" w:customStyle="1" w:styleId="tippy-boxdata-themequarto">
    <w:name w:val="tippy-box[data-theme~=quarto]"/>
    <w:basedOn w:val="Normal"/>
    <w:pPr>
      <w:pBdr>
        <w:top w:val="single" w:sz="6" w:space="0" w:color="E1E1E1"/>
        <w:left w:val="single" w:sz="6" w:space="0" w:color="E1E1E1"/>
        <w:bottom w:val="single" w:sz="6" w:space="0" w:color="E1E1E1"/>
        <w:right w:val="single" w:sz="6" w:space="0" w:color="E1E1E1"/>
      </w:pBdr>
      <w:shd w:val="clear" w:color="auto" w:fill="FFFFFF"/>
      <w:spacing w:before="100" w:beforeAutospacing="1" w:after="100" w:afterAutospacing="1"/>
    </w:pPr>
    <w:rPr>
      <w:color w:val="373A3C"/>
    </w:rPr>
  </w:style>
  <w:style w:type="paragraph" w:customStyle="1" w:styleId="visually-hidden">
    <w:name w:val="visually-hidden"/>
    <w:basedOn w:val="Normal"/>
  </w:style>
  <w:style w:type="paragraph" w:customStyle="1" w:styleId="quarto-layout-panel">
    <w:name w:val="quarto-layout-panel"/>
    <w:basedOn w:val="Normal"/>
    <w:pPr>
      <w:spacing w:before="100" w:beforeAutospacing="1" w:after="240"/>
    </w:pPr>
  </w:style>
  <w:style w:type="paragraph" w:customStyle="1" w:styleId="quarto-layout-panelfigure">
    <w:name w:val="quarto-layout-panel&gt;figure"/>
    <w:basedOn w:val="Normal"/>
    <w:pPr>
      <w:spacing w:before="100" w:beforeAutospacing="1" w:after="100" w:afterAutospacing="1"/>
    </w:pPr>
  </w:style>
  <w:style w:type="paragraph" w:customStyle="1" w:styleId="quarto-layout-cell">
    <w:name w:val="quarto-layout-cell"/>
    <w:basedOn w:val="Normal"/>
    <w:pPr>
      <w:spacing w:before="100" w:beforeAutospacing="1" w:after="100" w:afterAutospacing="1"/>
      <w:ind w:right="300"/>
    </w:pPr>
  </w:style>
  <w:style w:type="paragraph" w:customStyle="1" w:styleId="quarto-figure">
    <w:name w:val="quarto-figure"/>
    <w:basedOn w:val="Normal"/>
    <w:pPr>
      <w:spacing w:before="100" w:beforeAutospacing="1" w:after="240"/>
    </w:pPr>
  </w:style>
  <w:style w:type="paragraph" w:customStyle="1" w:styleId="quarto-figurefigure">
    <w:name w:val="quarto-figure&gt;figure"/>
    <w:basedOn w:val="Normal"/>
    <w:pPr>
      <w:spacing w:before="100" w:beforeAutospacing="1"/>
    </w:pPr>
  </w:style>
  <w:style w:type="paragraph" w:customStyle="1" w:styleId="quarto-figure-leftfigurep">
    <w:name w:val="quarto-figure-left&gt;figure&gt;p"/>
    <w:basedOn w:val="Normal"/>
    <w:pPr>
      <w:spacing w:before="100" w:beforeAutospacing="1" w:after="100" w:afterAutospacing="1"/>
    </w:pPr>
  </w:style>
  <w:style w:type="paragraph" w:customStyle="1" w:styleId="quarto-figure-leftfigurediv">
    <w:name w:val="quarto-figure-left&gt;figure&gt;div"/>
    <w:basedOn w:val="Normal"/>
    <w:pPr>
      <w:spacing w:before="100" w:beforeAutospacing="1" w:after="100" w:afterAutospacing="1"/>
    </w:pPr>
  </w:style>
  <w:style w:type="paragraph" w:customStyle="1" w:styleId="quarto-figure-centerfigurep">
    <w:name w:val="quarto-figure-center&gt;figure&gt;p"/>
    <w:basedOn w:val="Normal"/>
    <w:pPr>
      <w:spacing w:before="100" w:beforeAutospacing="1" w:after="100" w:afterAutospacing="1"/>
      <w:jc w:val="center"/>
    </w:pPr>
  </w:style>
  <w:style w:type="paragraph" w:customStyle="1" w:styleId="quarto-figure-centerfigurediv">
    <w:name w:val="quarto-figure-center&gt;figure&gt;div"/>
    <w:basedOn w:val="Normal"/>
    <w:pPr>
      <w:spacing w:before="100" w:beforeAutospacing="1" w:after="100" w:afterAutospacing="1"/>
      <w:jc w:val="center"/>
    </w:pPr>
  </w:style>
  <w:style w:type="paragraph" w:customStyle="1" w:styleId="quarto-figure-rightfigurep">
    <w:name w:val="quarto-figure-right&gt;figure&gt;p"/>
    <w:basedOn w:val="Normal"/>
    <w:pPr>
      <w:spacing w:before="100" w:beforeAutospacing="1" w:after="100" w:afterAutospacing="1"/>
      <w:jc w:val="right"/>
    </w:pPr>
  </w:style>
  <w:style w:type="paragraph" w:customStyle="1" w:styleId="quarto-figure-rightfigurediv">
    <w:name w:val="quarto-figure-right&gt;figure&gt;div"/>
    <w:basedOn w:val="Normal"/>
    <w:pPr>
      <w:spacing w:before="100" w:beforeAutospacing="1" w:after="100" w:afterAutospacing="1"/>
      <w:jc w:val="right"/>
    </w:pPr>
  </w:style>
  <w:style w:type="paragraph" w:customStyle="1" w:styleId="table-caption">
    <w:name w:val="table-caption"/>
    <w:basedOn w:val="Normal"/>
    <w:pPr>
      <w:spacing w:before="100" w:beforeAutospacing="1" w:after="100" w:afterAutospacing="1"/>
      <w:jc w:val="center"/>
    </w:pPr>
  </w:style>
  <w:style w:type="paragraph" w:customStyle="1" w:styleId="utterances">
    <w:name w:val="utterances"/>
    <w:basedOn w:val="Normal"/>
    <w:pPr>
      <w:spacing w:before="100" w:beforeAutospacing="1" w:after="100" w:afterAutospacing="1"/>
      <w:ind w:left="-120"/>
    </w:pPr>
  </w:style>
  <w:style w:type="paragraph" w:customStyle="1" w:styleId="footnote-back">
    <w:name w:val="footnote-back"/>
    <w:basedOn w:val="Normal"/>
    <w:pPr>
      <w:spacing w:before="100" w:beforeAutospacing="1" w:after="100" w:afterAutospacing="1"/>
      <w:ind w:left="48"/>
    </w:pPr>
  </w:style>
  <w:style w:type="paragraph" w:customStyle="1" w:styleId="quarto-embedded-source-code">
    <w:name w:val="quarto-embedded-source-code"/>
    <w:basedOn w:val="Normal"/>
    <w:pPr>
      <w:spacing w:before="100" w:beforeAutospacing="1" w:after="100" w:afterAutospacing="1"/>
    </w:pPr>
    <w:rPr>
      <w:vanish/>
    </w:rPr>
  </w:style>
  <w:style w:type="paragraph" w:customStyle="1" w:styleId="quarto-unresolved-ref">
    <w:name w:val="quarto-unresolved-ref"/>
    <w:basedOn w:val="Normal"/>
    <w:pPr>
      <w:spacing w:before="100" w:beforeAutospacing="1" w:after="100" w:afterAutospacing="1"/>
    </w:pPr>
    <w:rPr>
      <w:b/>
      <w:bCs/>
    </w:rPr>
  </w:style>
  <w:style w:type="paragraph" w:customStyle="1" w:styleId="quarto-cover-image">
    <w:name w:val="quarto-cover-image"/>
    <w:basedOn w:val="Normal"/>
    <w:pPr>
      <w:spacing w:before="100" w:beforeAutospacing="1" w:after="100" w:afterAutospacing="1"/>
      <w:ind w:left="450"/>
    </w:pPr>
  </w:style>
  <w:style w:type="paragraph" w:customStyle="1" w:styleId="panel-input">
    <w:name w:val="panel-input"/>
    <w:basedOn w:val="Normal"/>
    <w:pPr>
      <w:spacing w:before="100" w:beforeAutospacing="1" w:after="240"/>
    </w:pPr>
  </w:style>
  <w:style w:type="paragraph" w:customStyle="1" w:styleId="panel-inputdiv">
    <w:name w:val="panel-input&gt;div"/>
    <w:basedOn w:val="Normal"/>
    <w:pPr>
      <w:spacing w:before="100" w:beforeAutospacing="1" w:after="100" w:afterAutospacing="1"/>
      <w:textAlignment w:val="top"/>
    </w:pPr>
  </w:style>
  <w:style w:type="paragraph" w:customStyle="1" w:styleId="panel-inputdivdiv">
    <w:name w:val="panel-input&gt;div&gt;div"/>
    <w:basedOn w:val="Normal"/>
    <w:pPr>
      <w:spacing w:before="100" w:beforeAutospacing="1" w:after="100" w:afterAutospacing="1"/>
      <w:textAlignment w:val="top"/>
    </w:pPr>
  </w:style>
  <w:style w:type="paragraph" w:customStyle="1" w:styleId="layout-sidebar">
    <w:name w:val="layout-sidebar"/>
    <w:basedOn w:val="Normal"/>
    <w:pPr>
      <w:spacing w:before="100" w:beforeAutospacing="1" w:after="240"/>
    </w:pPr>
  </w:style>
  <w:style w:type="paragraph" w:customStyle="1" w:styleId="ansi-black-fg">
    <w:name w:val="ansi-black-fg"/>
    <w:basedOn w:val="Normal"/>
    <w:pPr>
      <w:spacing w:before="100" w:beforeAutospacing="1" w:after="100" w:afterAutospacing="1"/>
    </w:pPr>
    <w:rPr>
      <w:color w:val="3E424D"/>
    </w:rPr>
  </w:style>
  <w:style w:type="paragraph" w:customStyle="1" w:styleId="ansi-black-bg">
    <w:name w:val="ansi-black-bg"/>
    <w:basedOn w:val="Normal"/>
    <w:pPr>
      <w:shd w:val="clear" w:color="auto" w:fill="3E424D"/>
      <w:spacing w:before="100" w:beforeAutospacing="1" w:after="100" w:afterAutospacing="1"/>
    </w:pPr>
  </w:style>
  <w:style w:type="paragraph" w:customStyle="1" w:styleId="ansi-black-intense-black">
    <w:name w:val="ansi-black-intense-black"/>
    <w:basedOn w:val="Normal"/>
    <w:pPr>
      <w:shd w:val="clear" w:color="auto" w:fill="282C36"/>
      <w:spacing w:before="100" w:beforeAutospacing="1" w:after="100" w:afterAutospacing="1"/>
    </w:pPr>
    <w:rPr>
      <w:color w:val="282C36"/>
    </w:rPr>
  </w:style>
  <w:style w:type="paragraph" w:customStyle="1" w:styleId="ansi-bright-black-fg">
    <w:name w:val="ansi-bright-black-fg"/>
    <w:basedOn w:val="Normal"/>
    <w:pPr>
      <w:spacing w:before="100" w:beforeAutospacing="1" w:after="100" w:afterAutospacing="1"/>
    </w:pPr>
    <w:rPr>
      <w:color w:val="282C36"/>
    </w:rPr>
  </w:style>
  <w:style w:type="paragraph" w:customStyle="1" w:styleId="ansi-bright-black-bg">
    <w:name w:val="ansi-bright-black-bg"/>
    <w:basedOn w:val="Normal"/>
    <w:pPr>
      <w:shd w:val="clear" w:color="auto" w:fill="282C36"/>
      <w:spacing w:before="100" w:beforeAutospacing="1" w:after="100" w:afterAutospacing="1"/>
    </w:pPr>
  </w:style>
  <w:style w:type="paragraph" w:customStyle="1" w:styleId="ansi-red-fg">
    <w:name w:val="ansi-red-fg"/>
    <w:basedOn w:val="Normal"/>
    <w:pPr>
      <w:spacing w:before="100" w:beforeAutospacing="1" w:after="100" w:afterAutospacing="1"/>
    </w:pPr>
    <w:rPr>
      <w:color w:val="E75C58"/>
    </w:rPr>
  </w:style>
  <w:style w:type="paragraph" w:customStyle="1" w:styleId="ansi-red-bg">
    <w:name w:val="ansi-red-bg"/>
    <w:basedOn w:val="Normal"/>
    <w:pPr>
      <w:shd w:val="clear" w:color="auto" w:fill="E75C58"/>
      <w:spacing w:before="100" w:beforeAutospacing="1" w:after="100" w:afterAutospacing="1"/>
    </w:pPr>
  </w:style>
  <w:style w:type="paragraph" w:customStyle="1" w:styleId="ansi-red-intense-red">
    <w:name w:val="ansi-red-intense-red"/>
    <w:basedOn w:val="Normal"/>
    <w:pPr>
      <w:shd w:val="clear" w:color="auto" w:fill="B22B31"/>
      <w:spacing w:before="100" w:beforeAutospacing="1" w:after="100" w:afterAutospacing="1"/>
    </w:pPr>
    <w:rPr>
      <w:color w:val="B22B31"/>
    </w:rPr>
  </w:style>
  <w:style w:type="paragraph" w:customStyle="1" w:styleId="ansi-bright-red-fg">
    <w:name w:val="ansi-bright-red-fg"/>
    <w:basedOn w:val="Normal"/>
    <w:pPr>
      <w:spacing w:before="100" w:beforeAutospacing="1" w:after="100" w:afterAutospacing="1"/>
    </w:pPr>
    <w:rPr>
      <w:color w:val="B22B31"/>
    </w:rPr>
  </w:style>
  <w:style w:type="paragraph" w:customStyle="1" w:styleId="ansi-bright-red-bg">
    <w:name w:val="ansi-bright-red-bg"/>
    <w:basedOn w:val="Normal"/>
    <w:pPr>
      <w:shd w:val="clear" w:color="auto" w:fill="B22B31"/>
      <w:spacing w:before="100" w:beforeAutospacing="1" w:after="100" w:afterAutospacing="1"/>
    </w:pPr>
  </w:style>
  <w:style w:type="paragraph" w:customStyle="1" w:styleId="ansi-green-fg">
    <w:name w:val="ansi-green-fg"/>
    <w:basedOn w:val="Normal"/>
    <w:pPr>
      <w:spacing w:before="100" w:beforeAutospacing="1" w:after="100" w:afterAutospacing="1"/>
    </w:pPr>
    <w:rPr>
      <w:color w:val="00A250"/>
    </w:rPr>
  </w:style>
  <w:style w:type="paragraph" w:customStyle="1" w:styleId="ansi-green-bg">
    <w:name w:val="ansi-green-bg"/>
    <w:basedOn w:val="Normal"/>
    <w:pPr>
      <w:shd w:val="clear" w:color="auto" w:fill="00A250"/>
      <w:spacing w:before="100" w:beforeAutospacing="1" w:after="100" w:afterAutospacing="1"/>
    </w:pPr>
  </w:style>
  <w:style w:type="paragraph" w:customStyle="1" w:styleId="ansi-green-intense-green">
    <w:name w:val="ansi-green-intense-green"/>
    <w:basedOn w:val="Normal"/>
    <w:pPr>
      <w:shd w:val="clear" w:color="auto" w:fill="007427"/>
      <w:spacing w:before="100" w:beforeAutospacing="1" w:after="100" w:afterAutospacing="1"/>
    </w:pPr>
    <w:rPr>
      <w:color w:val="007427"/>
    </w:rPr>
  </w:style>
  <w:style w:type="paragraph" w:customStyle="1" w:styleId="ansi-bright-green-fg">
    <w:name w:val="ansi-bright-green-fg"/>
    <w:basedOn w:val="Normal"/>
    <w:pPr>
      <w:spacing w:before="100" w:beforeAutospacing="1" w:after="100" w:afterAutospacing="1"/>
    </w:pPr>
    <w:rPr>
      <w:color w:val="007427"/>
    </w:rPr>
  </w:style>
  <w:style w:type="paragraph" w:customStyle="1" w:styleId="ansi-bright-green-bg">
    <w:name w:val="ansi-bright-green-bg"/>
    <w:basedOn w:val="Normal"/>
    <w:pPr>
      <w:shd w:val="clear" w:color="auto" w:fill="007427"/>
      <w:spacing w:before="100" w:beforeAutospacing="1" w:after="100" w:afterAutospacing="1"/>
    </w:pPr>
  </w:style>
  <w:style w:type="paragraph" w:customStyle="1" w:styleId="ansi-yellow-fg">
    <w:name w:val="ansi-yellow-fg"/>
    <w:basedOn w:val="Normal"/>
    <w:pPr>
      <w:spacing w:before="100" w:beforeAutospacing="1" w:after="100" w:afterAutospacing="1"/>
    </w:pPr>
    <w:rPr>
      <w:color w:val="DDB62B"/>
    </w:rPr>
  </w:style>
  <w:style w:type="paragraph" w:customStyle="1" w:styleId="ansi-yellow-bg">
    <w:name w:val="ansi-yellow-bg"/>
    <w:basedOn w:val="Normal"/>
    <w:pPr>
      <w:shd w:val="clear" w:color="auto" w:fill="DDB62B"/>
      <w:spacing w:before="100" w:beforeAutospacing="1" w:after="100" w:afterAutospacing="1"/>
    </w:pPr>
  </w:style>
  <w:style w:type="paragraph" w:customStyle="1" w:styleId="ansi-yellow-intense-yellow">
    <w:name w:val="ansi-yellow-intense-yellow"/>
    <w:basedOn w:val="Normal"/>
    <w:pPr>
      <w:shd w:val="clear" w:color="auto" w:fill="B27D12"/>
      <w:spacing w:before="100" w:beforeAutospacing="1" w:after="100" w:afterAutospacing="1"/>
    </w:pPr>
    <w:rPr>
      <w:color w:val="B27D12"/>
    </w:rPr>
  </w:style>
  <w:style w:type="paragraph" w:customStyle="1" w:styleId="ansi-bright-yellow-fg">
    <w:name w:val="ansi-bright-yellow-fg"/>
    <w:basedOn w:val="Normal"/>
    <w:pPr>
      <w:spacing w:before="100" w:beforeAutospacing="1" w:after="100" w:afterAutospacing="1"/>
    </w:pPr>
    <w:rPr>
      <w:color w:val="B27D12"/>
    </w:rPr>
  </w:style>
  <w:style w:type="paragraph" w:customStyle="1" w:styleId="ansi-bright-yellow-bg">
    <w:name w:val="ansi-bright-yellow-bg"/>
    <w:basedOn w:val="Normal"/>
    <w:pPr>
      <w:shd w:val="clear" w:color="auto" w:fill="B27D12"/>
      <w:spacing w:before="100" w:beforeAutospacing="1" w:after="100" w:afterAutospacing="1"/>
    </w:pPr>
  </w:style>
  <w:style w:type="paragraph" w:customStyle="1" w:styleId="ansi-blue-fg">
    <w:name w:val="ansi-blue-fg"/>
    <w:basedOn w:val="Normal"/>
    <w:pPr>
      <w:spacing w:before="100" w:beforeAutospacing="1" w:after="100" w:afterAutospacing="1"/>
    </w:pPr>
    <w:rPr>
      <w:color w:val="208FFB"/>
    </w:rPr>
  </w:style>
  <w:style w:type="paragraph" w:customStyle="1" w:styleId="ansi-blue-bg">
    <w:name w:val="ansi-blue-bg"/>
    <w:basedOn w:val="Normal"/>
    <w:pPr>
      <w:shd w:val="clear" w:color="auto" w:fill="208FFB"/>
      <w:spacing w:before="100" w:beforeAutospacing="1" w:after="100" w:afterAutospacing="1"/>
    </w:pPr>
  </w:style>
  <w:style w:type="paragraph" w:customStyle="1" w:styleId="ansi-blue-intense-blue">
    <w:name w:val="ansi-blue-intense-blue"/>
    <w:basedOn w:val="Normal"/>
    <w:pPr>
      <w:shd w:val="clear" w:color="auto" w:fill="0065CA"/>
      <w:spacing w:before="100" w:beforeAutospacing="1" w:after="100" w:afterAutospacing="1"/>
    </w:pPr>
    <w:rPr>
      <w:color w:val="0065CA"/>
    </w:rPr>
  </w:style>
  <w:style w:type="paragraph" w:customStyle="1" w:styleId="ansi-bright-blue-fg">
    <w:name w:val="ansi-bright-blue-fg"/>
    <w:basedOn w:val="Normal"/>
    <w:pPr>
      <w:spacing w:before="100" w:beforeAutospacing="1" w:after="100" w:afterAutospacing="1"/>
    </w:pPr>
    <w:rPr>
      <w:color w:val="0065CA"/>
    </w:rPr>
  </w:style>
  <w:style w:type="paragraph" w:customStyle="1" w:styleId="ansi-bright-blue-bg">
    <w:name w:val="ansi-bright-blue-bg"/>
    <w:basedOn w:val="Normal"/>
    <w:pPr>
      <w:shd w:val="clear" w:color="auto" w:fill="0065CA"/>
      <w:spacing w:before="100" w:beforeAutospacing="1" w:after="100" w:afterAutospacing="1"/>
    </w:pPr>
  </w:style>
  <w:style w:type="paragraph" w:customStyle="1" w:styleId="ansi-magenta-fg">
    <w:name w:val="ansi-magenta-fg"/>
    <w:basedOn w:val="Normal"/>
    <w:pPr>
      <w:spacing w:before="100" w:beforeAutospacing="1" w:after="100" w:afterAutospacing="1"/>
    </w:pPr>
    <w:rPr>
      <w:color w:val="D160C4"/>
    </w:rPr>
  </w:style>
  <w:style w:type="paragraph" w:customStyle="1" w:styleId="ansi-magenta-bg">
    <w:name w:val="ansi-magenta-bg"/>
    <w:basedOn w:val="Normal"/>
    <w:pPr>
      <w:shd w:val="clear" w:color="auto" w:fill="D160C4"/>
      <w:spacing w:before="100" w:beforeAutospacing="1" w:after="100" w:afterAutospacing="1"/>
    </w:pPr>
  </w:style>
  <w:style w:type="paragraph" w:customStyle="1" w:styleId="ansi-magenta-intense-magenta">
    <w:name w:val="ansi-magenta-intense-magenta"/>
    <w:basedOn w:val="Normal"/>
    <w:pPr>
      <w:shd w:val="clear" w:color="auto" w:fill="A03196"/>
      <w:spacing w:before="100" w:beforeAutospacing="1" w:after="100" w:afterAutospacing="1"/>
    </w:pPr>
    <w:rPr>
      <w:color w:val="A03196"/>
    </w:rPr>
  </w:style>
  <w:style w:type="paragraph" w:customStyle="1" w:styleId="ansi-bright-magenta-fg">
    <w:name w:val="ansi-bright-magenta-fg"/>
    <w:basedOn w:val="Normal"/>
    <w:pPr>
      <w:spacing w:before="100" w:beforeAutospacing="1" w:after="100" w:afterAutospacing="1"/>
    </w:pPr>
    <w:rPr>
      <w:color w:val="A03196"/>
    </w:rPr>
  </w:style>
  <w:style w:type="paragraph" w:customStyle="1" w:styleId="ansi-bright-magenta-bg">
    <w:name w:val="ansi-bright-magenta-bg"/>
    <w:basedOn w:val="Normal"/>
    <w:pPr>
      <w:shd w:val="clear" w:color="auto" w:fill="A03196"/>
      <w:spacing w:before="100" w:beforeAutospacing="1" w:after="100" w:afterAutospacing="1"/>
    </w:pPr>
  </w:style>
  <w:style w:type="paragraph" w:customStyle="1" w:styleId="ansi-cyan-fg">
    <w:name w:val="ansi-cyan-fg"/>
    <w:basedOn w:val="Normal"/>
    <w:pPr>
      <w:spacing w:before="100" w:beforeAutospacing="1" w:after="100" w:afterAutospacing="1"/>
    </w:pPr>
    <w:rPr>
      <w:color w:val="60C6C8"/>
    </w:rPr>
  </w:style>
  <w:style w:type="paragraph" w:customStyle="1" w:styleId="ansi-cyan-bg">
    <w:name w:val="ansi-cyan-bg"/>
    <w:basedOn w:val="Normal"/>
    <w:pPr>
      <w:shd w:val="clear" w:color="auto" w:fill="60C6C8"/>
      <w:spacing w:before="100" w:beforeAutospacing="1" w:after="100" w:afterAutospacing="1"/>
    </w:pPr>
  </w:style>
  <w:style w:type="paragraph" w:customStyle="1" w:styleId="ansi-cyan-intense-cyan">
    <w:name w:val="ansi-cyan-intense-cyan"/>
    <w:basedOn w:val="Normal"/>
    <w:pPr>
      <w:shd w:val="clear" w:color="auto" w:fill="258F8F"/>
      <w:spacing w:before="100" w:beforeAutospacing="1" w:after="100" w:afterAutospacing="1"/>
    </w:pPr>
    <w:rPr>
      <w:color w:val="258F8F"/>
    </w:rPr>
  </w:style>
  <w:style w:type="paragraph" w:customStyle="1" w:styleId="ansi-bright-cyan-fg">
    <w:name w:val="ansi-bright-cyan-fg"/>
    <w:basedOn w:val="Normal"/>
    <w:pPr>
      <w:spacing w:before="100" w:beforeAutospacing="1" w:after="100" w:afterAutospacing="1"/>
    </w:pPr>
    <w:rPr>
      <w:color w:val="258F8F"/>
    </w:rPr>
  </w:style>
  <w:style w:type="paragraph" w:customStyle="1" w:styleId="ansi-bright-cyan-bg">
    <w:name w:val="ansi-bright-cyan-bg"/>
    <w:basedOn w:val="Normal"/>
    <w:pPr>
      <w:shd w:val="clear" w:color="auto" w:fill="258F8F"/>
      <w:spacing w:before="100" w:beforeAutospacing="1" w:after="100" w:afterAutospacing="1"/>
    </w:pPr>
  </w:style>
  <w:style w:type="paragraph" w:customStyle="1" w:styleId="ansi-white-fg">
    <w:name w:val="ansi-white-fg"/>
    <w:basedOn w:val="Normal"/>
    <w:pPr>
      <w:spacing w:before="100" w:beforeAutospacing="1" w:after="100" w:afterAutospacing="1"/>
    </w:pPr>
    <w:rPr>
      <w:color w:val="C5C1B4"/>
    </w:rPr>
  </w:style>
  <w:style w:type="paragraph" w:customStyle="1" w:styleId="ansi-white-bg">
    <w:name w:val="ansi-white-bg"/>
    <w:basedOn w:val="Normal"/>
    <w:pPr>
      <w:shd w:val="clear" w:color="auto" w:fill="C5C1B4"/>
      <w:spacing w:before="100" w:beforeAutospacing="1" w:after="100" w:afterAutospacing="1"/>
    </w:pPr>
  </w:style>
  <w:style w:type="paragraph" w:customStyle="1" w:styleId="ansi-white-intense-white">
    <w:name w:val="ansi-white-intense-white"/>
    <w:basedOn w:val="Normal"/>
    <w:pPr>
      <w:shd w:val="clear" w:color="auto" w:fill="A1A6B2"/>
      <w:spacing w:before="100" w:beforeAutospacing="1" w:after="100" w:afterAutospacing="1"/>
    </w:pPr>
    <w:rPr>
      <w:color w:val="A1A6B2"/>
    </w:rPr>
  </w:style>
  <w:style w:type="paragraph" w:customStyle="1" w:styleId="ansi-bright-white-fg">
    <w:name w:val="ansi-bright-white-fg"/>
    <w:basedOn w:val="Normal"/>
    <w:pPr>
      <w:spacing w:before="100" w:beforeAutospacing="1" w:after="100" w:afterAutospacing="1"/>
    </w:pPr>
    <w:rPr>
      <w:color w:val="A1A6B2"/>
    </w:rPr>
  </w:style>
  <w:style w:type="paragraph" w:customStyle="1" w:styleId="ansi-bright-white-bg">
    <w:name w:val="ansi-bright-white-bg"/>
    <w:basedOn w:val="Normal"/>
    <w:pPr>
      <w:shd w:val="clear" w:color="auto" w:fill="A1A6B2"/>
      <w:spacing w:before="100" w:beforeAutospacing="1" w:after="100" w:afterAutospacing="1"/>
    </w:pPr>
  </w:style>
  <w:style w:type="paragraph" w:customStyle="1" w:styleId="ansi-default-inverse-fg">
    <w:name w:val="ansi-default-inverse-fg"/>
    <w:basedOn w:val="Normal"/>
    <w:pPr>
      <w:spacing w:before="100" w:beforeAutospacing="1" w:after="100" w:afterAutospacing="1"/>
    </w:pPr>
    <w:rPr>
      <w:color w:val="FFFFFF"/>
    </w:rPr>
  </w:style>
  <w:style w:type="paragraph" w:customStyle="1" w:styleId="ansi-default-inverse-bg">
    <w:name w:val="ansi-default-inverse-bg"/>
    <w:basedOn w:val="Normal"/>
    <w:pPr>
      <w:shd w:val="clear" w:color="auto" w:fill="000000"/>
      <w:spacing w:before="100" w:beforeAutospacing="1" w:after="100" w:afterAutospacing="1"/>
    </w:pPr>
  </w:style>
  <w:style w:type="paragraph" w:customStyle="1" w:styleId="ansi-bold">
    <w:name w:val="ansi-bold"/>
    <w:basedOn w:val="Normal"/>
    <w:pPr>
      <w:spacing w:before="100" w:beforeAutospacing="1" w:after="100" w:afterAutospacing="1"/>
    </w:pPr>
    <w:rPr>
      <w:b/>
      <w:bCs/>
    </w:rPr>
  </w:style>
  <w:style w:type="paragraph" w:customStyle="1" w:styleId="ansi-underline">
    <w:name w:val="ansi-underline"/>
    <w:basedOn w:val="Normal"/>
    <w:pPr>
      <w:spacing w:before="100" w:beforeAutospacing="1" w:after="100" w:afterAutospacing="1"/>
    </w:pPr>
    <w:rPr>
      <w:u w:val="single"/>
    </w:rPr>
  </w:style>
  <w:style w:type="paragraph" w:customStyle="1" w:styleId="code-copy-button">
    <w:name w:val="code-copy-button"/>
    <w:basedOn w:val="Normal"/>
    <w:pPr>
      <w:spacing w:before="75" w:after="100" w:afterAutospacing="1"/>
      <w:ind w:right="75"/>
    </w:pPr>
  </w:style>
  <w:style w:type="paragraph" w:customStyle="1" w:styleId="code-copy-button-tooltip">
    <w:name w:val="code-copy-button-tooltip"/>
    <w:basedOn w:val="Normal"/>
    <w:pPr>
      <w:spacing w:before="100" w:beforeAutospacing="1" w:after="100" w:afterAutospacing="1"/>
    </w:pPr>
    <w:rPr>
      <w:sz w:val="18"/>
      <w:szCs w:val="18"/>
    </w:rPr>
  </w:style>
  <w:style w:type="paragraph" w:customStyle="1" w:styleId="margin-caption">
    <w:name w:val="margin-caption&gt;*"/>
    <w:basedOn w:val="Normal"/>
    <w:pPr>
      <w:spacing w:before="100" w:beforeAutospacing="1" w:after="100" w:afterAutospacing="1"/>
    </w:pPr>
  </w:style>
  <w:style w:type="paragraph" w:customStyle="1" w:styleId="tab-content">
    <w:name w:val="tab-content"/>
    <w:basedOn w:val="Normal"/>
    <w:pPr>
      <w:pBdr>
        <w:left w:val="single" w:sz="6" w:space="12" w:color="E1E1E1"/>
        <w:bottom w:val="single" w:sz="6" w:space="12" w:color="E1E1E1"/>
        <w:right w:val="single" w:sz="6" w:space="12" w:color="E1E1E1"/>
      </w:pBdr>
      <w:spacing w:after="240"/>
    </w:pPr>
  </w:style>
  <w:style w:type="paragraph" w:customStyle="1" w:styleId="tab-panep">
    <w:name w:val="tab-pane&gt;p"/>
    <w:basedOn w:val="Normal"/>
    <w:pPr>
      <w:spacing w:before="100" w:beforeAutospacing="1" w:after="100" w:afterAutospacing="1"/>
    </w:pPr>
  </w:style>
  <w:style w:type="paragraph" w:customStyle="1" w:styleId="code-tools-button">
    <w:name w:val="code-tools-button"/>
    <w:basedOn w:val="Normal"/>
    <w:pPr>
      <w:spacing w:before="100" w:beforeAutospacing="1" w:after="100" w:afterAutospacing="1"/>
      <w:ind w:left="75"/>
    </w:pPr>
  </w:style>
  <w:style w:type="paragraph" w:customStyle="1" w:styleId="sidebar">
    <w:name w:val="sidebar"/>
    <w:basedOn w:val="Normal"/>
    <w:pPr>
      <w:spacing w:before="100" w:beforeAutospacing="1" w:after="100" w:afterAutospacing="1"/>
    </w:pPr>
  </w:style>
  <w:style w:type="paragraph" w:customStyle="1" w:styleId="quarto-notebook-link">
    <w:name w:val="quarto-notebook-link"/>
    <w:basedOn w:val="Normal"/>
    <w:pPr>
      <w:spacing w:before="100" w:beforeAutospacing="1" w:after="240"/>
    </w:pPr>
    <w:rPr>
      <w:sz w:val="18"/>
      <w:szCs w:val="18"/>
    </w:rPr>
  </w:style>
  <w:style w:type="paragraph" w:customStyle="1" w:styleId="toc-actions">
    <w:name w:val="toc-actions"/>
    <w:basedOn w:val="Normal"/>
    <w:pPr>
      <w:spacing w:before="100" w:beforeAutospacing="1" w:after="100" w:afterAutospacing="1"/>
    </w:pPr>
  </w:style>
  <w:style w:type="paragraph" w:customStyle="1" w:styleId="quarto-alternate-formats">
    <w:name w:val="quarto-alternate-formats"/>
    <w:basedOn w:val="Normal"/>
    <w:pPr>
      <w:spacing w:before="100" w:beforeAutospacing="1" w:after="100" w:afterAutospacing="1"/>
    </w:pPr>
  </w:style>
  <w:style w:type="paragraph" w:customStyle="1" w:styleId="quarto-other-links">
    <w:name w:val="quarto-other-links"/>
    <w:basedOn w:val="Normal"/>
    <w:pPr>
      <w:spacing w:before="100" w:beforeAutospacing="1" w:after="100" w:afterAutospacing="1"/>
    </w:pPr>
  </w:style>
  <w:style w:type="paragraph" w:customStyle="1" w:styleId="quarto-code-links">
    <w:name w:val="quarto-code-links"/>
    <w:basedOn w:val="Normal"/>
    <w:pPr>
      <w:spacing w:before="100" w:beforeAutospacing="1" w:after="100" w:afterAutospacing="1"/>
    </w:pPr>
  </w:style>
  <w:style w:type="paragraph" w:customStyle="1" w:styleId="quarto-alternate-notebooks">
    <w:name w:val="quarto-alternate-notebooks"/>
    <w:basedOn w:val="Normal"/>
    <w:pPr>
      <w:spacing w:before="100" w:beforeAutospacing="1" w:after="100" w:afterAutospacing="1"/>
    </w:pPr>
  </w:style>
  <w:style w:type="paragraph" w:customStyle="1" w:styleId="kbd">
    <w:name w:val="kbd"/>
    <w:basedOn w:val="Normal"/>
    <w:pPr>
      <w:pBdr>
        <w:top w:val="single" w:sz="6" w:space="0" w:color="E1E1E1"/>
        <w:left w:val="single" w:sz="6" w:space="0" w:color="E1E1E1"/>
        <w:bottom w:val="single" w:sz="6" w:space="0" w:color="E1E1E1"/>
        <w:right w:val="single" w:sz="6" w:space="0" w:color="E1E1E1"/>
      </w:pBdr>
      <w:shd w:val="clear" w:color="auto" w:fill="F8F9FA"/>
      <w:spacing w:before="100" w:beforeAutospacing="1" w:after="100" w:afterAutospacing="1"/>
    </w:pPr>
    <w:rPr>
      <w:color w:val="373A3C"/>
    </w:rPr>
  </w:style>
  <w:style w:type="paragraph" w:customStyle="1" w:styleId="footnote-ref">
    <w:name w:val="footnote-ref"/>
    <w:basedOn w:val="Normal"/>
    <w:pPr>
      <w:spacing w:before="100" w:beforeAutospacing="1" w:after="100" w:afterAutospacing="1"/>
    </w:pPr>
  </w:style>
  <w:style w:type="paragraph" w:customStyle="1" w:styleId="tippy-content0">
    <w:name w:val="tippy-content&gt;*"/>
    <w:basedOn w:val="Normal"/>
    <w:pPr>
      <w:spacing w:before="100" w:beforeAutospacing="1" w:after="168"/>
    </w:pPr>
  </w:style>
  <w:style w:type="paragraph" w:customStyle="1" w:styleId="sidebar-navigation">
    <w:name w:val="sidebar-navigation"/>
    <w:basedOn w:val="Normal"/>
    <w:pPr>
      <w:spacing w:before="100" w:beforeAutospacing="1" w:after="100" w:afterAutospacing="1"/>
    </w:pPr>
  </w:style>
  <w:style w:type="paragraph" w:customStyle="1" w:styleId="navbar">
    <w:name w:val="navbar"/>
    <w:basedOn w:val="Normal"/>
    <w:pPr>
      <w:shd w:val="clear" w:color="auto" w:fill="F8F9FA"/>
      <w:spacing w:before="100" w:beforeAutospacing="1" w:after="100" w:afterAutospacing="1"/>
    </w:pPr>
    <w:rPr>
      <w:color w:val="545455"/>
    </w:rPr>
  </w:style>
  <w:style w:type="paragraph" w:customStyle="1" w:styleId="quarto-sidebar-toggle">
    <w:name w:val="quarto-sidebar-toggle"/>
    <w:basedOn w:val="Normal"/>
    <w:pPr>
      <w:pBdr>
        <w:top w:val="single" w:sz="2" w:space="0" w:color="E1E1E1"/>
        <w:left w:val="single" w:sz="6" w:space="0" w:color="E1E1E1"/>
        <w:bottom w:val="single" w:sz="6" w:space="0" w:color="E1E1E1"/>
        <w:right w:val="single" w:sz="6" w:space="0" w:color="E1E1E1"/>
      </w:pBdr>
      <w:spacing w:before="100" w:beforeAutospacing="1" w:after="100" w:afterAutospacing="1"/>
    </w:pPr>
  </w:style>
  <w:style w:type="paragraph" w:customStyle="1" w:styleId="quarto-sidebar-toggle-title">
    <w:name w:val="quarto-sidebar-toggle-title"/>
    <w:basedOn w:val="Normal"/>
    <w:pPr>
      <w:spacing w:before="100" w:beforeAutospacing="1" w:after="100" w:afterAutospacing="1"/>
      <w:ind w:left="60"/>
      <w:jc w:val="center"/>
    </w:pPr>
    <w:rPr>
      <w:sz w:val="19"/>
      <w:szCs w:val="19"/>
    </w:rPr>
  </w:style>
  <w:style w:type="paragraph" w:customStyle="1" w:styleId="quarto-sidebar-toggle-icon">
    <w:name w:val="quarto-sidebar-toggle-icon"/>
    <w:basedOn w:val="Normal"/>
    <w:pPr>
      <w:spacing w:before="100" w:beforeAutospacing="1" w:after="100" w:afterAutospacing="1"/>
      <w:ind w:right="120"/>
    </w:pPr>
    <w:rPr>
      <w:color w:val="E1E1E1"/>
    </w:rPr>
  </w:style>
  <w:style w:type="paragraph" w:customStyle="1" w:styleId="quarto-sidebar-toggle-contents">
    <w:name w:val="quarto-sidebar-toggle-contents"/>
    <w:basedOn w:val="Normal"/>
    <w:pPr>
      <w:shd w:val="clear" w:color="auto" w:fill="FFFFFF"/>
      <w:spacing w:after="100" w:afterAutospacing="1"/>
    </w:pPr>
  </w:style>
  <w:style w:type="paragraph" w:customStyle="1" w:styleId="code-annotation-gutter-bg">
    <w:name w:val="code-annotation-gutter-bg"/>
    <w:basedOn w:val="Normal"/>
    <w:pPr>
      <w:shd w:val="clear" w:color="auto" w:fill="FFFFFF"/>
      <w:spacing w:before="100" w:beforeAutospacing="1" w:after="100" w:afterAutospacing="1"/>
    </w:pPr>
  </w:style>
  <w:style w:type="paragraph" w:customStyle="1" w:styleId="quarto-video">
    <w:name w:val="quarto-video"/>
    <w:basedOn w:val="Normal"/>
    <w:pPr>
      <w:spacing w:before="100" w:beforeAutospacing="1" w:after="240"/>
    </w:pPr>
  </w:style>
  <w:style w:type="paragraph" w:customStyle="1" w:styleId="quarto-xref">
    <w:name w:val="quarto-xref"/>
    <w:basedOn w:val="Normal"/>
    <w:pPr>
      <w:spacing w:before="100" w:beforeAutospacing="1" w:after="100" w:afterAutospacing="1"/>
    </w:pPr>
  </w:style>
  <w:style w:type="paragraph" w:customStyle="1" w:styleId="quarto-ext-icon">
    <w:name w:val="quarto-ext-icon"/>
    <w:basedOn w:val="Normal"/>
    <w:pPr>
      <w:spacing w:before="100" w:beforeAutospacing="1" w:after="100" w:afterAutospacing="1"/>
    </w:pPr>
    <w:rPr>
      <w:sz w:val="18"/>
      <w:szCs w:val="18"/>
    </w:rPr>
  </w:style>
  <w:style w:type="paragraph" w:customStyle="1" w:styleId="quarto-title-banner">
    <w:name w:val="quarto-title-banner"/>
    <w:basedOn w:val="Normal"/>
    <w:pPr>
      <w:shd w:val="clear" w:color="auto" w:fill="F8F9FA"/>
      <w:spacing w:before="100" w:beforeAutospacing="1" w:after="240"/>
    </w:pPr>
    <w:rPr>
      <w:color w:val="545455"/>
    </w:rPr>
  </w:style>
  <w:style w:type="paragraph" w:customStyle="1" w:styleId="quarto-title-meta-column-end">
    <w:name w:val="quarto-title-meta-column-end"/>
    <w:basedOn w:val="Normal"/>
    <w:pPr>
      <w:spacing w:before="100" w:beforeAutospacing="1" w:after="100" w:afterAutospacing="1"/>
    </w:pPr>
  </w:style>
  <w:style w:type="paragraph" w:customStyle="1" w:styleId="lightable-minimal">
    <w:name w:val="lightable-minimal"/>
    <w:basedOn w:val="Normal"/>
    <w:pPr>
      <w:spacing w:before="100" w:beforeAutospacing="1" w:after="150"/>
    </w:pPr>
  </w:style>
  <w:style w:type="paragraph" w:customStyle="1" w:styleId="lightable-classic">
    <w:name w:val="lightable-classic"/>
    <w:basedOn w:val="Normal"/>
    <w:pPr>
      <w:pBdr>
        <w:top w:val="single" w:sz="12" w:space="0" w:color="111111"/>
        <w:bottom w:val="single" w:sz="12" w:space="0" w:color="111111"/>
      </w:pBdr>
      <w:spacing w:before="150" w:after="150"/>
      <w:ind w:left="75" w:right="75"/>
    </w:pPr>
  </w:style>
  <w:style w:type="paragraph" w:customStyle="1" w:styleId="lightable-classic-2">
    <w:name w:val="lightable-classic-2"/>
    <w:basedOn w:val="Normal"/>
    <w:pPr>
      <w:pBdr>
        <w:top w:val="double" w:sz="6" w:space="0" w:color="111111"/>
        <w:bottom w:val="double" w:sz="6" w:space="0" w:color="111111"/>
      </w:pBdr>
      <w:spacing w:before="100" w:beforeAutospacing="1" w:after="150"/>
    </w:pPr>
  </w:style>
  <w:style w:type="paragraph" w:customStyle="1" w:styleId="lightable-material">
    <w:name w:val="lightable-material"/>
    <w:basedOn w:val="Normal"/>
    <w:pPr>
      <w:pBdr>
        <w:top w:val="single" w:sz="6" w:space="0" w:color="EEEEEE"/>
        <w:left w:val="single" w:sz="6" w:space="0" w:color="EEEEEE"/>
        <w:bottom w:val="single" w:sz="6" w:space="0" w:color="EEEEEE"/>
        <w:right w:val="single" w:sz="6" w:space="0" w:color="EEEEEE"/>
      </w:pBdr>
      <w:spacing w:before="100" w:beforeAutospacing="1" w:after="150"/>
    </w:pPr>
    <w:rPr>
      <w:rFonts w:ascii="Roboto" w:hAnsi="Roboto"/>
    </w:rPr>
  </w:style>
  <w:style w:type="paragraph" w:customStyle="1" w:styleId="lightable-material-dark">
    <w:name w:val="lightable-material-dark"/>
    <w:basedOn w:val="Normal"/>
    <w:pPr>
      <w:shd w:val="clear" w:color="auto" w:fill="363640"/>
      <w:spacing w:before="100" w:beforeAutospacing="1" w:after="150"/>
    </w:pPr>
    <w:rPr>
      <w:rFonts w:ascii="Roboto" w:hAnsi="Roboto"/>
    </w:rPr>
  </w:style>
  <w:style w:type="paragraph" w:customStyle="1" w:styleId="lightable-paper">
    <w:name w:val="lightable-paper"/>
    <w:basedOn w:val="Normal"/>
    <w:pPr>
      <w:spacing w:before="100" w:beforeAutospacing="1" w:after="150"/>
    </w:pPr>
    <w:rPr>
      <w:color w:val="444444"/>
    </w:rPr>
  </w:style>
  <w:style w:type="paragraph" w:customStyle="1" w:styleId="checkbox">
    <w:name w:val="checkbox"/>
    <w:basedOn w:val="Normal"/>
    <w:pPr>
      <w:spacing w:before="100" w:beforeAutospacing="1" w:after="100" w:afterAutospacing="1"/>
    </w:pPr>
  </w:style>
  <w:style w:type="paragraph" w:customStyle="1" w:styleId="radio">
    <w:name w:val="radio"/>
    <w:basedOn w:val="Normal"/>
    <w:pPr>
      <w:spacing w:before="100" w:beforeAutospacing="1" w:after="100" w:afterAutospacing="1"/>
    </w:pPr>
  </w:style>
  <w:style w:type="paragraph" w:customStyle="1" w:styleId="dropdown-menudata-bs-popper">
    <w:name w:val="dropdown-menu[data-bs-popper]"/>
    <w:basedOn w:val="Normal"/>
    <w:pPr>
      <w:spacing w:before="100" w:beforeAutospacing="1" w:after="100" w:afterAutospacing="1"/>
    </w:pPr>
  </w:style>
  <w:style w:type="paragraph" w:customStyle="1" w:styleId="accordion-collapse">
    <w:name w:val="accordion-collapse"/>
    <w:basedOn w:val="Normal"/>
    <w:pPr>
      <w:spacing w:before="100" w:beforeAutospacing="1" w:after="100" w:afterAutospacing="1"/>
    </w:pPr>
  </w:style>
  <w:style w:type="paragraph" w:customStyle="1" w:styleId="accordion-item">
    <w:name w:val="accordion-item"/>
    <w:basedOn w:val="Normal"/>
    <w:pPr>
      <w:spacing w:before="100" w:beforeAutospacing="1" w:after="100" w:afterAutospacing="1"/>
    </w:pPr>
  </w:style>
  <w:style w:type="paragraph" w:customStyle="1" w:styleId="tooltip-arrow">
    <w:name w:val="tooltip-arrow"/>
    <w:basedOn w:val="Normal"/>
    <w:pPr>
      <w:spacing w:before="100" w:beforeAutospacing="1" w:after="100" w:afterAutospacing="1"/>
    </w:pPr>
  </w:style>
  <w:style w:type="paragraph" w:customStyle="1" w:styleId="popover-arrow">
    <w:name w:val="popover-arrow"/>
    <w:basedOn w:val="Normal"/>
    <w:pPr>
      <w:spacing w:before="100" w:beforeAutospacing="1" w:after="100" w:afterAutospacing="1"/>
    </w:pPr>
  </w:style>
  <w:style w:type="paragraph" w:customStyle="1" w:styleId="value-box-area">
    <w:name w:val="value-box-area"/>
    <w:basedOn w:val="Normal"/>
    <w:pPr>
      <w:spacing w:before="100" w:beforeAutospacing="1" w:after="100" w:afterAutospacing="1"/>
    </w:pPr>
  </w:style>
  <w:style w:type="paragraph" w:customStyle="1" w:styleId="value-box-title">
    <w:name w:val="value-box-title"/>
    <w:basedOn w:val="Normal"/>
    <w:pPr>
      <w:spacing w:before="100" w:beforeAutospacing="1" w:after="100" w:afterAutospacing="1"/>
    </w:pPr>
  </w:style>
  <w:style w:type="paragraph" w:customStyle="1" w:styleId="value-box-value">
    <w:name w:val="value-box-value"/>
    <w:basedOn w:val="Normal"/>
    <w:pPr>
      <w:spacing w:before="100" w:beforeAutospacing="1" w:after="100" w:afterAutospacing="1"/>
    </w:pPr>
  </w:style>
  <w:style w:type="paragraph" w:customStyle="1" w:styleId="value-box-showcase">
    <w:name w:val="value-box-showcase"/>
    <w:basedOn w:val="Normal"/>
    <w:pPr>
      <w:spacing w:before="100" w:beforeAutospacing="1" w:after="100" w:afterAutospacing="1"/>
    </w:pPr>
  </w:style>
  <w:style w:type="paragraph" w:customStyle="1" w:styleId="card-footer">
    <w:name w:val="card-footer"/>
    <w:basedOn w:val="Normal"/>
    <w:pPr>
      <w:spacing w:before="100" w:beforeAutospacing="1" w:after="100" w:afterAutospacing="1"/>
    </w:pPr>
  </w:style>
  <w:style w:type="paragraph" w:customStyle="1" w:styleId="sidebar-title">
    <w:name w:val="sidebar-title"/>
    <w:basedOn w:val="Normal"/>
    <w:pPr>
      <w:spacing w:before="100" w:beforeAutospacing="1" w:after="100" w:afterAutospacing="1"/>
    </w:pPr>
  </w:style>
  <w:style w:type="paragraph" w:customStyle="1" w:styleId="widget-subarea">
    <w:name w:val="widget-subarea"/>
    <w:basedOn w:val="Normal"/>
    <w:pPr>
      <w:spacing w:before="100" w:beforeAutospacing="1" w:after="100" w:afterAutospacing="1"/>
    </w:pPr>
  </w:style>
  <w:style w:type="paragraph" w:customStyle="1" w:styleId="column-screen-inset-shaded">
    <w:name w:val="column-screen-inset-shaded"/>
    <w:basedOn w:val="Normal"/>
    <w:pPr>
      <w:spacing w:before="100" w:beforeAutospacing="1" w:after="100" w:afterAutospacing="1"/>
    </w:pPr>
  </w:style>
  <w:style w:type="paragraph" w:customStyle="1" w:styleId="nav-item">
    <w:name w:val="nav-item"/>
    <w:basedOn w:val="Normal"/>
    <w:pPr>
      <w:spacing w:before="100" w:beforeAutospacing="1" w:after="100" w:afterAutospacing="1"/>
    </w:pPr>
  </w:style>
  <w:style w:type="paragraph" w:customStyle="1" w:styleId="code-with-filename-file">
    <w:name w:val="code-with-filename-file"/>
    <w:basedOn w:val="Normal"/>
    <w:pPr>
      <w:spacing w:before="100" w:beforeAutospacing="1" w:after="100" w:afterAutospacing="1"/>
    </w:pPr>
  </w:style>
  <w:style w:type="paragraph" w:customStyle="1" w:styleId="quarto-categories">
    <w:name w:val="quarto-categories"/>
    <w:basedOn w:val="Normal"/>
    <w:pPr>
      <w:spacing w:before="100" w:beforeAutospacing="1" w:after="100" w:afterAutospacing="1"/>
    </w:pPr>
  </w:style>
  <w:style w:type="paragraph" w:customStyle="1" w:styleId="dark-content">
    <w:name w:val="dark-content"/>
    <w:basedOn w:val="Normal"/>
    <w:pPr>
      <w:spacing w:before="100" w:beforeAutospacing="1" w:after="100" w:afterAutospacing="1"/>
    </w:pPr>
  </w:style>
  <w:style w:type="paragraph" w:customStyle="1" w:styleId="light-content">
    <w:name w:val="light-content"/>
    <w:basedOn w:val="Normal"/>
    <w:pPr>
      <w:spacing w:before="100" w:beforeAutospacing="1" w:after="100" w:afterAutospacing="1"/>
    </w:pPr>
  </w:style>
  <w:style w:type="paragraph" w:customStyle="1" w:styleId="code-annotation-anchor">
    <w:name w:val="code-annotation-anchor"/>
    <w:basedOn w:val="Normal"/>
    <w:pPr>
      <w:spacing w:before="100" w:beforeAutospacing="1" w:after="100" w:afterAutospacing="1"/>
    </w:pPr>
  </w:style>
  <w:style w:type="paragraph" w:customStyle="1" w:styleId="bi">
    <w:name w:val="bi"/>
    <w:basedOn w:val="Normal"/>
    <w:pPr>
      <w:spacing w:before="100" w:beforeAutospacing="1" w:after="100" w:afterAutospacing="1"/>
    </w:pPr>
  </w:style>
  <w:style w:type="paragraph" w:customStyle="1" w:styleId="offcanvas-header">
    <w:name w:val="offcanvas-header"/>
    <w:basedOn w:val="Normal"/>
    <w:pPr>
      <w:spacing w:before="100" w:beforeAutospacing="1" w:after="100" w:afterAutospacing="1"/>
    </w:pPr>
  </w:style>
  <w:style w:type="paragraph" w:customStyle="1" w:styleId="offcanvas-body">
    <w:name w:val="offcanvas-body"/>
    <w:basedOn w:val="Normal"/>
    <w:pPr>
      <w:spacing w:before="100" w:beforeAutospacing="1" w:after="100" w:afterAutospacing="1"/>
    </w:pPr>
  </w:style>
  <w:style w:type="paragraph" w:customStyle="1" w:styleId="form-group">
    <w:name w:val="form-group"/>
    <w:basedOn w:val="Normal"/>
    <w:pPr>
      <w:spacing w:before="100" w:beforeAutospacing="1" w:after="100" w:afterAutospacing="1"/>
    </w:pPr>
  </w:style>
  <w:style w:type="paragraph" w:customStyle="1" w:styleId="selectize-control">
    <w:name w:val="selectize-control"/>
    <w:basedOn w:val="Normal"/>
    <w:pPr>
      <w:spacing w:before="100" w:beforeAutospacing="1" w:after="100" w:afterAutospacing="1"/>
    </w:pPr>
  </w:style>
  <w:style w:type="paragraph" w:customStyle="1" w:styleId="cell-decorator">
    <w:name w:val="cell-decorator"/>
    <w:basedOn w:val="Normal"/>
    <w:pPr>
      <w:spacing w:before="100" w:beforeAutospacing="1" w:after="100" w:afterAutospacing="1"/>
    </w:pPr>
  </w:style>
  <w:style w:type="paragraph" w:customStyle="1" w:styleId="Title1">
    <w:name w:val="Title1"/>
    <w:basedOn w:val="Normal"/>
    <w:pPr>
      <w:spacing w:before="100" w:beforeAutospacing="1" w:after="100" w:afterAutospacing="1"/>
    </w:pPr>
  </w:style>
  <w:style w:type="paragraph" w:customStyle="1" w:styleId="quarto-category">
    <w:name w:val="quarto-category"/>
    <w:basedOn w:val="Normal"/>
    <w:pPr>
      <w:spacing w:before="100" w:beforeAutospacing="1" w:after="100" w:afterAutospacing="1"/>
    </w:pPr>
  </w:style>
  <w:style w:type="paragraph" w:customStyle="1" w:styleId="quarto-title-blockdivbutton">
    <w:name w:val="quarto-title-block&gt;div&gt;button"/>
    <w:basedOn w:val="Normal"/>
    <w:pPr>
      <w:spacing w:before="100" w:beforeAutospacing="1" w:after="100" w:afterAutospacing="1"/>
    </w:pPr>
  </w:style>
  <w:style w:type="paragraph" w:customStyle="1" w:styleId="abstract-title">
    <w:name w:val="abstract-title"/>
    <w:basedOn w:val="Normal"/>
    <w:pPr>
      <w:spacing w:before="100" w:beforeAutospacing="1" w:after="100" w:afterAutospacing="1"/>
    </w:pPr>
  </w:style>
  <w:style w:type="paragraph" w:customStyle="1" w:styleId="text-bg-default">
    <w:name w:val="text-bg-default"/>
    <w:basedOn w:val="Normal"/>
    <w:pPr>
      <w:spacing w:before="100" w:beforeAutospacing="1" w:after="100" w:afterAutospacing="1"/>
    </w:pPr>
    <w:rPr>
      <w:color w:val="FFFFFF"/>
    </w:rPr>
  </w:style>
  <w:style w:type="paragraph" w:customStyle="1" w:styleId="text-bg-primary">
    <w:name w:val="text-bg-primary"/>
    <w:basedOn w:val="Normal"/>
    <w:pPr>
      <w:spacing w:before="100" w:beforeAutospacing="1" w:after="100" w:afterAutospacing="1"/>
    </w:pPr>
    <w:rPr>
      <w:color w:val="FFFFFF"/>
    </w:rPr>
  </w:style>
  <w:style w:type="paragraph" w:customStyle="1" w:styleId="text-bg-secondary">
    <w:name w:val="text-bg-secondary"/>
    <w:basedOn w:val="Normal"/>
    <w:pPr>
      <w:spacing w:before="100" w:beforeAutospacing="1" w:after="100" w:afterAutospacing="1"/>
    </w:pPr>
    <w:rPr>
      <w:color w:val="FFFFFF"/>
    </w:rPr>
  </w:style>
  <w:style w:type="paragraph" w:customStyle="1" w:styleId="text-bg-success">
    <w:name w:val="text-bg-success"/>
    <w:basedOn w:val="Normal"/>
    <w:pPr>
      <w:spacing w:before="100" w:beforeAutospacing="1" w:after="100" w:afterAutospacing="1"/>
    </w:pPr>
    <w:rPr>
      <w:color w:val="FFFFFF"/>
    </w:rPr>
  </w:style>
  <w:style w:type="paragraph" w:customStyle="1" w:styleId="text-bg-info">
    <w:name w:val="text-bg-info"/>
    <w:basedOn w:val="Normal"/>
    <w:pPr>
      <w:spacing w:before="100" w:beforeAutospacing="1" w:after="100" w:afterAutospacing="1"/>
    </w:pPr>
    <w:rPr>
      <w:color w:val="FFFFFF"/>
    </w:rPr>
  </w:style>
  <w:style w:type="paragraph" w:customStyle="1" w:styleId="text-bg-warning">
    <w:name w:val="text-bg-warning"/>
    <w:basedOn w:val="Normal"/>
    <w:pPr>
      <w:spacing w:before="100" w:beforeAutospacing="1" w:after="100" w:afterAutospacing="1"/>
    </w:pPr>
    <w:rPr>
      <w:color w:val="FFFFFF"/>
    </w:rPr>
  </w:style>
  <w:style w:type="paragraph" w:customStyle="1" w:styleId="text-bg-danger">
    <w:name w:val="text-bg-danger"/>
    <w:basedOn w:val="Normal"/>
    <w:pPr>
      <w:spacing w:before="100" w:beforeAutospacing="1" w:after="100" w:afterAutospacing="1"/>
    </w:pPr>
    <w:rPr>
      <w:color w:val="FFFFFF"/>
    </w:rPr>
  </w:style>
  <w:style w:type="paragraph" w:customStyle="1" w:styleId="text-bg-light">
    <w:name w:val="text-bg-light"/>
    <w:basedOn w:val="Normal"/>
    <w:pPr>
      <w:spacing w:before="100" w:beforeAutospacing="1" w:after="100" w:afterAutospacing="1"/>
    </w:pPr>
    <w:rPr>
      <w:color w:val="000000"/>
    </w:rPr>
  </w:style>
  <w:style w:type="paragraph" w:customStyle="1" w:styleId="text-bg-dark">
    <w:name w:val="text-bg-dark"/>
    <w:basedOn w:val="Normal"/>
    <w:pPr>
      <w:spacing w:before="100" w:beforeAutospacing="1" w:after="100" w:afterAutospacing="1"/>
    </w:pPr>
    <w:rPr>
      <w:color w:val="FFFFFF"/>
    </w:rPr>
  </w:style>
  <w:style w:type="paragraph" w:customStyle="1" w:styleId="align-baseline">
    <w:name w:val="align-baseline"/>
    <w:basedOn w:val="Normal"/>
    <w:pPr>
      <w:spacing w:before="100" w:beforeAutospacing="1" w:after="100" w:afterAutospacing="1"/>
      <w:textAlignment w:val="baseline"/>
    </w:pPr>
  </w:style>
  <w:style w:type="paragraph" w:customStyle="1" w:styleId="align-top">
    <w:name w:val="align-top"/>
    <w:basedOn w:val="Normal"/>
    <w:pPr>
      <w:spacing w:before="100" w:beforeAutospacing="1" w:after="100" w:afterAutospacing="1"/>
      <w:textAlignment w:val="top"/>
    </w:pPr>
  </w:style>
  <w:style w:type="paragraph" w:customStyle="1" w:styleId="align-middle">
    <w:name w:val="align-middle"/>
    <w:basedOn w:val="Normal"/>
    <w:pPr>
      <w:spacing w:before="100" w:beforeAutospacing="1" w:after="100" w:afterAutospacing="1"/>
      <w:textAlignment w:val="center"/>
    </w:pPr>
  </w:style>
  <w:style w:type="paragraph" w:customStyle="1" w:styleId="align-bottom">
    <w:name w:val="align-bottom"/>
    <w:basedOn w:val="Normal"/>
    <w:pPr>
      <w:spacing w:before="100" w:beforeAutospacing="1" w:after="100" w:afterAutospacing="1"/>
      <w:textAlignment w:val="bottom"/>
    </w:pPr>
  </w:style>
  <w:style w:type="paragraph" w:customStyle="1" w:styleId="align-text-bottom">
    <w:name w:val="align-text-bottom"/>
    <w:basedOn w:val="Normal"/>
    <w:pPr>
      <w:spacing w:before="100" w:beforeAutospacing="1" w:after="100" w:afterAutospacing="1"/>
      <w:textAlignment w:val="bottom"/>
    </w:pPr>
  </w:style>
  <w:style w:type="paragraph" w:customStyle="1" w:styleId="align-text-top">
    <w:name w:val="align-text-top"/>
    <w:basedOn w:val="Normal"/>
    <w:pPr>
      <w:spacing w:before="100" w:beforeAutospacing="1" w:after="100" w:afterAutospacing="1"/>
      <w:textAlignment w:val="top"/>
    </w:pPr>
  </w:style>
  <w:style w:type="paragraph" w:customStyle="1" w:styleId="d-inline">
    <w:name w:val="d-inline"/>
    <w:basedOn w:val="Normal"/>
    <w:pPr>
      <w:spacing w:before="100" w:beforeAutospacing="1" w:after="100" w:afterAutospacing="1"/>
    </w:pPr>
  </w:style>
  <w:style w:type="paragraph" w:customStyle="1" w:styleId="d-block">
    <w:name w:val="d-block"/>
    <w:basedOn w:val="Normal"/>
    <w:pPr>
      <w:spacing w:before="100" w:beforeAutospacing="1" w:after="100" w:afterAutospacing="1"/>
    </w:pPr>
  </w:style>
  <w:style w:type="paragraph" w:customStyle="1" w:styleId="d-none">
    <w:name w:val="d-none"/>
    <w:basedOn w:val="Normal"/>
    <w:pPr>
      <w:spacing w:before="100" w:beforeAutospacing="1" w:after="100" w:afterAutospacing="1"/>
    </w:pPr>
    <w:rPr>
      <w:vanish/>
    </w:rPr>
  </w:style>
  <w:style w:type="paragraph" w:customStyle="1" w:styleId="border-0">
    <w:name w:val="border-0"/>
    <w:basedOn w:val="Normal"/>
    <w:pPr>
      <w:spacing w:before="100" w:beforeAutospacing="1" w:after="100" w:afterAutospacing="1"/>
    </w:pPr>
  </w:style>
  <w:style w:type="paragraph" w:customStyle="1" w:styleId="border-top-0">
    <w:name w:val="border-top-0"/>
    <w:basedOn w:val="Normal"/>
    <w:pPr>
      <w:spacing w:before="100" w:beforeAutospacing="1" w:after="100" w:afterAutospacing="1"/>
    </w:pPr>
  </w:style>
  <w:style w:type="paragraph" w:customStyle="1" w:styleId="border-end-0">
    <w:name w:val="border-end-0"/>
    <w:basedOn w:val="Normal"/>
    <w:pPr>
      <w:spacing w:before="100" w:beforeAutospacing="1" w:after="100" w:afterAutospacing="1"/>
    </w:pPr>
  </w:style>
  <w:style w:type="paragraph" w:customStyle="1" w:styleId="border-bottom-0">
    <w:name w:val="border-bottom-0"/>
    <w:basedOn w:val="Normal"/>
    <w:pPr>
      <w:spacing w:before="100" w:beforeAutospacing="1" w:after="100" w:afterAutospacing="1"/>
    </w:pPr>
  </w:style>
  <w:style w:type="paragraph" w:customStyle="1" w:styleId="border-start-0">
    <w:name w:val="border-start-0"/>
    <w:basedOn w:val="Normal"/>
    <w:pPr>
      <w:spacing w:before="100" w:beforeAutospacing="1" w:after="100" w:afterAutospacing="1"/>
    </w:pPr>
  </w:style>
  <w:style w:type="paragraph" w:customStyle="1" w:styleId="border-1">
    <w:name w:val="border-1"/>
    <w:basedOn w:val="Normal"/>
    <w:pPr>
      <w:spacing w:before="100" w:beforeAutospacing="1" w:after="100" w:afterAutospacing="1"/>
    </w:pPr>
  </w:style>
  <w:style w:type="paragraph" w:customStyle="1" w:styleId="border-2">
    <w:name w:val="border-2"/>
    <w:basedOn w:val="Normal"/>
    <w:pPr>
      <w:spacing w:before="100" w:beforeAutospacing="1" w:after="100" w:afterAutospacing="1"/>
    </w:pPr>
  </w:style>
  <w:style w:type="paragraph" w:customStyle="1" w:styleId="border-3">
    <w:name w:val="border-3"/>
    <w:basedOn w:val="Normal"/>
    <w:pPr>
      <w:spacing w:before="100" w:beforeAutospacing="1" w:after="100" w:afterAutospacing="1"/>
    </w:pPr>
  </w:style>
  <w:style w:type="paragraph" w:customStyle="1" w:styleId="border-4">
    <w:name w:val="border-4"/>
    <w:basedOn w:val="Normal"/>
    <w:pPr>
      <w:spacing w:before="100" w:beforeAutospacing="1" w:after="100" w:afterAutospacing="1"/>
    </w:pPr>
  </w:style>
  <w:style w:type="paragraph" w:customStyle="1" w:styleId="border-5">
    <w:name w:val="border-5"/>
    <w:basedOn w:val="Normal"/>
    <w:pPr>
      <w:spacing w:before="100" w:beforeAutospacing="1" w:after="100" w:afterAutospacing="1"/>
    </w:pPr>
  </w:style>
  <w:style w:type="paragraph" w:customStyle="1" w:styleId="w-25">
    <w:name w:val="w-25"/>
    <w:basedOn w:val="Normal"/>
    <w:pPr>
      <w:spacing w:before="100" w:beforeAutospacing="1" w:after="100" w:afterAutospacing="1"/>
    </w:pPr>
  </w:style>
  <w:style w:type="paragraph" w:customStyle="1" w:styleId="w-50">
    <w:name w:val="w-50"/>
    <w:basedOn w:val="Normal"/>
    <w:pPr>
      <w:spacing w:before="100" w:beforeAutospacing="1" w:after="100" w:afterAutospacing="1"/>
    </w:pPr>
  </w:style>
  <w:style w:type="paragraph" w:customStyle="1" w:styleId="w-75">
    <w:name w:val="w-75"/>
    <w:basedOn w:val="Normal"/>
    <w:pPr>
      <w:spacing w:before="100" w:beforeAutospacing="1" w:after="100" w:afterAutospacing="1"/>
    </w:pPr>
  </w:style>
  <w:style w:type="paragraph" w:customStyle="1" w:styleId="w-100">
    <w:name w:val="w-100"/>
    <w:basedOn w:val="Normal"/>
    <w:pPr>
      <w:spacing w:before="100" w:beforeAutospacing="1" w:after="100" w:afterAutospacing="1"/>
    </w:pPr>
  </w:style>
  <w:style w:type="paragraph" w:customStyle="1" w:styleId="w-auto">
    <w:name w:val="w-auto"/>
    <w:basedOn w:val="Normal"/>
    <w:pPr>
      <w:spacing w:before="100" w:beforeAutospacing="1" w:after="100" w:afterAutospacing="1"/>
    </w:pPr>
  </w:style>
  <w:style w:type="paragraph" w:customStyle="1" w:styleId="m-0">
    <w:name w:val="m-0"/>
    <w:basedOn w:val="Normal"/>
  </w:style>
  <w:style w:type="paragraph" w:customStyle="1" w:styleId="m-auto">
    <w:name w:val="m-auto"/>
    <w:basedOn w:val="Normal"/>
    <w:pPr>
      <w:spacing w:before="100" w:beforeAutospacing="1" w:after="100" w:afterAutospacing="1"/>
    </w:pPr>
  </w:style>
  <w:style w:type="paragraph" w:customStyle="1" w:styleId="mx-0">
    <w:name w:val="mx-0"/>
    <w:basedOn w:val="Normal"/>
    <w:pPr>
      <w:spacing w:before="100" w:beforeAutospacing="1" w:after="100" w:afterAutospacing="1"/>
    </w:pPr>
  </w:style>
  <w:style w:type="paragraph" w:customStyle="1" w:styleId="mx-auto">
    <w:name w:val="mx-auto"/>
    <w:basedOn w:val="Normal"/>
    <w:pPr>
      <w:spacing w:before="100" w:beforeAutospacing="1" w:after="100" w:afterAutospacing="1"/>
    </w:pPr>
  </w:style>
  <w:style w:type="paragraph" w:customStyle="1" w:styleId="my-0">
    <w:name w:val="my-0"/>
    <w:basedOn w:val="Normal"/>
  </w:style>
  <w:style w:type="paragraph" w:customStyle="1" w:styleId="my-auto">
    <w:name w:val="my-auto"/>
    <w:basedOn w:val="Normal"/>
    <w:pPr>
      <w:spacing w:before="100" w:beforeAutospacing="1" w:after="100" w:afterAutospacing="1"/>
    </w:pPr>
  </w:style>
  <w:style w:type="paragraph" w:customStyle="1" w:styleId="mt-0">
    <w:name w:val="mt-0"/>
    <w:basedOn w:val="Normal"/>
    <w:pPr>
      <w:spacing w:after="100" w:afterAutospacing="1"/>
    </w:pPr>
  </w:style>
  <w:style w:type="paragraph" w:customStyle="1" w:styleId="mt-auto">
    <w:name w:val="mt-auto"/>
    <w:basedOn w:val="Normal"/>
    <w:pPr>
      <w:spacing w:before="100" w:beforeAutospacing="1" w:after="100" w:afterAutospacing="1"/>
    </w:pPr>
  </w:style>
  <w:style w:type="paragraph" w:customStyle="1" w:styleId="me-0">
    <w:name w:val="me-0"/>
    <w:basedOn w:val="Normal"/>
    <w:pPr>
      <w:spacing w:before="100" w:beforeAutospacing="1" w:after="100" w:afterAutospacing="1"/>
    </w:pPr>
  </w:style>
  <w:style w:type="paragraph" w:customStyle="1" w:styleId="me-auto">
    <w:name w:val="me-auto"/>
    <w:basedOn w:val="Normal"/>
    <w:pPr>
      <w:spacing w:before="100" w:beforeAutospacing="1" w:after="100" w:afterAutospacing="1"/>
    </w:pPr>
  </w:style>
  <w:style w:type="paragraph" w:customStyle="1" w:styleId="mb-0">
    <w:name w:val="mb-0"/>
    <w:basedOn w:val="Normal"/>
    <w:pPr>
      <w:spacing w:before="100" w:beforeAutospacing="1"/>
    </w:pPr>
  </w:style>
  <w:style w:type="paragraph" w:customStyle="1" w:styleId="mb-auto">
    <w:name w:val="mb-auto"/>
    <w:basedOn w:val="Normal"/>
    <w:pPr>
      <w:spacing w:before="100" w:beforeAutospacing="1" w:after="100" w:afterAutospacing="1"/>
    </w:pPr>
  </w:style>
  <w:style w:type="paragraph" w:customStyle="1" w:styleId="ms-0">
    <w:name w:val="ms-0"/>
    <w:basedOn w:val="Normal"/>
    <w:pPr>
      <w:spacing w:before="100" w:beforeAutospacing="1" w:after="100" w:afterAutospacing="1"/>
    </w:pPr>
  </w:style>
  <w:style w:type="paragraph" w:customStyle="1" w:styleId="ms-auto">
    <w:name w:val="ms-auto"/>
    <w:basedOn w:val="Normal"/>
    <w:pPr>
      <w:spacing w:before="100" w:beforeAutospacing="1" w:after="100" w:afterAutospacing="1"/>
    </w:pPr>
  </w:style>
  <w:style w:type="paragraph" w:customStyle="1" w:styleId="p-0">
    <w:name w:val="p-0"/>
    <w:basedOn w:val="Normal"/>
    <w:pPr>
      <w:spacing w:before="100" w:beforeAutospacing="1" w:after="100" w:afterAutospacing="1"/>
    </w:pPr>
  </w:style>
  <w:style w:type="paragraph" w:customStyle="1" w:styleId="px-0">
    <w:name w:val="px-0"/>
    <w:basedOn w:val="Normal"/>
    <w:pPr>
      <w:spacing w:before="100" w:beforeAutospacing="1" w:after="100" w:afterAutospacing="1"/>
    </w:pPr>
  </w:style>
  <w:style w:type="paragraph" w:customStyle="1" w:styleId="py-0">
    <w:name w:val="py-0"/>
    <w:basedOn w:val="Normal"/>
    <w:pPr>
      <w:spacing w:before="100" w:beforeAutospacing="1" w:after="100" w:afterAutospacing="1"/>
    </w:pPr>
  </w:style>
  <w:style w:type="paragraph" w:customStyle="1" w:styleId="pt-0">
    <w:name w:val="pt-0"/>
    <w:basedOn w:val="Normal"/>
    <w:pPr>
      <w:spacing w:before="100" w:beforeAutospacing="1" w:after="100" w:afterAutospacing="1"/>
    </w:pPr>
  </w:style>
  <w:style w:type="paragraph" w:customStyle="1" w:styleId="pe-0">
    <w:name w:val="pe-0"/>
    <w:basedOn w:val="Normal"/>
    <w:pPr>
      <w:spacing w:before="100" w:beforeAutospacing="1" w:after="100" w:afterAutospacing="1"/>
    </w:pPr>
  </w:style>
  <w:style w:type="paragraph" w:customStyle="1" w:styleId="pb-0">
    <w:name w:val="pb-0"/>
    <w:basedOn w:val="Normal"/>
    <w:pPr>
      <w:spacing w:before="100" w:beforeAutospacing="1" w:after="100" w:afterAutospacing="1"/>
    </w:pPr>
  </w:style>
  <w:style w:type="paragraph" w:customStyle="1" w:styleId="ps-0">
    <w:name w:val="ps-0"/>
    <w:basedOn w:val="Normal"/>
    <w:pPr>
      <w:spacing w:before="100" w:beforeAutospacing="1" w:after="100" w:afterAutospacing="1"/>
    </w:pPr>
  </w:style>
  <w:style w:type="paragraph" w:customStyle="1" w:styleId="font-monospace">
    <w:name w:val="font-monospace"/>
    <w:basedOn w:val="Normal"/>
    <w:pPr>
      <w:spacing w:before="100" w:beforeAutospacing="1" w:after="100" w:afterAutospacing="1"/>
    </w:pPr>
    <w:rPr>
      <w:rFonts w:ascii="var(--bs-font-monospace)" w:hAnsi="var(--bs-font-monospace)"/>
    </w:rPr>
  </w:style>
  <w:style w:type="paragraph" w:customStyle="1" w:styleId="fst-italic">
    <w:name w:val="fst-italic"/>
    <w:basedOn w:val="Normal"/>
    <w:pPr>
      <w:spacing w:before="100" w:beforeAutospacing="1" w:after="100" w:afterAutospacing="1"/>
    </w:pPr>
    <w:rPr>
      <w:i/>
      <w:iCs/>
    </w:rPr>
  </w:style>
  <w:style w:type="paragraph" w:customStyle="1" w:styleId="fst-normal">
    <w:name w:val="fst-normal"/>
    <w:basedOn w:val="Normal"/>
    <w:pPr>
      <w:spacing w:before="100" w:beforeAutospacing="1" w:after="100" w:afterAutospacing="1"/>
    </w:pPr>
  </w:style>
  <w:style w:type="paragraph" w:customStyle="1" w:styleId="fw-lighter">
    <w:name w:val="fw-lighter"/>
    <w:basedOn w:val="Normal"/>
    <w:pPr>
      <w:spacing w:before="100" w:beforeAutospacing="1" w:after="100" w:afterAutospacing="1"/>
    </w:pPr>
  </w:style>
  <w:style w:type="paragraph" w:customStyle="1" w:styleId="fw-light">
    <w:name w:val="fw-light"/>
    <w:basedOn w:val="Normal"/>
    <w:pPr>
      <w:spacing w:before="100" w:beforeAutospacing="1" w:after="100" w:afterAutospacing="1"/>
    </w:pPr>
  </w:style>
  <w:style w:type="paragraph" w:customStyle="1" w:styleId="fw-normal">
    <w:name w:val="fw-normal"/>
    <w:basedOn w:val="Normal"/>
    <w:pPr>
      <w:spacing w:before="100" w:beforeAutospacing="1" w:after="100" w:afterAutospacing="1"/>
    </w:pPr>
  </w:style>
  <w:style w:type="paragraph" w:customStyle="1" w:styleId="fw-medium">
    <w:name w:val="fw-medium"/>
    <w:basedOn w:val="Normal"/>
    <w:pPr>
      <w:spacing w:before="100" w:beforeAutospacing="1" w:after="100" w:afterAutospacing="1"/>
    </w:pPr>
  </w:style>
  <w:style w:type="paragraph" w:customStyle="1" w:styleId="fw-semibold">
    <w:name w:val="fw-semibold"/>
    <w:basedOn w:val="Normal"/>
    <w:pPr>
      <w:spacing w:before="100" w:beforeAutospacing="1" w:after="100" w:afterAutospacing="1"/>
    </w:pPr>
    <w:rPr>
      <w:b/>
      <w:bCs/>
    </w:rPr>
  </w:style>
  <w:style w:type="paragraph" w:customStyle="1" w:styleId="fw-bold">
    <w:name w:val="fw-bold"/>
    <w:basedOn w:val="Normal"/>
    <w:pPr>
      <w:spacing w:before="100" w:beforeAutospacing="1" w:after="100" w:afterAutospacing="1"/>
    </w:pPr>
    <w:rPr>
      <w:b/>
      <w:bCs/>
    </w:rPr>
  </w:style>
  <w:style w:type="paragraph" w:customStyle="1" w:styleId="fw-bolder">
    <w:name w:val="fw-bolder"/>
    <w:basedOn w:val="Normal"/>
    <w:pPr>
      <w:spacing w:before="100" w:beforeAutospacing="1" w:after="100" w:afterAutospacing="1"/>
    </w:pPr>
    <w:rPr>
      <w:b/>
      <w:bCs/>
    </w:rPr>
  </w:style>
  <w:style w:type="paragraph" w:customStyle="1" w:styleId="lh-1">
    <w:name w:val="lh-1"/>
    <w:basedOn w:val="Normal"/>
    <w:pPr>
      <w:spacing w:before="100" w:beforeAutospacing="1" w:after="100" w:afterAutospacing="1"/>
    </w:pPr>
  </w:style>
  <w:style w:type="paragraph" w:customStyle="1" w:styleId="lh-sm">
    <w:name w:val="lh-sm"/>
    <w:basedOn w:val="Normal"/>
    <w:pPr>
      <w:spacing w:before="100" w:beforeAutospacing="1" w:after="100" w:afterAutospacing="1"/>
    </w:pPr>
  </w:style>
  <w:style w:type="paragraph" w:customStyle="1" w:styleId="lh-base">
    <w:name w:val="lh-base"/>
    <w:basedOn w:val="Normal"/>
    <w:pPr>
      <w:spacing w:before="100" w:beforeAutospacing="1" w:after="100" w:afterAutospacing="1"/>
    </w:pPr>
  </w:style>
  <w:style w:type="paragraph" w:customStyle="1" w:styleId="lh-lg">
    <w:name w:val="lh-lg"/>
    <w:basedOn w:val="Normal"/>
    <w:pPr>
      <w:spacing w:before="100" w:beforeAutospacing="1" w:after="100" w:afterAutospacing="1" w:line="480" w:lineRule="auto"/>
    </w:pPr>
  </w:style>
  <w:style w:type="paragraph" w:customStyle="1" w:styleId="text-start">
    <w:name w:val="text-start"/>
    <w:basedOn w:val="Normal"/>
    <w:pPr>
      <w:spacing w:before="100" w:beforeAutospacing="1" w:after="100" w:afterAutospacing="1"/>
    </w:pPr>
  </w:style>
  <w:style w:type="paragraph" w:customStyle="1" w:styleId="text-end">
    <w:name w:val="text-end"/>
    <w:basedOn w:val="Normal"/>
    <w:pPr>
      <w:spacing w:before="100" w:beforeAutospacing="1" w:after="100" w:afterAutospacing="1"/>
      <w:jc w:val="right"/>
    </w:pPr>
  </w:style>
  <w:style w:type="paragraph" w:customStyle="1" w:styleId="text-center">
    <w:name w:val="text-center"/>
    <w:basedOn w:val="Normal"/>
    <w:pPr>
      <w:spacing w:before="100" w:beforeAutospacing="1" w:after="100" w:afterAutospacing="1"/>
      <w:jc w:val="center"/>
    </w:pPr>
  </w:style>
  <w:style w:type="paragraph" w:customStyle="1" w:styleId="text-decoration-none">
    <w:name w:val="text-decoration-none"/>
    <w:basedOn w:val="Normal"/>
    <w:pPr>
      <w:spacing w:before="100" w:beforeAutospacing="1" w:after="100" w:afterAutospacing="1"/>
    </w:pPr>
  </w:style>
  <w:style w:type="paragraph" w:customStyle="1" w:styleId="text-decoration-underline">
    <w:name w:val="text-decoration-underline"/>
    <w:basedOn w:val="Normal"/>
    <w:pPr>
      <w:spacing w:before="100" w:beforeAutospacing="1" w:after="100" w:afterAutospacing="1"/>
    </w:pPr>
    <w:rPr>
      <w:u w:val="single"/>
    </w:rPr>
  </w:style>
  <w:style w:type="paragraph" w:customStyle="1" w:styleId="text-decoration-line-through">
    <w:name w:val="text-decoration-line-through"/>
    <w:basedOn w:val="Normal"/>
    <w:pPr>
      <w:spacing w:before="100" w:beforeAutospacing="1" w:after="100" w:afterAutospacing="1"/>
    </w:pPr>
    <w:rPr>
      <w:strike/>
    </w:rPr>
  </w:style>
  <w:style w:type="paragraph" w:customStyle="1" w:styleId="text-uppercase">
    <w:name w:val="text-uppercase"/>
    <w:basedOn w:val="Normal"/>
    <w:pPr>
      <w:spacing w:before="100" w:beforeAutospacing="1" w:after="100" w:afterAutospacing="1"/>
    </w:pPr>
    <w:rPr>
      <w:caps/>
    </w:rPr>
  </w:style>
  <w:style w:type="paragraph" w:customStyle="1" w:styleId="text-wrap">
    <w:name w:val="text-wrap"/>
    <w:basedOn w:val="Normal"/>
    <w:pPr>
      <w:spacing w:before="100" w:beforeAutospacing="1" w:after="100" w:afterAutospacing="1"/>
    </w:pPr>
  </w:style>
  <w:style w:type="paragraph" w:customStyle="1" w:styleId="text-nowrap">
    <w:name w:val="text-nowrap"/>
    <w:basedOn w:val="Normal"/>
    <w:pPr>
      <w:spacing w:before="100" w:beforeAutospacing="1" w:after="100" w:afterAutospacing="1"/>
    </w:pPr>
  </w:style>
  <w:style w:type="paragraph" w:customStyle="1" w:styleId="hidden">
    <w:name w:val="hidden"/>
    <w:basedOn w:val="Normal"/>
    <w:pPr>
      <w:spacing w:before="100" w:beforeAutospacing="1" w:after="100" w:afterAutospacing="1"/>
    </w:pPr>
    <w:rPr>
      <w:vanish/>
    </w:rPr>
  </w:style>
  <w:style w:type="paragraph" w:customStyle="1" w:styleId="code-annotation-container-hidden">
    <w:name w:val="code-annotation-container-hidden"/>
    <w:basedOn w:val="Normal"/>
    <w:pPr>
      <w:spacing w:before="100" w:beforeAutospacing="1" w:after="100" w:afterAutospacing="1"/>
    </w:pPr>
    <w:rPr>
      <w:vanish/>
    </w:rPr>
  </w:style>
  <w:style w:type="paragraph" w:customStyle="1" w:styleId="offcanvas">
    <w:name w:val="offcanvas"/>
    <w:basedOn w:val="Normal"/>
    <w:pPr>
      <w:spacing w:before="100" w:beforeAutospacing="1" w:after="100" w:afterAutospacing="1"/>
    </w:pPr>
  </w:style>
  <w:style w:type="paragraph" w:customStyle="1" w:styleId="html-widget">
    <w:name w:val="html-widget"/>
    <w:basedOn w:val="Normal"/>
    <w:pPr>
      <w:spacing w:before="100" w:beforeAutospacing="1" w:after="100" w:afterAutospacing="1"/>
    </w:pPr>
  </w:style>
  <w:style w:type="character" w:customStyle="1" w:styleId="smallcaps">
    <w:name w:val="smallcaps"/>
    <w:basedOn w:val="DefaultParagraphFont"/>
    <w:rPr>
      <w:smallCaps/>
    </w:rPr>
  </w:style>
  <w:style w:type="character" w:customStyle="1" w:styleId="al">
    <w:name w:val="al"/>
    <w:basedOn w:val="DefaultParagraphFont"/>
  </w:style>
  <w:style w:type="character" w:customStyle="1" w:styleId="an">
    <w:name w:val="an"/>
    <w:basedOn w:val="DefaultParagraphFont"/>
  </w:style>
  <w:style w:type="character" w:customStyle="1" w:styleId="at">
    <w:name w:val="at"/>
    <w:basedOn w:val="DefaultParagraphFont"/>
  </w:style>
  <w:style w:type="character" w:customStyle="1" w:styleId="bn">
    <w:name w:val="bn"/>
    <w:basedOn w:val="DefaultParagraphFont"/>
  </w:style>
  <w:style w:type="character" w:customStyle="1" w:styleId="cf">
    <w:name w:val="cf"/>
    <w:basedOn w:val="DefaultParagraphFont"/>
  </w:style>
  <w:style w:type="character" w:customStyle="1" w:styleId="ch">
    <w:name w:val="ch"/>
    <w:basedOn w:val="DefaultParagraphFont"/>
  </w:style>
  <w:style w:type="character" w:customStyle="1" w:styleId="cn">
    <w:name w:val="cn"/>
    <w:basedOn w:val="DefaultParagraphFont"/>
  </w:style>
  <w:style w:type="character" w:customStyle="1" w:styleId="co">
    <w:name w:val="co"/>
    <w:basedOn w:val="DefaultParagraphFont"/>
  </w:style>
  <w:style w:type="character" w:customStyle="1" w:styleId="cv">
    <w:name w:val="cv"/>
    <w:basedOn w:val="DefaultParagraphFont"/>
  </w:style>
  <w:style w:type="character" w:customStyle="1" w:styleId="do">
    <w:name w:val="do"/>
    <w:basedOn w:val="DefaultParagraphFont"/>
  </w:style>
  <w:style w:type="character" w:customStyle="1" w:styleId="dt">
    <w:name w:val="dt"/>
    <w:basedOn w:val="DefaultParagraphFont"/>
  </w:style>
  <w:style w:type="character" w:customStyle="1" w:styleId="dv">
    <w:name w:val="dv"/>
    <w:basedOn w:val="DefaultParagraphFont"/>
  </w:style>
  <w:style w:type="character" w:customStyle="1" w:styleId="er">
    <w:name w:val="er"/>
    <w:basedOn w:val="DefaultParagraphFont"/>
  </w:style>
  <w:style w:type="character" w:customStyle="1" w:styleId="fl">
    <w:name w:val="fl"/>
    <w:basedOn w:val="DefaultParagraphFont"/>
  </w:style>
  <w:style w:type="character" w:customStyle="1" w:styleId="fu">
    <w:name w:val="fu"/>
    <w:basedOn w:val="DefaultParagraphFont"/>
  </w:style>
  <w:style w:type="character" w:customStyle="1" w:styleId="im">
    <w:name w:val="im"/>
    <w:basedOn w:val="DefaultParagraphFont"/>
  </w:style>
  <w:style w:type="character" w:customStyle="1" w:styleId="in">
    <w:name w:val="in"/>
    <w:basedOn w:val="DefaultParagraphFont"/>
  </w:style>
  <w:style w:type="character" w:customStyle="1" w:styleId="kw">
    <w:name w:val="kw"/>
    <w:basedOn w:val="DefaultParagraphFont"/>
  </w:style>
  <w:style w:type="character" w:customStyle="1" w:styleId="op">
    <w:name w:val="op"/>
    <w:basedOn w:val="DefaultParagraphFont"/>
  </w:style>
  <w:style w:type="character" w:customStyle="1" w:styleId="ot">
    <w:name w:val="ot"/>
    <w:basedOn w:val="DefaultParagraphFont"/>
  </w:style>
  <w:style w:type="character" w:customStyle="1" w:styleId="pp">
    <w:name w:val="pp"/>
    <w:basedOn w:val="DefaultParagraphFont"/>
  </w:style>
  <w:style w:type="character" w:customStyle="1" w:styleId="sc">
    <w:name w:val="sc"/>
    <w:basedOn w:val="DefaultParagraphFont"/>
  </w:style>
  <w:style w:type="character" w:customStyle="1" w:styleId="ss">
    <w:name w:val="ss"/>
    <w:basedOn w:val="DefaultParagraphFont"/>
  </w:style>
  <w:style w:type="character" w:customStyle="1" w:styleId="st">
    <w:name w:val="st"/>
    <w:basedOn w:val="DefaultParagraphFont"/>
  </w:style>
  <w:style w:type="character" w:customStyle="1" w:styleId="va">
    <w:name w:val="va"/>
    <w:basedOn w:val="DefaultParagraphFont"/>
  </w:style>
  <w:style w:type="character" w:customStyle="1" w:styleId="vs">
    <w:name w:val="vs"/>
    <w:basedOn w:val="DefaultParagraphFont"/>
  </w:style>
  <w:style w:type="character" w:customStyle="1" w:styleId="wa">
    <w:name w:val="wa"/>
    <w:basedOn w:val="DefaultParagraphFont"/>
  </w:style>
  <w:style w:type="character" w:customStyle="1" w:styleId="al1">
    <w:name w:val="al1"/>
    <w:basedOn w:val="DefaultParagraphFont"/>
    <w:rPr>
      <w:color w:val="AD0000"/>
    </w:rPr>
  </w:style>
  <w:style w:type="character" w:customStyle="1" w:styleId="an1">
    <w:name w:val="an1"/>
    <w:basedOn w:val="DefaultParagraphFont"/>
    <w:rPr>
      <w:color w:val="5E5E5E"/>
    </w:rPr>
  </w:style>
  <w:style w:type="character" w:customStyle="1" w:styleId="at1">
    <w:name w:val="at1"/>
    <w:basedOn w:val="DefaultParagraphFont"/>
    <w:rPr>
      <w:color w:val="657422"/>
    </w:rPr>
  </w:style>
  <w:style w:type="character" w:customStyle="1" w:styleId="bn1">
    <w:name w:val="bn1"/>
    <w:basedOn w:val="DefaultParagraphFont"/>
    <w:rPr>
      <w:color w:val="AD0000"/>
    </w:rPr>
  </w:style>
  <w:style w:type="character" w:customStyle="1" w:styleId="cf1">
    <w:name w:val="cf1"/>
    <w:basedOn w:val="DefaultParagraphFont"/>
    <w:rPr>
      <w:b/>
      <w:bCs/>
      <w:color w:val="003B4F"/>
    </w:rPr>
  </w:style>
  <w:style w:type="character" w:customStyle="1" w:styleId="ch1">
    <w:name w:val="ch1"/>
    <w:basedOn w:val="DefaultParagraphFont"/>
    <w:rPr>
      <w:color w:val="20794D"/>
    </w:rPr>
  </w:style>
  <w:style w:type="character" w:customStyle="1" w:styleId="cn1">
    <w:name w:val="cn1"/>
    <w:basedOn w:val="DefaultParagraphFont"/>
    <w:rPr>
      <w:color w:val="8F5902"/>
    </w:rPr>
  </w:style>
  <w:style w:type="character" w:customStyle="1" w:styleId="co1">
    <w:name w:val="co1"/>
    <w:basedOn w:val="DefaultParagraphFont"/>
    <w:rPr>
      <w:color w:val="5E5E5E"/>
    </w:rPr>
  </w:style>
  <w:style w:type="character" w:customStyle="1" w:styleId="cv1">
    <w:name w:val="cv1"/>
    <w:basedOn w:val="DefaultParagraphFont"/>
    <w:rPr>
      <w:i/>
      <w:iCs/>
      <w:color w:val="5E5E5E"/>
    </w:rPr>
  </w:style>
  <w:style w:type="character" w:customStyle="1" w:styleId="do1">
    <w:name w:val="do1"/>
    <w:basedOn w:val="DefaultParagraphFont"/>
    <w:rPr>
      <w:i/>
      <w:iCs/>
      <w:color w:val="5E5E5E"/>
    </w:rPr>
  </w:style>
  <w:style w:type="character" w:customStyle="1" w:styleId="dt1">
    <w:name w:val="dt1"/>
    <w:basedOn w:val="DefaultParagraphFont"/>
    <w:rPr>
      <w:color w:val="AD0000"/>
    </w:rPr>
  </w:style>
  <w:style w:type="character" w:customStyle="1" w:styleId="dv1">
    <w:name w:val="dv1"/>
    <w:basedOn w:val="DefaultParagraphFont"/>
    <w:rPr>
      <w:color w:val="AD0000"/>
    </w:rPr>
  </w:style>
  <w:style w:type="character" w:customStyle="1" w:styleId="er1">
    <w:name w:val="er1"/>
    <w:basedOn w:val="DefaultParagraphFont"/>
    <w:rPr>
      <w:color w:val="AD0000"/>
    </w:rPr>
  </w:style>
  <w:style w:type="character" w:customStyle="1" w:styleId="fl1">
    <w:name w:val="fl1"/>
    <w:basedOn w:val="DefaultParagraphFont"/>
    <w:rPr>
      <w:color w:val="AD0000"/>
    </w:rPr>
  </w:style>
  <w:style w:type="character" w:customStyle="1" w:styleId="fu1">
    <w:name w:val="fu1"/>
    <w:basedOn w:val="DefaultParagraphFont"/>
    <w:rPr>
      <w:color w:val="4758AB"/>
    </w:rPr>
  </w:style>
  <w:style w:type="character" w:customStyle="1" w:styleId="im1">
    <w:name w:val="im1"/>
    <w:basedOn w:val="DefaultParagraphFont"/>
    <w:rPr>
      <w:color w:val="00769E"/>
    </w:rPr>
  </w:style>
  <w:style w:type="character" w:customStyle="1" w:styleId="in1">
    <w:name w:val="in1"/>
    <w:basedOn w:val="DefaultParagraphFont"/>
    <w:rPr>
      <w:color w:val="5E5E5E"/>
    </w:rPr>
  </w:style>
  <w:style w:type="character" w:customStyle="1" w:styleId="kw1">
    <w:name w:val="kw1"/>
    <w:basedOn w:val="DefaultParagraphFont"/>
    <w:rPr>
      <w:b/>
      <w:bCs/>
      <w:color w:val="003B4F"/>
    </w:rPr>
  </w:style>
  <w:style w:type="character" w:customStyle="1" w:styleId="op1">
    <w:name w:val="op1"/>
    <w:basedOn w:val="DefaultParagraphFont"/>
    <w:rPr>
      <w:color w:val="5E5E5E"/>
    </w:rPr>
  </w:style>
  <w:style w:type="character" w:customStyle="1" w:styleId="ot1">
    <w:name w:val="ot1"/>
    <w:basedOn w:val="DefaultParagraphFont"/>
    <w:rPr>
      <w:color w:val="003B4F"/>
    </w:rPr>
  </w:style>
  <w:style w:type="character" w:customStyle="1" w:styleId="pp1">
    <w:name w:val="pp1"/>
    <w:basedOn w:val="DefaultParagraphFont"/>
    <w:rPr>
      <w:color w:val="AD0000"/>
    </w:rPr>
  </w:style>
  <w:style w:type="character" w:customStyle="1" w:styleId="sc1">
    <w:name w:val="sc1"/>
    <w:basedOn w:val="DefaultParagraphFont"/>
    <w:rPr>
      <w:color w:val="5E5E5E"/>
    </w:rPr>
  </w:style>
  <w:style w:type="character" w:customStyle="1" w:styleId="ss1">
    <w:name w:val="ss1"/>
    <w:basedOn w:val="DefaultParagraphFont"/>
    <w:rPr>
      <w:color w:val="20794D"/>
    </w:rPr>
  </w:style>
  <w:style w:type="character" w:customStyle="1" w:styleId="st1">
    <w:name w:val="st1"/>
    <w:basedOn w:val="DefaultParagraphFont"/>
    <w:rPr>
      <w:color w:val="20794D"/>
    </w:rPr>
  </w:style>
  <w:style w:type="character" w:customStyle="1" w:styleId="va1">
    <w:name w:val="va1"/>
    <w:basedOn w:val="DefaultParagraphFont"/>
    <w:rPr>
      <w:color w:val="111111"/>
    </w:rPr>
  </w:style>
  <w:style w:type="character" w:customStyle="1" w:styleId="vs1">
    <w:name w:val="vs1"/>
    <w:basedOn w:val="DefaultParagraphFont"/>
    <w:rPr>
      <w:color w:val="20794D"/>
    </w:rPr>
  </w:style>
  <w:style w:type="character" w:customStyle="1" w:styleId="wa1">
    <w:name w:val="wa1"/>
    <w:basedOn w:val="DefaultParagraphFont"/>
    <w:rPr>
      <w:i/>
      <w:iCs/>
      <w:color w:val="5E5E5E"/>
    </w:rPr>
  </w:style>
  <w:style w:type="paragraph" w:customStyle="1" w:styleId="dark-content1">
    <w:name w:val="dark-content1"/>
    <w:basedOn w:val="Normal"/>
    <w:pPr>
      <w:spacing w:after="100" w:afterAutospacing="1"/>
    </w:pPr>
    <w:rPr>
      <w:vanish/>
    </w:rPr>
  </w:style>
  <w:style w:type="paragraph" w:customStyle="1" w:styleId="light-content1">
    <w:name w:val="light-content1"/>
    <w:basedOn w:val="Normal"/>
    <w:pPr>
      <w:spacing w:after="100" w:afterAutospacing="1"/>
    </w:pPr>
    <w:rPr>
      <w:vanish/>
    </w:rPr>
  </w:style>
  <w:style w:type="paragraph" w:customStyle="1" w:styleId="checkbox1">
    <w:name w:val="checkbox1"/>
    <w:basedOn w:val="Normal"/>
    <w:pPr>
      <w:spacing w:after="100" w:afterAutospacing="1"/>
    </w:pPr>
  </w:style>
  <w:style w:type="paragraph" w:customStyle="1" w:styleId="radio1">
    <w:name w:val="radio1"/>
    <w:basedOn w:val="Normal"/>
    <w:pPr>
      <w:spacing w:after="100" w:afterAutospacing="1"/>
    </w:pPr>
  </w:style>
  <w:style w:type="paragraph" w:customStyle="1" w:styleId="form-check-input1">
    <w:name w:val="form-check-input1"/>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2">
    <w:name w:val="form-check-input2"/>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3">
    <w:name w:val="form-check-input3"/>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4">
    <w:name w:val="form-check-input4"/>
    <w:basedOn w:val="Normal"/>
    <w:pPr>
      <w:pBdr>
        <w:top w:val="single" w:sz="6" w:space="0" w:color="E1E1E1"/>
        <w:left w:val="single" w:sz="6" w:space="0" w:color="E1E1E1"/>
        <w:bottom w:val="single" w:sz="6" w:space="0" w:color="E1E1E1"/>
        <w:right w:val="single" w:sz="6" w:space="0" w:color="E1E1E1"/>
      </w:pBdr>
      <w:spacing w:before="60" w:after="100" w:afterAutospacing="1"/>
      <w:textAlignment w:val="top"/>
    </w:pPr>
  </w:style>
  <w:style w:type="paragraph" w:customStyle="1" w:styleId="form-check-input5">
    <w:name w:val="form-check-input5"/>
    <w:basedOn w:val="Normal"/>
    <w:pPr>
      <w:pBdr>
        <w:top w:val="single" w:sz="6" w:space="0" w:color="E1E1E1"/>
        <w:left w:val="single" w:sz="6" w:space="0" w:color="E1E1E1"/>
        <w:bottom w:val="single" w:sz="6" w:space="0" w:color="E1E1E1"/>
        <w:right w:val="single" w:sz="6" w:space="0" w:color="E1E1E1"/>
      </w:pBdr>
      <w:spacing w:before="60" w:after="100" w:afterAutospacing="1"/>
      <w:ind w:left="-600"/>
      <w:textAlignment w:val="top"/>
    </w:pPr>
  </w:style>
  <w:style w:type="paragraph" w:customStyle="1" w:styleId="dropdown-menudata-bs-popper1">
    <w:name w:val="dropdown-menu[data-bs-popper]1"/>
    <w:basedOn w:val="Normal"/>
    <w:pPr>
      <w:spacing w:after="100" w:afterAutospacing="1"/>
    </w:pPr>
  </w:style>
  <w:style w:type="paragraph" w:customStyle="1" w:styleId="dropdown-menudata-bs-popper2">
    <w:name w:val="dropdown-menu[data-bs-popper]2"/>
    <w:basedOn w:val="Normal"/>
    <w:pPr>
      <w:spacing w:after="100" w:afterAutospacing="1"/>
    </w:pPr>
  </w:style>
  <w:style w:type="paragraph" w:customStyle="1" w:styleId="dropdown-menudata-bs-popper3">
    <w:name w:val="dropdown-menu[data-bs-popper]3"/>
    <w:basedOn w:val="Normal"/>
    <w:pPr>
      <w:spacing w:after="100" w:afterAutospacing="1"/>
    </w:pPr>
  </w:style>
  <w:style w:type="paragraph" w:customStyle="1" w:styleId="input-group1">
    <w:name w:val="input-group1"/>
    <w:basedOn w:val="Normal"/>
    <w:pPr>
      <w:spacing w:after="100" w:afterAutospacing="1"/>
    </w:pPr>
  </w:style>
  <w:style w:type="paragraph" w:customStyle="1" w:styleId="nav-link1">
    <w:name w:val="nav-link1"/>
    <w:basedOn w:val="Normal"/>
    <w:pPr>
      <w:spacing w:after="100" w:afterAutospacing="1"/>
    </w:pPr>
  </w:style>
  <w:style w:type="paragraph" w:customStyle="1" w:styleId="nav-link2">
    <w:name w:val="nav-link2"/>
    <w:basedOn w:val="Normal"/>
    <w:pPr>
      <w:spacing w:after="100" w:afterAutospacing="1"/>
    </w:pPr>
  </w:style>
  <w:style w:type="paragraph" w:customStyle="1" w:styleId="nav-link3">
    <w:name w:val="nav-link3"/>
    <w:basedOn w:val="Normal"/>
    <w:pPr>
      <w:spacing w:after="100" w:afterAutospacing="1"/>
    </w:pPr>
  </w:style>
  <w:style w:type="paragraph" w:customStyle="1" w:styleId="navbar-toggler1">
    <w:name w:val="navbar-toggler1"/>
    <w:basedOn w:val="Normal"/>
    <w:pPr>
      <w:spacing w:after="100" w:afterAutospacing="1"/>
    </w:pPr>
    <w:rPr>
      <w:vanish/>
    </w:rPr>
  </w:style>
  <w:style w:type="paragraph" w:customStyle="1" w:styleId="offcanvas1">
    <w:name w:val="offcanvas1"/>
    <w:basedOn w:val="Normal"/>
    <w:pPr>
      <w:spacing w:after="100" w:afterAutospacing="1"/>
    </w:pPr>
  </w:style>
  <w:style w:type="paragraph" w:customStyle="1" w:styleId="offcanvas-header1">
    <w:name w:val="offcanvas-header1"/>
    <w:basedOn w:val="Normal"/>
    <w:pPr>
      <w:spacing w:after="100" w:afterAutospacing="1"/>
    </w:pPr>
    <w:rPr>
      <w:vanish/>
    </w:rPr>
  </w:style>
  <w:style w:type="paragraph" w:customStyle="1" w:styleId="offcanvas-body1">
    <w:name w:val="offcanvas-body1"/>
    <w:basedOn w:val="Normal"/>
    <w:pPr>
      <w:spacing w:after="100" w:afterAutospacing="1"/>
    </w:pPr>
  </w:style>
  <w:style w:type="paragraph" w:customStyle="1" w:styleId="accordion-collapse1">
    <w:name w:val="accordion-collapse1"/>
    <w:basedOn w:val="Normal"/>
    <w:pPr>
      <w:spacing w:after="100" w:afterAutospacing="1"/>
    </w:pPr>
  </w:style>
  <w:style w:type="paragraph" w:customStyle="1" w:styleId="accordion-item1">
    <w:name w:val="accordion-item1"/>
    <w:basedOn w:val="Normal"/>
    <w:pPr>
      <w:spacing w:after="100" w:afterAutospacing="1"/>
    </w:pPr>
  </w:style>
  <w:style w:type="paragraph" w:customStyle="1" w:styleId="modal-content1">
    <w:name w:val="modal-content1"/>
    <w:basedOn w:val="Normal"/>
    <w:pPr>
      <w:spacing w:after="100" w:afterAutospacing="1"/>
    </w:pPr>
  </w:style>
  <w:style w:type="paragraph" w:customStyle="1" w:styleId="tooltip-arrow1">
    <w:name w:val="tooltip-arrow1"/>
    <w:basedOn w:val="Normal"/>
    <w:pPr>
      <w:spacing w:after="100" w:afterAutospacing="1"/>
    </w:pPr>
  </w:style>
  <w:style w:type="paragraph" w:customStyle="1" w:styleId="popover-arrow1">
    <w:name w:val="popover-arrow1"/>
    <w:basedOn w:val="Normal"/>
    <w:pPr>
      <w:spacing w:after="100" w:afterAutospacing="1"/>
    </w:pPr>
  </w:style>
  <w:style w:type="paragraph" w:customStyle="1" w:styleId="carousel-caption1">
    <w:name w:val="carousel-caption1"/>
    <w:basedOn w:val="Normal"/>
    <w:pPr>
      <w:spacing w:after="100" w:afterAutospacing="1"/>
      <w:jc w:val="center"/>
    </w:pPr>
    <w:rPr>
      <w:color w:val="000000"/>
    </w:rPr>
  </w:style>
  <w:style w:type="paragraph" w:customStyle="1" w:styleId="value-box-area1">
    <w:name w:val="value-box-area1"/>
    <w:basedOn w:val="Normal"/>
    <w:pPr>
      <w:spacing w:after="100" w:afterAutospacing="1"/>
    </w:pPr>
  </w:style>
  <w:style w:type="paragraph" w:customStyle="1" w:styleId="value-box-title1">
    <w:name w:val="value-box-title1"/>
    <w:basedOn w:val="Normal"/>
    <w:pPr>
      <w:spacing w:after="100" w:afterAutospacing="1"/>
    </w:pPr>
  </w:style>
  <w:style w:type="paragraph" w:customStyle="1" w:styleId="value-box-value1">
    <w:name w:val="value-box-value1"/>
    <w:basedOn w:val="Normal"/>
    <w:pPr>
      <w:spacing w:after="100" w:afterAutospacing="1"/>
    </w:pPr>
  </w:style>
  <w:style w:type="paragraph" w:customStyle="1" w:styleId="value-box-showcase1">
    <w:name w:val="value-box-showcase1"/>
    <w:basedOn w:val="Normal"/>
    <w:pPr>
      <w:spacing w:before="100" w:beforeAutospacing="1" w:after="100" w:afterAutospacing="1"/>
    </w:pPr>
  </w:style>
  <w:style w:type="paragraph" w:customStyle="1" w:styleId="form-group1">
    <w:name w:val="form-group1"/>
    <w:basedOn w:val="Normal"/>
  </w:style>
  <w:style w:type="paragraph" w:customStyle="1" w:styleId="selectize-control1">
    <w:name w:val="selectize-control1"/>
    <w:basedOn w:val="Normal"/>
  </w:style>
  <w:style w:type="paragraph" w:customStyle="1" w:styleId="card-footer1">
    <w:name w:val="card-footer1"/>
    <w:basedOn w:val="Normal"/>
    <w:pPr>
      <w:spacing w:before="100" w:beforeAutospacing="1" w:after="100" w:afterAutospacing="1"/>
    </w:pPr>
  </w:style>
  <w:style w:type="paragraph" w:customStyle="1" w:styleId="nav1">
    <w:name w:val="nav1"/>
    <w:basedOn w:val="Normal"/>
  </w:style>
  <w:style w:type="paragraph" w:customStyle="1" w:styleId="accordion-header1">
    <w:name w:val="accordion-header1"/>
    <w:basedOn w:val="Normal"/>
  </w:style>
  <w:style w:type="paragraph" w:customStyle="1" w:styleId="sidebar-title1">
    <w:name w:val="sidebar-title1"/>
    <w:basedOn w:val="Normal"/>
    <w:pPr>
      <w:spacing w:after="100" w:afterAutospacing="1"/>
    </w:pPr>
  </w:style>
  <w:style w:type="paragraph" w:customStyle="1" w:styleId="html-widget1">
    <w:name w:val="html-widget1"/>
    <w:basedOn w:val="Normal"/>
    <w:pPr>
      <w:spacing w:after="100" w:afterAutospacing="1"/>
    </w:pPr>
  </w:style>
  <w:style w:type="paragraph" w:customStyle="1" w:styleId="abstract-title1">
    <w:name w:val="abstract-title1"/>
    <w:basedOn w:val="Normal"/>
    <w:pPr>
      <w:spacing w:after="100" w:afterAutospacing="1"/>
    </w:pPr>
    <w:rPr>
      <w:b/>
      <w:bCs/>
    </w:rPr>
  </w:style>
  <w:style w:type="paragraph" w:customStyle="1" w:styleId="quarto-title-blockdivbutton1">
    <w:name w:val="quarto-title-block&gt;div&gt;button1"/>
    <w:basedOn w:val="Normal"/>
    <w:pPr>
      <w:spacing w:after="100" w:afterAutospacing="1"/>
    </w:pPr>
  </w:style>
  <w:style w:type="paragraph" w:customStyle="1" w:styleId="footnote-back1">
    <w:name w:val="footnote-back1"/>
    <w:basedOn w:val="Normal"/>
    <w:pPr>
      <w:spacing w:after="100" w:afterAutospacing="1"/>
      <w:ind w:left="48"/>
    </w:pPr>
    <w:rPr>
      <w:vanish/>
    </w:rPr>
  </w:style>
  <w:style w:type="paragraph" w:customStyle="1" w:styleId="widget-subarea1">
    <w:name w:val="widget-subarea1"/>
    <w:basedOn w:val="Normal"/>
    <w:pPr>
      <w:spacing w:after="240"/>
    </w:pPr>
  </w:style>
  <w:style w:type="paragraph" w:customStyle="1" w:styleId="tab-content1">
    <w:name w:val="tab-content1"/>
    <w:basedOn w:val="Normal"/>
    <w:pPr>
      <w:spacing w:after="240"/>
    </w:pPr>
  </w:style>
  <w:style w:type="paragraph" w:customStyle="1" w:styleId="column-screen-inset-shaded1">
    <w:name w:val="column-screen-inset-shaded1"/>
    <w:basedOn w:val="Normal"/>
    <w:pPr>
      <w:shd w:val="clear" w:color="auto" w:fill="F8F9FA"/>
      <w:spacing w:after="240"/>
    </w:pPr>
  </w:style>
  <w:style w:type="paragraph" w:customStyle="1" w:styleId="nav-item1">
    <w:name w:val="nav-item1"/>
    <w:basedOn w:val="Normal"/>
    <w:pPr>
      <w:spacing w:before="15" w:after="100" w:afterAutospacing="1"/>
    </w:pPr>
  </w:style>
  <w:style w:type="paragraph" w:customStyle="1" w:styleId="h21">
    <w:name w:val="h21"/>
    <w:basedOn w:val="Normal"/>
    <w:pPr>
      <w:spacing w:after="100" w:afterAutospacing="1"/>
    </w:pPr>
    <w:rPr>
      <w:b/>
      <w:bCs/>
    </w:rPr>
  </w:style>
  <w:style w:type="paragraph" w:customStyle="1" w:styleId="cell-decorator1">
    <w:name w:val="cell-decorator1"/>
    <w:basedOn w:val="Normal"/>
    <w:pPr>
      <w:spacing w:after="100" w:afterAutospacing="1"/>
      <w:jc w:val="right"/>
    </w:pPr>
  </w:style>
  <w:style w:type="paragraph" w:customStyle="1" w:styleId="quarto-sidebar-toggle-title1">
    <w:name w:val="quarto-sidebar-toggle-title1"/>
    <w:basedOn w:val="Normal"/>
    <w:pPr>
      <w:spacing w:after="100" w:afterAutospacing="1"/>
      <w:ind w:left="60"/>
      <w:jc w:val="center"/>
    </w:pPr>
    <w:rPr>
      <w:color w:val="373A3C"/>
      <w:sz w:val="19"/>
      <w:szCs w:val="19"/>
    </w:rPr>
  </w:style>
  <w:style w:type="paragraph" w:customStyle="1" w:styleId="code-copy-button1">
    <w:name w:val="code-copy-button1"/>
    <w:basedOn w:val="Normal"/>
    <w:pPr>
      <w:spacing w:after="100" w:afterAutospacing="1"/>
      <w:ind w:right="300"/>
    </w:pPr>
  </w:style>
  <w:style w:type="paragraph" w:customStyle="1" w:styleId="code-annotation-anchor1">
    <w:name w:val="code-annotation-anchor1"/>
    <w:basedOn w:val="Normal"/>
    <w:pPr>
      <w:spacing w:before="30" w:after="100" w:afterAutospacing="1"/>
    </w:pPr>
    <w:rPr>
      <w:rFonts w:ascii="Menlo" w:hAnsi="Menlo" w:cs="Menlo"/>
      <w:sz w:val="14"/>
      <w:szCs w:val="14"/>
    </w:rPr>
  </w:style>
  <w:style w:type="paragraph" w:customStyle="1" w:styleId="code-with-filename-file1">
    <w:name w:val="code-with-filename-file1"/>
    <w:basedOn w:val="Normal"/>
  </w:style>
  <w:style w:type="paragraph" w:customStyle="1" w:styleId="code-with-filename-file2">
    <w:name w:val="code-with-filename-file2"/>
    <w:basedOn w:val="Normal"/>
    <w:pPr>
      <w:shd w:val="clear" w:color="auto" w:fill="555555"/>
    </w:pPr>
  </w:style>
  <w:style w:type="paragraph" w:customStyle="1" w:styleId="h11">
    <w:name w:val="h11"/>
    <w:basedOn w:val="Normal"/>
    <w:pPr>
      <w:spacing w:after="100" w:afterAutospacing="1"/>
    </w:pPr>
    <w:rPr>
      <w:b/>
      <w:bCs/>
      <w:color w:val="545455"/>
    </w:rPr>
  </w:style>
  <w:style w:type="paragraph" w:customStyle="1" w:styleId="h22">
    <w:name w:val="h22"/>
    <w:basedOn w:val="Normal"/>
    <w:pPr>
      <w:pBdr>
        <w:bottom w:val="single" w:sz="6" w:space="0" w:color="E1E1E1"/>
      </w:pBdr>
      <w:spacing w:after="100" w:afterAutospacing="1"/>
    </w:pPr>
    <w:rPr>
      <w:b/>
      <w:bCs/>
      <w:color w:val="545455"/>
    </w:rPr>
  </w:style>
  <w:style w:type="paragraph" w:customStyle="1" w:styleId="code-tools-button1">
    <w:name w:val="code-tools-button1"/>
    <w:basedOn w:val="Normal"/>
    <w:pPr>
      <w:spacing w:after="100" w:afterAutospacing="1"/>
      <w:ind w:left="75"/>
    </w:pPr>
    <w:rPr>
      <w:color w:val="545455"/>
    </w:rPr>
  </w:style>
  <w:style w:type="paragraph" w:customStyle="1" w:styleId="title10">
    <w:name w:val="title1"/>
    <w:basedOn w:val="Normal"/>
    <w:pPr>
      <w:spacing w:after="100" w:afterAutospacing="1"/>
    </w:pPr>
    <w:rPr>
      <w:b/>
      <w:bCs/>
    </w:rPr>
  </w:style>
  <w:style w:type="paragraph" w:customStyle="1" w:styleId="quarto-categories1">
    <w:name w:val="quarto-categories1"/>
    <w:basedOn w:val="Normal"/>
    <w:pPr>
      <w:spacing w:before="180" w:after="100" w:afterAutospacing="1"/>
    </w:pPr>
  </w:style>
  <w:style w:type="paragraph" w:customStyle="1" w:styleId="quarto-categories2">
    <w:name w:val="quarto-categories2"/>
    <w:basedOn w:val="Normal"/>
    <w:pPr>
      <w:spacing w:before="180" w:after="100" w:afterAutospacing="1"/>
    </w:pPr>
  </w:style>
  <w:style w:type="paragraph" w:customStyle="1" w:styleId="quarto-category1">
    <w:name w:val="quarto-category1"/>
    <w:basedOn w:val="Normal"/>
    <w:pPr>
      <w:pBdr>
        <w:top w:val="single" w:sz="6" w:space="3" w:color="auto"/>
        <w:left w:val="single" w:sz="6" w:space="9" w:color="auto"/>
        <w:bottom w:val="single" w:sz="6" w:space="3" w:color="auto"/>
        <w:right w:val="single" w:sz="6" w:space="9" w:color="auto"/>
      </w:pBdr>
      <w:spacing w:after="100" w:afterAutospacing="1"/>
    </w:pPr>
    <w:rPr>
      <w:caps/>
      <w:sz w:val="16"/>
      <w:szCs w:val="16"/>
    </w:rPr>
  </w:style>
  <w:style w:type="paragraph" w:customStyle="1" w:styleId="bi1">
    <w:name w:val="bi1"/>
    <w:basedOn w:val="Normal"/>
    <w:pPr>
      <w:spacing w:after="100" w:afterAutospacing="1"/>
      <w:ind w:right="72"/>
    </w:pPr>
  </w:style>
  <w:style w:type="paragraph" w:customStyle="1" w:styleId="progress-bar1">
    <w:name w:val="progress-bar1"/>
    <w:basedOn w:val="Normal"/>
    <w:pPr>
      <w:spacing w:after="100" w:afterAutospacing="1" w:line="120" w:lineRule="atLeast"/>
      <w:jc w:val="center"/>
    </w:pPr>
    <w:rPr>
      <w:sz w:val="12"/>
      <w:szCs w:val="12"/>
    </w:rPr>
  </w:style>
  <w:style w:type="character" w:customStyle="1" w:styleId="citation">
    <w:name w:val="citation"/>
    <w:basedOn w:val="DefaultParagraphFont"/>
  </w:style>
  <w:style w:type="character" w:styleId="Emphasis">
    <w:name w:val="Emphasis"/>
    <w:basedOn w:val="DefaultParagraphFont"/>
    <w:uiPriority w:val="20"/>
    <w:qFormat/>
    <w:rPr>
      <w:i/>
      <w:iCs/>
    </w:rPr>
  </w:style>
  <w:style w:type="character" w:customStyle="1" w:styleId="math">
    <w:name w:val="math"/>
    <w:basedOn w:val="DefaultParagraphFont"/>
  </w:style>
  <w:style w:type="paragraph" w:customStyle="1" w:styleId="p1">
    <w:name w:val="p1"/>
    <w:basedOn w:val="Normal"/>
    <w:rsid w:val="002171EC"/>
    <w:rPr>
      <w:rFonts w:ascii="Helvetica" w:eastAsia="Times New Roman" w:hAnsi="Helvetica"/>
      <w:color w:val="000000"/>
      <w:sz w:val="26"/>
      <w:szCs w:val="26"/>
    </w:rPr>
  </w:style>
  <w:style w:type="paragraph" w:customStyle="1" w:styleId="p2">
    <w:name w:val="p2"/>
    <w:basedOn w:val="Normal"/>
    <w:rsid w:val="002171EC"/>
    <w:rPr>
      <w:rFonts w:ascii="Helvetica" w:eastAsia="Times New Roman" w:hAnsi="Helvetica"/>
      <w:color w:val="000000"/>
      <w:sz w:val="18"/>
      <w:szCs w:val="18"/>
    </w:rPr>
  </w:style>
  <w:style w:type="paragraph" w:customStyle="1" w:styleId="p3">
    <w:name w:val="p3"/>
    <w:basedOn w:val="Normal"/>
    <w:rsid w:val="002171EC"/>
    <w:rPr>
      <w:rFonts w:ascii="Helvetica" w:eastAsia="Times New Roman" w:hAnsi="Helvetica"/>
      <w:color w:val="000000"/>
      <w:sz w:val="21"/>
      <w:szCs w:val="21"/>
    </w:rPr>
  </w:style>
  <w:style w:type="character" w:customStyle="1" w:styleId="s1">
    <w:name w:val="s1"/>
    <w:basedOn w:val="DefaultParagraphFont"/>
    <w:rsid w:val="002171EC"/>
    <w:rPr>
      <w:color w:val="324FDA"/>
    </w:rPr>
  </w:style>
  <w:style w:type="paragraph" w:styleId="Header">
    <w:name w:val="header"/>
    <w:basedOn w:val="Normal"/>
    <w:link w:val="HeaderChar"/>
    <w:uiPriority w:val="99"/>
    <w:unhideWhenUsed/>
    <w:rsid w:val="001227A7"/>
    <w:pPr>
      <w:tabs>
        <w:tab w:val="center" w:pos="4513"/>
        <w:tab w:val="right" w:pos="9026"/>
      </w:tabs>
    </w:pPr>
  </w:style>
  <w:style w:type="character" w:customStyle="1" w:styleId="HeaderChar">
    <w:name w:val="Header Char"/>
    <w:basedOn w:val="DefaultParagraphFont"/>
    <w:link w:val="Header"/>
    <w:uiPriority w:val="99"/>
    <w:rsid w:val="001227A7"/>
    <w:rPr>
      <w:rFonts w:eastAsiaTheme="minorEastAsia"/>
      <w:sz w:val="24"/>
      <w:szCs w:val="24"/>
    </w:rPr>
  </w:style>
  <w:style w:type="paragraph" w:styleId="Footer">
    <w:name w:val="footer"/>
    <w:basedOn w:val="Normal"/>
    <w:link w:val="FooterChar"/>
    <w:uiPriority w:val="99"/>
    <w:unhideWhenUsed/>
    <w:rsid w:val="001227A7"/>
    <w:pPr>
      <w:tabs>
        <w:tab w:val="center" w:pos="4513"/>
        <w:tab w:val="right" w:pos="9026"/>
      </w:tabs>
    </w:pPr>
  </w:style>
  <w:style w:type="character" w:customStyle="1" w:styleId="FooterChar">
    <w:name w:val="Footer Char"/>
    <w:basedOn w:val="DefaultParagraphFont"/>
    <w:link w:val="Footer"/>
    <w:uiPriority w:val="99"/>
    <w:rsid w:val="001227A7"/>
    <w:rPr>
      <w:rFonts w:eastAsiaTheme="minorEastAsia"/>
      <w:sz w:val="24"/>
      <w:szCs w:val="24"/>
    </w:rPr>
  </w:style>
  <w:style w:type="paragraph" w:styleId="Title">
    <w:name w:val="Title"/>
    <w:basedOn w:val="Normal"/>
    <w:next w:val="Normal"/>
    <w:link w:val="TitleChar"/>
    <w:uiPriority w:val="10"/>
    <w:qFormat/>
    <w:rsid w:val="000A5E7C"/>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5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59A"/>
    <w:pPr>
      <w:numPr>
        <w:ilvl w:val="1"/>
      </w:numPr>
      <w:spacing w:after="160"/>
    </w:pPr>
    <w:rPr>
      <w:rFonts w:ascii="Arial" w:hAnsi="Arial" w:cstheme="minorBidi"/>
      <w:color w:val="5A5A5A" w:themeColor="text1" w:themeTint="A5"/>
      <w:spacing w:val="15"/>
      <w:sz w:val="28"/>
      <w:szCs w:val="22"/>
    </w:rPr>
  </w:style>
  <w:style w:type="character" w:customStyle="1" w:styleId="SubtitleChar">
    <w:name w:val="Subtitle Char"/>
    <w:basedOn w:val="DefaultParagraphFont"/>
    <w:link w:val="Subtitle"/>
    <w:uiPriority w:val="11"/>
    <w:rsid w:val="005D559A"/>
    <w:rPr>
      <w:rFonts w:ascii="Arial" w:eastAsiaTheme="minorEastAsia" w:hAnsi="Arial" w:cstheme="minorBidi"/>
      <w:color w:val="5A5A5A" w:themeColor="text1" w:themeTint="A5"/>
      <w:spacing w:val="15"/>
      <w:sz w:val="28"/>
      <w:szCs w:val="22"/>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rFonts w:eastAsiaTheme="minorEastAsia"/>
    </w:rPr>
  </w:style>
  <w:style w:type="character" w:styleId="CommentReference">
    <w:name w:val="annotation reference"/>
    <w:basedOn w:val="DefaultParagraphFont"/>
    <w:uiPriority w:val="99"/>
    <w:semiHidden/>
    <w:unhideWhenUsed/>
    <w:rPr>
      <w:sz w:val="16"/>
      <w:szCs w:val="16"/>
    </w:rPr>
  </w:style>
  <w:style w:type="paragraph" w:styleId="Bibliography">
    <w:name w:val="Bibliography"/>
    <w:basedOn w:val="Normal"/>
    <w:next w:val="Normal"/>
    <w:uiPriority w:val="37"/>
    <w:unhideWhenUsed/>
    <w:rsid w:val="002148E3"/>
    <w:pPr>
      <w:spacing w:after="240"/>
    </w:pPr>
  </w:style>
  <w:style w:type="paragraph" w:styleId="ListParagraph">
    <w:name w:val="List Paragraph"/>
    <w:basedOn w:val="Normal"/>
    <w:uiPriority w:val="34"/>
    <w:qFormat/>
    <w:rsid w:val="752265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5518704">
      <w:marLeft w:val="0"/>
      <w:marRight w:val="0"/>
      <w:marTop w:val="0"/>
      <w:marBottom w:val="0"/>
      <w:divBdr>
        <w:top w:val="none" w:sz="0" w:space="0" w:color="auto"/>
        <w:left w:val="none" w:sz="0" w:space="0" w:color="auto"/>
        <w:bottom w:val="none" w:sz="0" w:space="0" w:color="auto"/>
        <w:right w:val="none" w:sz="0" w:space="0" w:color="auto"/>
      </w:divBdr>
      <w:divsChild>
        <w:div w:id="1452744087">
          <w:marLeft w:val="0"/>
          <w:marRight w:val="0"/>
          <w:marTop w:val="0"/>
          <w:marBottom w:val="0"/>
          <w:divBdr>
            <w:top w:val="none" w:sz="0" w:space="0" w:color="auto"/>
            <w:left w:val="none" w:sz="0" w:space="0" w:color="auto"/>
            <w:bottom w:val="none" w:sz="0" w:space="0" w:color="auto"/>
            <w:right w:val="none" w:sz="0" w:space="0" w:color="auto"/>
          </w:divBdr>
        </w:div>
        <w:div w:id="2131780121">
          <w:marLeft w:val="0"/>
          <w:marRight w:val="0"/>
          <w:marTop w:val="0"/>
          <w:marBottom w:val="0"/>
          <w:divBdr>
            <w:top w:val="none" w:sz="0" w:space="0" w:color="auto"/>
            <w:left w:val="none" w:sz="0" w:space="0" w:color="auto"/>
            <w:bottom w:val="none" w:sz="0" w:space="0" w:color="auto"/>
            <w:right w:val="none" w:sz="0" w:space="0" w:color="auto"/>
          </w:divBdr>
          <w:divsChild>
            <w:div w:id="2143187879">
              <w:marLeft w:val="0"/>
              <w:marRight w:val="0"/>
              <w:marTop w:val="0"/>
              <w:marBottom w:val="0"/>
              <w:divBdr>
                <w:top w:val="none" w:sz="0" w:space="0" w:color="auto"/>
                <w:left w:val="none" w:sz="0" w:space="0" w:color="auto"/>
                <w:bottom w:val="none" w:sz="0" w:space="0" w:color="auto"/>
                <w:right w:val="none" w:sz="0" w:space="0" w:color="auto"/>
              </w:divBdr>
              <w:divsChild>
                <w:div w:id="109806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851191-10C1-4156-8E55-EE2678F25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31</Pages>
  <Words>22250</Words>
  <Characters>126830</Characters>
  <Application>Microsoft Office Word</Application>
  <DocSecurity>0</DocSecurity>
  <Lines>1056</Lines>
  <Paragraphs>297</Paragraphs>
  <ScaleCrop>false</ScaleCrop>
  <Company/>
  <LinksUpToDate>false</LinksUpToDate>
  <CharactersWithSpaces>148783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Scott Moser (staff)</cp:lastModifiedBy>
  <cp:revision>4</cp:revision>
  <dcterms:created xsi:type="dcterms:W3CDTF">2026-01-26T16:40:00Z</dcterms:created>
  <dcterms:modified xsi:type="dcterms:W3CDTF">2026-05-22T16:59:00Z</dcterms:modified>
</cp:coreProperties>
</file>