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p>
    <w:p w14:paraId="18C8B7B1" w14:textId="0DE1D542" w:rsidR="00AA7A35" w:rsidRPr="006C4698" w:rsidRDefault="00ED6819" w:rsidP="00E669D5">
      <w:pPr>
        <w:spacing w:line="480" w:lineRule="auto"/>
        <w:divId w:val="1975518704"/>
        <w:rPr>
          <w:rFonts w:eastAsia="Times New Roman"/>
          <w:u w:val="single"/>
          <w:lang w:val="en"/>
        </w:rPr>
      </w:pPr>
      <w: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type="auto" w:w="0"/>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Pr>
                <w:b/>
              </w:rPr>
              <w:t>Indicator</w:t>
            </w:r>
          </w:p>
        </w:tc>
        <w:tc>
          <w:tcPr>
            <w:tcW w:type="dxa" w:w="3009"/>
            <w:tcBorders>
              <w:top w:val="single" w:sz="4" w:color="000000"/>
              <w:left w:val="single" w:sz="4" w:color="000000"/>
              <w:bottom w:val="single" w:sz="4" w:color="000000"/>
              <w:right w:val="single" w:sz="4" w:color="000000"/>
            </w:tcBorders>
          </w:tcPr>
          <w:p>
            <w:r>
              <w:rPr>
                <w:b/>
              </w:rPr>
              <w:t>RDS-SS (95% CI)</w:t>
            </w:r>
          </w:p>
        </w:tc>
        <w:tc>
          <w:tcPr>
            <w:tcW w:type="dxa" w:w="3009"/>
            <w:tcBorders>
              <w:top w:val="single" w:sz="4" w:color="000000"/>
              <w:left w:val="single" w:sz="4" w:color="000000"/>
              <w:bottom w:val="single" w:sz="4" w:color="000000"/>
              <w:right w:val="single" w:sz="4" w:color="000000"/>
            </w:tcBorders>
          </w:tcPr>
          <w:p>
            <w:r>
              <w:rPr>
                <w:b/>
              </w:rPr>
              <w:t>MBSU NSUM (Moderate) (95% CI)</w:t>
            </w:r>
          </w:p>
        </w:tc>
      </w:tr>
      <w:tr>
        <w:tc>
          <w:tcPr>
            <w:tcW w:type="dxa" w:w="3009"/>
            <w:tcBorders>
              <w:top w:val="single" w:sz="4" w:color="000000"/>
              <w:left w:val="single" w:sz="4" w:color="000000"/>
              <w:bottom w:val="single" w:sz="4" w:color="000000"/>
              <w:right w:val="single" w:sz="4" w:color="000000"/>
            </w:tcBorders>
          </w:tcPr>
          <w:p>
            <w:r>
              <w:t>Document withholding</w:t>
            </w:r>
          </w:p>
        </w:tc>
        <w:tc>
          <w:tcPr>
            <w:tcW w:type="dxa" w:w="3009"/>
            <w:tcBorders>
              <w:top w:val="single" w:sz="4" w:color="000000"/>
              <w:left w:val="single" w:sz="4" w:color="000000"/>
              <w:bottom w:val="single" w:sz="4" w:color="000000"/>
              <w:right w:val="single" w:sz="4" w:color="000000"/>
            </w:tcBorders>
          </w:tcPr>
          <w:p>
            <w:r>
              <w:t>35.4% (21.1–49.8%)</w:t>
            </w:r>
          </w:p>
        </w:tc>
        <w:tc>
          <w:tcPr>
            <w:tcW w:type="dxa" w:w="3009"/>
            <w:tcBorders>
              <w:top w:val="single" w:sz="4" w:color="000000"/>
              <w:left w:val="single" w:sz="4" w:color="000000"/>
              <w:bottom w:val="single" w:sz="4" w:color="000000"/>
              <w:right w:val="single" w:sz="4" w:color="000000"/>
            </w:tcBorders>
          </w:tcPr>
          <w:p>
            <w:r>
              <w:t>1.08% (0.30–3.13%)</w:t>
            </w:r>
          </w:p>
        </w:tc>
      </w:tr>
      <w:tr>
        <w:tc>
          <w:tcPr>
            <w:tcW w:type="dxa" w:w="3009"/>
            <w:tcBorders>
              <w:top w:val="single" w:sz="4" w:color="000000"/>
              <w:left w:val="single" w:sz="4" w:color="000000"/>
              <w:bottom w:val="single" w:sz="4" w:color="000000"/>
              <w:right w:val="single" w:sz="4" w:color="000000"/>
            </w:tcBorders>
          </w:tcPr>
          <w:p>
            <w:r>
              <w:t>Threats and abuse</w:t>
            </w:r>
          </w:p>
        </w:tc>
        <w:tc>
          <w:tcPr>
            <w:tcW w:type="dxa" w:w="3009"/>
            <w:tcBorders>
              <w:top w:val="single" w:sz="4" w:color="000000"/>
              <w:left w:val="single" w:sz="4" w:color="000000"/>
              <w:bottom w:val="single" w:sz="4" w:color="000000"/>
              <w:right w:val="single" w:sz="4" w:color="000000"/>
            </w:tcBorders>
          </w:tcPr>
          <w:p>
            <w:r>
              <w:t>56.9% (42.3–72.1%)</w:t>
            </w:r>
          </w:p>
        </w:tc>
        <w:tc>
          <w:tcPr>
            <w:tcW w:type="dxa" w:w="3009"/>
            <w:tcBorders>
              <w:top w:val="single" w:sz="4" w:color="000000"/>
              <w:left w:val="single" w:sz="4" w:color="000000"/>
              <w:bottom w:val="single" w:sz="4" w:color="000000"/>
              <w:right w:val="single" w:sz="4" w:color="000000"/>
            </w:tcBorders>
          </w:tcPr>
          <w:p>
            <w:r>
              <w:t>2.69% (1.86–5.86%)</w:t>
            </w:r>
          </w:p>
        </w:tc>
      </w:tr>
      <w:tr>
        <w:tc>
          <w:tcPr>
            <w:tcW w:type="dxa" w:w="3009"/>
            <w:tcBorders>
              <w:top w:val="single" w:sz="4" w:color="000000"/>
              <w:left w:val="single" w:sz="4" w:color="000000"/>
              <w:bottom w:val="single" w:sz="4" w:color="000000"/>
              <w:right w:val="single" w:sz="4" w:color="000000"/>
            </w:tcBorders>
          </w:tcPr>
          <w:p>
            <w:r>
              <w:t>Pay-related issues</w:t>
            </w:r>
          </w:p>
        </w:tc>
        <w:tc>
          <w:tcPr>
            <w:tcW w:type="dxa" w:w="3009"/>
            <w:tcBorders>
              <w:top w:val="single" w:sz="4" w:color="000000"/>
              <w:left w:val="single" w:sz="4" w:color="000000"/>
              <w:bottom w:val="single" w:sz="4" w:color="000000"/>
              <w:right w:val="single" w:sz="4" w:color="000000"/>
            </w:tcBorders>
          </w:tcPr>
          <w:p>
            <w:r>
              <w:t>51.6% (36.5–65.5%)</w:t>
            </w:r>
          </w:p>
        </w:tc>
        <w:tc>
          <w:tcPr>
            <w:tcW w:type="dxa" w:w="3009"/>
            <w:tcBorders>
              <w:top w:val="single" w:sz="4" w:color="000000"/>
              <w:left w:val="single" w:sz="4" w:color="000000"/>
              <w:bottom w:val="single" w:sz="4" w:color="000000"/>
              <w:right w:val="single" w:sz="4" w:color="000000"/>
            </w:tcBorders>
          </w:tcPr>
          <w:p>
            <w:r>
              <w:t>2.88% (1.90–5.68%)</w:t>
            </w:r>
          </w:p>
        </w:tc>
      </w:tr>
      <w:tr>
        <w:tc>
          <w:tcPr>
            <w:tcW w:type="dxa" w:w="3009"/>
            <w:tcBorders>
              <w:top w:val="single" w:sz="4" w:color="000000"/>
              <w:left w:val="single" w:sz="4" w:color="000000"/>
              <w:bottom w:val="single" w:sz="4" w:color="000000"/>
              <w:right w:val="single" w:sz="4" w:color="000000"/>
            </w:tcBorders>
          </w:tcPr>
          <w:p>
            <w:r>
              <w:t>Excessive working hours</w:t>
            </w:r>
          </w:p>
        </w:tc>
        <w:tc>
          <w:tcPr>
            <w:tcW w:type="dxa" w:w="3009"/>
            <w:tcBorders>
              <w:top w:val="single" w:sz="4" w:color="000000"/>
              <w:left w:val="single" w:sz="4" w:color="000000"/>
              <w:bottom w:val="single" w:sz="4" w:color="000000"/>
              <w:right w:val="single" w:sz="4" w:color="000000"/>
            </w:tcBorders>
          </w:tcPr>
          <w:p>
            <w:r>
              <w:t>84.2% (72.2–93.6%)</w:t>
            </w:r>
          </w:p>
        </w:tc>
        <w:tc>
          <w:tcPr>
            <w:tcW w:type="dxa" w:w="3009"/>
            <w:tcBorders>
              <w:top w:val="single" w:sz="4" w:color="000000"/>
              <w:left w:val="single" w:sz="4" w:color="000000"/>
              <w:bottom w:val="single" w:sz="4" w:color="000000"/>
              <w:right w:val="single" w:sz="4" w:color="000000"/>
            </w:tcBorders>
          </w:tcPr>
          <w:p>
            <w:r>
              <w:t>2.98% (1.84–5.51%)</w:t>
            </w:r>
          </w:p>
        </w:tc>
      </w:tr>
      <w:tr>
        <w:tc>
          <w:tcPr>
            <w:tcW w:type="dxa" w:w="3009"/>
            <w:tcBorders>
              <w:top w:val="single" w:sz="4" w:color="000000"/>
              <w:left w:val="single" w:sz="4" w:color="000000"/>
              <w:bottom w:val="single" w:sz="4" w:color="000000"/>
              <w:right w:val="single" w:sz="4" w:color="000000"/>
            </w:tcBorders>
          </w:tcPr>
          <w:p>
            <w:r>
              <w:t>Limited access to help</w:t>
            </w:r>
          </w:p>
        </w:tc>
        <w:tc>
          <w:tcPr>
            <w:tcW w:type="dxa" w:w="3009"/>
            <w:tcBorders>
              <w:top w:val="single" w:sz="4" w:color="000000"/>
              <w:left w:val="single" w:sz="4" w:color="000000"/>
              <w:bottom w:val="single" w:sz="4" w:color="000000"/>
              <w:right w:val="single" w:sz="4" w:color="000000"/>
            </w:tcBorders>
          </w:tcPr>
          <w:p>
            <w:r>
              <w:t>60.6% (45.2–74.1%)</w:t>
            </w:r>
          </w:p>
        </w:tc>
        <w:tc>
          <w:tcPr>
            <w:tcW w:type="dxa" w:w="3009"/>
            <w:tcBorders>
              <w:top w:val="single" w:sz="4" w:color="000000"/>
              <w:left w:val="single" w:sz="4" w:color="000000"/>
              <w:bottom w:val="single" w:sz="4" w:color="000000"/>
              <w:right w:val="single" w:sz="4" w:color="000000"/>
            </w:tcBorders>
          </w:tcPr>
          <w:p>
            <w:r>
              <w:t>2.03% (0.67–4.88%)</w:t>
            </w:r>
          </w:p>
        </w:tc>
      </w:tr>
    </w:tbl>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6DE10CE7" w14:textId="0749FFD3" w:rsidR="00AA7A35" w:rsidRPr="006C4698" w:rsidRDefault="00ED6819" w:rsidP="00E669D5">
      <w:pPr>
        <w:spacing w:line="480" w:lineRule="auto"/>
        <w:divId w:val="1975518704"/>
        <w:rPr>
          <w:rFonts w:eastAsia="Times New Roman"/>
          <w:u w:val="single"/>
          <w:lang w:val="en"/>
        </w:rPr>
      </w:pPr>
      <w:r>
        <w:t>4.4</w:t>
        <w:tab/>
        <w:t>Supporting Estimates and Method Comparison</w:t>
      </w:r>
    </w:p>
    <w:p>
      <w:pPr/>
      <w:r>
        <w:t>For each of the five binary indicators, three additional families of estimates are reported in the appendices for transparency and robustness.</w:t>
      </w:r>
    </w:p>
    <w:p>
      <w:pPr/>
      <w:r>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pPr/>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t>4.5</w:t>
        <w:tab/>
        <w:t>Sensitivity and Robustness</w:t>
      </w:r>
    </w:p>
    <w:p>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