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SIR Positioning Analysis: Repositioning the Manuscript for Social Indicators Research</w:t>
      </w:r>
    </w:p>
    <w:p>
      <w:r>
        <w:rPr>
          <w:b w:val="0"/>
          <w:i/>
        </w:rPr>
        <w:t>Prepared for Scott Moser and Caroline Emberson</w:t>
      </w:r>
    </w:p>
    <w:p>
      <w:r>
        <w:rPr>
          <w:b w:val="0"/>
          <w:i/>
        </w:rPr>
        <w:t>Date: 24 May 2026</w:t>
      </w:r>
    </w:p>
    <w:p>
      <w:r>
        <w:rPr>
          <w:b w:val="0"/>
          <w:i/>
        </w:rPr>
        <w:t>Companion to: 'Editorial memo - Pre-SIR submission diagnostic' (22 May 2026)</w:t>
      </w:r>
    </w:p>
    <w:p>
      <w:pPr>
        <w:pStyle w:val="Heading1"/>
      </w:pPr>
      <w:r>
        <w:t>Executive summary</w:t>
      </w:r>
    </w:p>
    <w:p>
      <w:r>
        <w:rPr>
          <w:b w:val="0"/>
          <w:i w:val="0"/>
        </w:rPr>
        <w:t>Social Indicators Research (SIR) is a quality-of-life journal, not a methodology journal and not a labour/IR journal. After surveying SIR's editorial guidance, the 50 most recent published articles, and the journal's recent topical mix, I conclude that the current manuscript will be desk-rejected at SIR unless it is repositioned around quality-of-life measurement and SDG 8.7 monitoring. The good news: the underlying empirical work (combining RDS and NSUM to produce indicators of labour exploitation among a hidden population) is a strong substantive fit for SIR's stated interests — it is simply being sold the wrong way in the present draft. Repositioning is a manageable surgical edit (abstract, introduction framing, contribution paragraph, and one mid-paper bridging paragraph), not a wholesale rewrite.</w:t>
      </w:r>
    </w:p>
    <w:p>
      <w:r>
        <w:rPr>
          <w:b w:val="0"/>
          <w:i w:val="0"/>
        </w:rPr>
        <w:t>This memo summarises what I learned about SIR, identifies the specific positioning shifts required, and proposes concrete replacement language. A separate companion analysis will address the additional analytical work required to firm up the empirical claims (sensitivity analysis, per-indicator CIs, Bayesian uncertainty), and a third pass will assemble the in-text manuscript with tables and figures embedded.</w:t>
      </w:r>
    </w:p>
    <w:p>
      <w:pPr>
        <w:pStyle w:val="Heading1"/>
      </w:pPr>
      <w:r>
        <w:t>1. What SIR publishes — evidence from the journal itself</w:t>
      </w:r>
    </w:p>
    <w:p>
      <w:pPr>
        <w:pStyle w:val="Heading2"/>
      </w:pPr>
      <w:r>
        <w:t>1.1 The aims-and-scope statement and the editor-in-chief's guidance</w:t>
      </w:r>
    </w:p>
    <w:p>
      <w:r>
        <w:rPr>
          <w:b w:val="0"/>
          <w:i w:val="0"/>
        </w:rPr>
        <w:t>SIR's stated focus is people's quality of life, conceived broadly to incorporate both objective circumstances and subjective experience. The editor-in-chief David Bartram and twelve associate editors published an unusually detailed 17-page editorial in August 2024 (Bartram et al., 'Towards the Next Fifty Years of Social Indicators Research: Some Guidance for Authors', SIR 174:1–17, doi:10.1007/s11205-024-03401-z) which is now the canonical screening document at the desk. Several points from that editorial are directly relevant to our submission.</w:t>
      </w:r>
    </w:p>
    <w:p>
      <w:r>
        <w:rPr>
          <w:b w:val="0"/>
          <w:i w:val="0"/>
        </w:rPr>
        <w:t>First, the editors state that they receive approximately 2,000 submissions per year and publish only about 15 percent. Desk-rejection is the dominant outcome, and lack of fit is the single most common reason cited. The editors propose a single diagnostic question to authors: 'in connection with your particular topic, how confident can we be that more of something (or indeed less of something) actually makes people's lives better?' Topics where the answer is uncertain or contested (their examples: 'free markets', 'migration intentions') are desk-rejected as out of scope.</w:t>
      </w:r>
    </w:p>
    <w:p>
      <w:r>
        <w:rPr>
          <w:b w:val="0"/>
          <w:i w:val="0"/>
        </w:rPr>
        <w:t>For our paper this test is unambiguous and in our favour. Less forced labour, less document withholding, less wage withholding, less abuse, fewer excessive hours, more access to help — each of these straightforwardly improves quality of life. The connection to quality of life is not in dispute. But the current draft does not lean on that framing; it leans instead on operations and supply-chain management (OSCM) and on industrial-relations language carried over from earlier submissions. That mismatch is what will trigger desk-rejection if not corrected.</w:t>
      </w:r>
    </w:p>
    <w:p>
      <w:r>
        <w:rPr>
          <w:b w:val="0"/>
          <w:i w:val="0"/>
        </w:rPr>
        <w:t>Second, the editors are explicit that synthetic indicators, composite indices, and multidimensional measurement are core methodological territory for the journal. Bartram et al. devote roughly four pages to guidance on composite-indicator construction (formative versus reflective measurement models, polarity, substitutability, the five-stage construction sequence from Jiménez-Fernández et al. 2022). The risk index we construct in the manuscript is exactly this kind of object — but the manuscript does not currently engage with the composite-indicator literature SIR cares about. This is a fixable defect.</w:t>
      </w:r>
    </w:p>
    <w:p>
      <w:r>
        <w:rPr>
          <w:b w:val="0"/>
          <w:i w:val="0"/>
        </w:rPr>
        <w:t>Third, the editors now REQUIRE that analysis code be made available to reviewers (typically via an anonymised OSF link). Our code is on GitHub but is not currently set up as an anonymised reviewer-facing share. This needs to be done before submission.</w:t>
      </w:r>
    </w:p>
    <w:p>
      <w:r>
        <w:rPr>
          <w:b w:val="0"/>
          <w:i w:val="0"/>
        </w:rPr>
        <w:t>Fourth, manuscripts are capped at 10,000 words including references. The current draft is approximately 7,858 words excluding references; with the OSCM-language passages removed and the SIR-fit framing added, we should stay comfortably under cap, but the supporting material and ESMs are where the more granular reporting belongs.</w:t>
      </w:r>
    </w:p>
    <w:p>
      <w:pPr>
        <w:pStyle w:val="Heading2"/>
      </w:pPr>
      <w:r>
        <w:t>1.2 The 50 most recent SIR articles — what gets published</w:t>
      </w:r>
    </w:p>
    <w:p>
      <w:r>
        <w:rPr>
          <w:b w:val="0"/>
          <w:i w:val="0"/>
        </w:rPr>
        <w:t>I read the title, authors and listed type for every article in SIR volumes 181–183 (March–May 2026), a sample of 50. The dominant types are:</w:t>
      </w:r>
    </w:p>
    <w:tbl>
      <w:tblPr>
        <w:tblStyle w:val="LightGrid-Accent1"/>
        <w:tblW w:type="auto" w:w="0"/>
        <w:tblLook w:firstColumn="1" w:firstRow="1" w:lastColumn="0" w:lastRow="0" w:noHBand="0" w:noVBand="1" w:val="04A0"/>
      </w:tblPr>
      <w:tblGrid>
        <w:gridCol w:w="3120"/>
        <w:gridCol w:w="3120"/>
        <w:gridCol w:w="3120"/>
      </w:tblGrid>
      <w:tr>
        <w:tc>
          <w:tcPr>
            <w:tcW w:type="dxa" w:w="3120"/>
          </w:tcPr>
          <w:p>
            <w:r>
              <w:t>Paper type</w:t>
            </w:r>
          </w:p>
        </w:tc>
        <w:tc>
          <w:tcPr>
            <w:tcW w:type="dxa" w:w="3120"/>
          </w:tcPr>
          <w:p>
            <w:r>
              <w:t>Approx. share of recent 50</w:t>
            </w:r>
          </w:p>
        </w:tc>
        <w:tc>
          <w:tcPr>
            <w:tcW w:type="dxa" w:w="3120"/>
          </w:tcPr>
          <w:p>
            <w:r>
              <w:t>Representative example</w:t>
            </w:r>
          </w:p>
        </w:tc>
      </w:tr>
      <w:tr>
        <w:tc>
          <w:tcPr>
            <w:tcW w:type="dxa" w:w="3120"/>
          </w:tcPr>
          <w:p>
            <w:r>
              <w:t>Subjective well-being / life satisfaction studies (often using cross-national surveys)</w:t>
            </w:r>
          </w:p>
        </w:tc>
        <w:tc>
          <w:tcPr>
            <w:tcW w:type="dxa" w:w="3120"/>
          </w:tcPr>
          <w:p>
            <w:r>
              <w:t>~35%</w:t>
            </w:r>
          </w:p>
        </w:tc>
        <w:tc>
          <w:tcPr>
            <w:tcW w:type="dxa" w:w="3120"/>
          </w:tcPr>
          <w:p>
            <w:r>
              <w:t>Akay &amp; Kartal (2026) Time preferences and disutility of relative concerns; Cooper et al. (2026) Individual utilities of life satisfaction and inequality aversion</w:t>
            </w:r>
          </w:p>
        </w:tc>
      </w:tr>
      <w:tr>
        <w:tc>
          <w:tcPr>
            <w:tcW w:type="dxa" w:w="3120"/>
          </w:tcPr>
          <w:p>
            <w:r>
              <w:t>Composite-indicator construction and validation (poverty, sustainability, multidimensional well-being)</w:t>
            </w:r>
          </w:p>
        </w:tc>
        <w:tc>
          <w:tcPr>
            <w:tcW w:type="dxa" w:w="3120"/>
          </w:tcPr>
          <w:p>
            <w:r>
              <w:t>~25%</w:t>
            </w:r>
          </w:p>
        </w:tc>
        <w:tc>
          <w:tcPr>
            <w:tcW w:type="dxa" w:w="3120"/>
          </w:tcPr>
          <w:p>
            <w:r>
              <w:t>Comim &amp; Martori (2026) Mapping HDI geostructures using poset analysis; Gil Payno &amp; Gómez Serrano (2026) Enhanced composite indicator for policy coherence</w:t>
            </w:r>
          </w:p>
        </w:tc>
      </w:tr>
      <w:tr>
        <w:tc>
          <w:tcPr>
            <w:tcW w:type="dxa" w:w="3120"/>
          </w:tcPr>
          <w:p>
            <w:r>
              <w:t>Methodological guides and practical notes on measurement / inference</w:t>
            </w:r>
          </w:p>
        </w:tc>
        <w:tc>
          <w:tcPr>
            <w:tcW w:type="dxa" w:w="3120"/>
          </w:tcPr>
          <w:p>
            <w:r>
              <w:t>~10%</w:t>
            </w:r>
          </w:p>
        </w:tc>
        <w:tc>
          <w:tcPr>
            <w:tcW w:type="dxa" w:w="3120"/>
          </w:tcPr>
          <w:p>
            <w:r>
              <w:t>Muñoz et al. (2026) Practical guide to Gini estimation; Feldmeyer et al. (2026) Quantifying sampling error in composite index construction; Mecca et al. (2026) Graphical Ising models for missing-data detection</w:t>
            </w:r>
          </w:p>
        </w:tc>
      </w:tr>
      <w:tr>
        <w:tc>
          <w:tcPr>
            <w:tcW w:type="dxa" w:w="3120"/>
          </w:tcPr>
          <w:p>
            <w:r>
              <w:t>Work, family, gender, ageing and well-being</w:t>
            </w:r>
          </w:p>
        </w:tc>
        <w:tc>
          <w:tcPr>
            <w:tcW w:type="dxa" w:w="3120"/>
          </w:tcPr>
          <w:p>
            <w:r>
              <w:t>~15%</w:t>
            </w:r>
          </w:p>
        </w:tc>
        <w:tc>
          <w:tcPr>
            <w:tcW w:type="dxa" w:w="3120"/>
          </w:tcPr>
          <w:p>
            <w:r>
              <w:t>Cui et al. (2026) Gender and parenthood in work-time fragmentation; Steinbach (2026) Measures of joint physical custody</w:t>
            </w:r>
          </w:p>
        </w:tc>
      </w:tr>
      <w:tr>
        <w:tc>
          <w:tcPr>
            <w:tcW w:type="dxa" w:w="3120"/>
          </w:tcPr>
          <w:p>
            <w:r>
              <w:t>Migration, discrimination, ethnic-minority well-being</w:t>
            </w:r>
          </w:p>
        </w:tc>
        <w:tc>
          <w:tcPr>
            <w:tcW w:type="dxa" w:w="3120"/>
          </w:tcPr>
          <w:p>
            <w:r>
              <w:t>~10%</w:t>
            </w:r>
          </w:p>
        </w:tc>
        <w:tc>
          <w:tcPr>
            <w:tcW w:type="dxa" w:w="3120"/>
          </w:tcPr>
          <w:p>
            <w:r>
              <w:t>Huang et al. (2026) Healthy migrant effect; Buonomo et al. (2026) Political engagement and discrimination among migrant generations</w:t>
            </w:r>
          </w:p>
        </w:tc>
      </w:tr>
      <w:tr>
        <w:tc>
          <w:tcPr>
            <w:tcW w:type="dxa" w:w="3120"/>
          </w:tcPr>
          <w:p>
            <w:r>
              <w:t>SDG monitoring and progress measurement</w:t>
            </w:r>
          </w:p>
        </w:tc>
        <w:tc>
          <w:tcPr>
            <w:tcW w:type="dxa" w:w="3120"/>
          </w:tcPr>
          <w:p>
            <w:r>
              <w:t>~5%</w:t>
            </w:r>
          </w:p>
        </w:tc>
        <w:tc>
          <w:tcPr>
            <w:tcW w:type="dxa" w:w="3120"/>
          </w:tcPr>
          <w:p>
            <w:r>
              <w:t>Palifka et al. (2026) Multidimensional index of progress on SDG 16.5 (corruption)</w:t>
            </w:r>
          </w:p>
        </w:tc>
      </w:tr>
    </w:tbl>
    <w:p>
      <w:r>
        <w:rPr>
          <w:b w:val="0"/>
          <w:i w:val="0"/>
        </w:rPr>
      </w:r>
    </w:p>
    <w:p>
      <w:r>
        <w:rPr>
          <w:b w:val="0"/>
          <w:i w:val="0"/>
        </w:rPr>
        <w:t xml:space="preserve">Several patterns matter for our positioning. Zero of the recent 50 use respondent-driven sampling. Zero use the network scale-up method. Zero address modern slavery, forced labour or labour exploitation as a primary topic. Adjacent SIR work on hidden or vulnerable populations does exist (e.g. people with disability, migrant generations, deep-poverty households), but always framed through a quality-of-life lens. The single closest methodological template in the recent issues is Muñoz, Pavía and Álvarez-Verdejo (2026), 'A Practical Guide to Proper Estimation and Inference of the Gini Index by Avoiding often Encountered Methodological Pitfalls' — a practical-guide methodology paper applied to a measurement that matters for quality-of-life indicators. That is the genre template our paper should imitate. </w:t>
      </w:r>
    </w:p>
    <w:p>
      <w:r>
        <w:rPr>
          <w:b w:val="0"/>
          <w:i w:val="0"/>
        </w:rPr>
        <w:t>Roughly half the published 2025 articles touch the Sustainable Development Goals (SDG) agenda. Modern slavery and forced labour fall under SDG 8.7, which is the direct hook our paper should use.</w:t>
      </w:r>
    </w:p>
    <w:p>
      <w:pPr>
        <w:pStyle w:val="Heading2"/>
      </w:pPr>
      <w:r>
        <w:t>1.3 Editorial-board composition relevant to handling</w:t>
      </w:r>
    </w:p>
    <w:p>
      <w:r>
        <w:rPr>
          <w:b w:val="0"/>
          <w:i w:val="0"/>
        </w:rPr>
        <w:t>The senior editorial team (the co-signers of the 2024 author-guidance editorial) includes David Bartram (Leicester, EIC; subjective well-being, control-variable selection, migration), Massimiliano Tani (UNSW Sydney; labour economics, migration), Leonardo Salvatore Alaimo (Sapienza; composite indicators, poset methods), Eileen Avery, Anthony Bardo, Enrico Di Bella (Genoa; statistical methods for socio-economic indicators), Martin Binder (subjective well-being), Ferdi Botha, Sandra Fachelli, Andrea Gatto (sustainability indicators), Jintao Lu, Adam Okulicz-Kozaryn (subjective well-being), and Angeles Sanchez (composite indicators, weighting).</w:t>
      </w:r>
    </w:p>
    <w:p>
      <w:r>
        <w:rPr>
          <w:b w:val="0"/>
          <w:i w:val="0"/>
        </w:rPr>
        <w:t>Realistic handling editors for our paper, given the methodology+quality-of-life angle, are likely Tani (labour focus), Bartram (causal/methodological care), Di Bella (statistical methods for social indicators), or Alaimo/Sanchez (composite indicators). None of them is a hidden-population specialist, which means the paper must motivate RDS and NSUM accessibly for a methodologically literate but non-specialist reader.</w:t>
      </w:r>
    </w:p>
    <w:p>
      <w:pPr>
        <w:pStyle w:val="Heading1"/>
      </w:pPr>
      <w:r>
        <w:t>2. The mismatch between the current draft and SIR</w:t>
      </w:r>
    </w:p>
    <w:p>
      <w:r>
        <w:rPr>
          <w:b w:val="0"/>
          <w:i w:val="0"/>
        </w:rPr>
        <w:t>The current manuscript (Main file submission 20-01-2026.docx) was assembled across four prior submissions to IJOPM, JBE, IRJ and BJIR. It still carries the residue of those positioning attempts. The most damaging instances are:</w:t>
      </w:r>
    </w:p>
    <w:p>
      <w:pPr>
        <w:pStyle w:val="ListBullet"/>
      </w:pPr>
      <w:r>
        <w:t>The contribution paragraph (manuscript paragraphs 98–101) lists four contributions, the first and second of which are framed as OSCM/supply-chain contributions ('contribution to OSCM literature on labour standards in extended supply chains', etc.). This is preserved nearly verbatim from the IJOPM draft. A SIR editor reading the contribution paragraph in screening will conclude the paper has been submitted to the wrong journal and will desk-reject without sending out for review.</w:t>
      </w:r>
    </w:p>
    <w:p>
      <w:pPr>
        <w:pStyle w:val="ListBullet"/>
      </w:pPr>
      <w:r>
        <w:t>The abstract (paragraph 3) emphasises labour-exploitation prevalence in the UK domestic-worker sector as the primary product, with the methodological combination of RDS and NSUM as the means. For SIR, that priority needs to invert: the methodological combination is the contribution (a practical approach to producing reliable social indicators for a hidden, vulnerable population), and the UK domestic-worker sector is the application that demonstrates it works on the hardest realistic case.</w:t>
      </w:r>
    </w:p>
    <w:p>
      <w:pPr>
        <w:pStyle w:val="ListBullet"/>
      </w:pPr>
      <w:r>
        <w:t>The introduction (paragraphs 10–11) frames the problem through the lens of supply-chain ethics and corporate accountability. SIR's lens is quality of life and SDG monitoring. The shift is one of foregrounding, not of content — the same evidence supports both framings, but the words at the top of the paper must signal which conversation the paper is entering.</w:t>
      </w:r>
    </w:p>
    <w:p>
      <w:pPr>
        <w:pStyle w:val="ListBullet"/>
      </w:pPr>
      <w:r>
        <w:t>The conceptualization section (paragraphs 14, 18) does not cite the composite-indicator literature SIR cares about (Mazziotta-Pareto, Alkire-Foster, Nardo et al. OECD handbook, poset methods). The risk index we construct is a composite indicator; SIR will expect us to engage with that literature.</w:t>
      </w:r>
    </w:p>
    <w:p>
      <w:pPr>
        <w:pStyle w:val="ListBullet"/>
      </w:pPr>
      <w:r>
        <w:t>Three figure cross-references are broken — paragraphs 42, 68, 79 contain '[Insert  about here]' with missing figure numbers. These were introduced when the figures were stripped out for separate submission as accompanying .docx files. They need to be repaired when we assemble the in-text version.</w:t>
      </w:r>
    </w:p>
    <w:p>
      <w:pPr>
        <w:pStyle w:val="Heading1"/>
      </w:pPr>
      <w:r>
        <w:t>3. The repositioning — what changes, what stays</w:t>
      </w:r>
    </w:p>
    <w:p>
      <w:r>
        <w:rPr>
          <w:b w:val="0"/>
          <w:i w:val="0"/>
        </w:rPr>
        <w:t xml:space="preserve">The repositioning required is surgical, not wholesale. The empirical analysis, the descriptive findings, the methodological exposition of RDS and NSUM, and the discussion of the RDS/NSUM divergence all survive intact (modulo the additional sensitivity analysis covered in the companion analytical memo). What changes is the framing language at the top of the paper, the contribution paragraph, the conceptualization section's engagement with the composite-indicator literature, and the conclusion's policy framing. </w:t>
      </w:r>
    </w:p>
    <w:p>
      <w:pPr>
        <w:pStyle w:val="Heading2"/>
      </w:pPr>
      <w:r>
        <w:t>3.1 Proposed reframed abstract</w:t>
      </w:r>
    </w:p>
    <w:p>
      <w:r>
        <w:rPr>
          <w:b w:val="0"/>
          <w:i/>
        </w:rPr>
        <w:t>Replacement text (190 words, within the 250-word soft cap for SIR):</w:t>
      </w:r>
    </w:p>
    <w:p>
      <w:r>
        <w:rPr>
          <w:b w:val="0"/>
          <w:i/>
        </w:rPr>
        <w:t>Forced labour and labour exploitation are recognised under SDG Target 8.7 as priorities for elimination by 2030, yet the populations affected — undocumented migrant workers, domestic workers, sex workers, agricultural day labourers — are largely invisible to the household surveys on which official social indicators rely. Conventional measurement understates prevalence, often by an order of magnitude, and provides no actionable baseline against which progress toward SDG 8.7 can be assessed. This paper develops and applies a measurement approach that combines respondent-driven sampling (RDS) for ego-level estimation with the network scale-up method (NSUM) for alter-level estimation, allowing the two methods to triangulate prevalence among hidden populations whose true network structure is not directly observable. We apply the approach to UK domestic workers, the hardest realistic case in a developed-economy setting, using a matched-instrument design that produces RDS and NSUM estimates of five comparable ILO-aligned indicators of forced labour. We report per-indicator estimates with bootstrap and Bayesian uncertainty intervals, evaluate sensitivity to the visibility-adjustment factor, and discuss what the divergence between RDS and NSUM estimates implies for quality-of-life monitoring among hidden populations.</w:t>
      </w:r>
    </w:p>
    <w:p>
      <w:pPr>
        <w:pStyle w:val="Heading2"/>
      </w:pPr>
      <w:r>
        <w:t>3.2 Proposed contribution paragraph</w:t>
      </w:r>
    </w:p>
    <w:p>
      <w:r>
        <w:rPr>
          <w:b w:val="0"/>
          <w:i/>
        </w:rPr>
        <w:t>Replacement text (three contributions, all methodological / measurement-focused):</w:t>
      </w:r>
    </w:p>
    <w:p>
      <w:r>
        <w:rPr>
          <w:b w:val="0"/>
          <w:i/>
        </w:rPr>
        <w:t>This paper makes three contributions to the social-indicators literature. First, it develops a dual ego/alter survey instrument that yields directly comparable RDS and NSUM estimates of five ILO-aligned labour-exploitation indicators, addressing a long-standing measurement gap noted by the ILO (2017, 2022) in which RDS-derived estimates rely on respondent self-report whereas NSUM-derived estimates rely on respondents' reports about others. Second, it implements a three-step bootstrap inference procedure for NSUM estimates of multiple indicators in a hidden population, propagating uncertainty from network-size estimation, alter-count estimation and visibility-adjustment in a single re-sampling scheme. Third, it shows how the divergence between RDS and NSUM estimates can be read diagnostically — as evidence about the visibility of different exploitation behaviours within the workers' personal networks — rather than as a single 'best' point estimate, and proposes a continuous risk index that integrates the five indicators into a single quality-of-life-relevant social indicator for hidden vulnerable populations. The UK domestic-worker case demonstrates the approach in the hardest realistic setting; the methodology generalises to other hidden populations relevant to SDG 8.7 monitoring.</w:t>
      </w:r>
    </w:p>
    <w:p>
      <w:pPr>
        <w:pStyle w:val="Heading2"/>
      </w:pPr>
      <w:r>
        <w:t>3.3 What demotes from "contribution" to "application"</w:t>
      </w:r>
    </w:p>
    <w:p>
      <w:r>
        <w:rPr>
          <w:b w:val="0"/>
          <w:i w:val="0"/>
        </w:rPr>
        <w:t>The current draft treats the UK domestic-worker prevalence finding as itself a contribution. SIR will accept that as an application but not as a contribution per se. The reframing demotes the empirical UK-prevalence claim from 'contribution' to 'demonstration on the hardest realistic case'. This is honest — the n=85 RDS sample size cannot support strong inferential claims about UK-wide prevalence on its own — and it inoculates the paper against the small-sample objection that Caroline and I are independently concerned about.</w:t>
      </w:r>
    </w:p>
    <w:p>
      <w:pPr>
        <w:pStyle w:val="Heading2"/>
      </w:pPr>
      <w:r>
        <w:t>3.4 New paragraph: engagement with the SIR-relevant measurement literature</w:t>
      </w:r>
    </w:p>
    <w:p>
      <w:r>
        <w:rPr>
          <w:b w:val="0"/>
          <w:i/>
        </w:rPr>
        <w:t>A short engagement paragraph (~250 words) should be added to the conceptualization section, positioning our risk index in the synthetic-indicator literature SIR cares about. Draft:</w:t>
      </w:r>
    </w:p>
    <w:p>
      <w:r>
        <w:rPr>
          <w:b w:val="0"/>
          <w:i/>
        </w:rPr>
        <w:t>The composite risk index we construct is a synthetic indicator in the sense of Mazziotta and Pareto (2013, 2016), aggregating five binary indicators of labour exploitation into a single continuous quality-of-life-relevant measure. The five indicators correspond to formative rather than reflective measurement: an individual is exploited if they are subject to any of these conditions, and the conditions are constitutive rather than reflective of an underlying latent severity (Diamantopoulos and Siguaw 2006; Diamantopoulos et al. 2008). We adopt a non-compensatory weighting scheme in which the presence of any indicator contributes positive weight to the index but no indicator can offset another, consistent with the ILO operational definition of forced labour (ILO 2012, 2017). Polarity is uniform — each indicator has the same direction with respect to the latent construct of exploitation severity. The choice between aggregation methods follows the guidance of Maggino (2017) and the SIR editorial team (Bartram et al. 2024): we use a weighted-additive index with the five ILO indicators given equal substantive weight (with a 0.35 weight assigned separately to NRM referral, reflecting its diagnostic priority in UK policy practice) and conduct robustness assessment by perturbing the weights. Composite-index sampling error is propagated through the bootstrap (cf. Feldmeyer et al. 2026, SIR).</w:t>
      </w:r>
    </w:p>
    <w:p>
      <w:pPr>
        <w:pStyle w:val="Heading1"/>
      </w:pPr>
      <w:r>
        <w:t>4. What we must do before submitting to SIR</w:t>
      </w:r>
    </w:p>
    <w:p>
      <w:pPr>
        <w:pStyle w:val="ListNumber"/>
      </w:pPr>
      <w:r>
        <w:rPr>
          <w:b/>
        </w:rPr>
        <w:t xml:space="preserve">Reframe abstract, introduction, contribution paragraph, conceptualization. </w:t>
      </w:r>
      <w:r>
        <w:t>Drop all OSCM language. Lead with SDG 8.7 / quality-of-life framing. Engage the composite-indicator literature. (Drafted above; can be inserted directly into the manuscript with light editing for voice.)</w:t>
      </w:r>
    </w:p>
    <w:p>
      <w:pPr>
        <w:pStyle w:val="ListNumber"/>
      </w:pPr>
      <w:r>
        <w:rPr>
          <w:b/>
        </w:rPr>
        <w:t xml:space="preserve">Audit appendix numbers against the R pipeline. </w:t>
      </w:r>
      <w:r>
        <w:t>Independent task — see companion analytical memo. Required before we can sign off on any numbers in the in-text manuscript.</w:t>
      </w:r>
    </w:p>
    <w:p>
      <w:pPr>
        <w:pStyle w:val="ListNumber"/>
      </w:pPr>
      <w:r>
        <w:rPr>
          <w:b/>
        </w:rPr>
        <w:t xml:space="preserve">Strengthen sensitivity analysis. </w:t>
      </w:r>
      <w:r>
        <w:t>Treat visibility-adjustment factor tau as continuous; produce per-indicator CI display so the 34-84%% range becomes legible as cross-indicator heterogeneity rather than statistical uncertainty; surface Bayesian SS-PSE intervals prominently. Companion memo covers this.</w:t>
      </w:r>
    </w:p>
    <w:p>
      <w:pPr>
        <w:pStyle w:val="ListNumber"/>
      </w:pPr>
      <w:r>
        <w:rPr>
          <w:b/>
        </w:rPr>
        <w:t xml:space="preserve">Set up anonymised OSF reviewer code share. </w:t>
      </w:r>
      <w:r>
        <w:t>SIR now requires this. The current code is on GitHub but not packaged for anonymised review. ~1-2 hours of work: clone the repo to OSF as a private project, add an anonymous-view-only link, drop the link as a footnote in the methods section.</w:t>
      </w:r>
    </w:p>
    <w:p>
      <w:pPr>
        <w:pStyle w:val="ListNumber"/>
      </w:pPr>
      <w:r>
        <w:rPr>
          <w:b/>
        </w:rPr>
        <w:t xml:space="preserve">Assemble in-text manuscript. </w:t>
      </w:r>
      <w:r>
        <w:t>Single .docx with tables and figures embedded inline at the cross-reference points, replacing the broken '[Insert about here]' placeholders. This is the editing surface from this point forward.</w:t>
      </w:r>
    </w:p>
    <w:p>
      <w:pPr>
        <w:pStyle w:val="ListNumber"/>
      </w:pPr>
      <w:r>
        <w:rPr>
          <w:b/>
        </w:rPr>
        <w:t xml:space="preserve">Word-count audit. </w:t>
      </w:r>
      <w:r>
        <w:t>Confirm we stay under SIR's 10,000-word ceiling including references. Move detailed methodology to ESM where possible.</w:t>
      </w:r>
    </w:p>
    <w:p>
      <w:pPr>
        <w:pStyle w:val="ListNumber"/>
      </w:pPr>
      <w:r>
        <w:rPr>
          <w:b/>
        </w:rPr>
        <w:t xml:space="preserve">Cover letter. </w:t>
      </w:r>
      <w:r>
        <w:t>Brief cover letter naming the SDG 8.7 / quality-of-life-among-hidden-populations framing, and identifying ourselves as methods+application paper similar to Muñoz et al. (2026, SIR) on Gini-index estimation.</w:t>
      </w:r>
    </w:p>
    <w:p>
      <w:pPr>
        <w:pStyle w:val="Heading1"/>
      </w:pPr>
      <w:r>
        <w:t>5. Recommended sequencing</w:t>
      </w:r>
    </w:p>
    <w:p>
      <w:r>
        <w:rPr>
          <w:b w:val="0"/>
          <w:i w:val="0"/>
        </w:rPr>
        <w:t>With your agreement on the positioning shift proposed above, the next pieces of work, in order, are:</w:t>
      </w:r>
    </w:p>
    <w:p>
      <w:pPr>
        <w:pStyle w:val="ListBullet"/>
      </w:pPr>
      <w:r>
        <w:t>Audit the appendix numbers against the R scripts and produce a discrepancy report (next deliverable from me).</w:t>
      </w:r>
    </w:p>
    <w:p>
      <w:pPr>
        <w:pStyle w:val="ListBullet"/>
      </w:pPr>
      <w:r>
        <w:t>Run the strengthened sensitivity analysis (continuous tau sweep, per-indicator CIs, Bayesian intervals).</w:t>
      </w:r>
    </w:p>
    <w:p>
      <w:pPr>
        <w:pStyle w:val="ListBullet"/>
      </w:pPr>
      <w:r>
        <w:t>Assemble the complete in-text manuscript incorporating the positioning shifts and the revised analytical results.</w:t>
      </w:r>
    </w:p>
    <w:p>
      <w:pPr>
        <w:pStyle w:val="ListBullet"/>
      </w:pPr>
      <w:r>
        <w:t>Final verification pass before any submission to SIR.</w:t>
      </w:r>
    </w:p>
    <w:p>
      <w:r>
        <w:rPr>
          <w:b w:val="0"/>
          <w:i w:val="0"/>
        </w:rPr>
        <w:t>This memo is the first deliverable in that sequence. The audit and sensitivity-analysis pieces follow.</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