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p>
    <w:p w14:paraId="18C8B7B1" w14:textId="0DE1D542" w:rsidR="00AA7A35" w:rsidRPr="006C4698" w:rsidRDefault="00ED6819" w:rsidP="00E669D5">
      <w:pPr>
        <w:spacing w:line="480" w:lineRule="auto"/>
        <w:divId w:val="1975518704"/>
        <w:rPr>
          <w:rFonts w:eastAsia="Times New Roman"/>
          <w:u w:val="single"/>
          <w:lang w:val="en"/>
        </w:rPr>
      </w:pPr>
      <w: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type="auto" w:w="0"/>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Pr>
                <w:b/>
              </w:rPr>
              <w:t>Indicator</w:t>
            </w:r>
          </w:p>
        </w:tc>
        <w:tc>
          <w:tcPr>
            <w:tcW w:type="dxa" w:w="3009"/>
            <w:tcBorders>
              <w:top w:val="single" w:sz="4" w:color="000000"/>
              <w:left w:val="single" w:sz="4" w:color="000000"/>
              <w:bottom w:val="single" w:sz="4" w:color="000000"/>
              <w:right w:val="single" w:sz="4" w:color="000000"/>
            </w:tcBorders>
          </w:tcPr>
          <w:p>
            <w:r>
              <w:rPr>
                <w:b/>
              </w:rPr>
              <w:t>RDS-SS (95% CI)</w:t>
            </w:r>
          </w:p>
        </w:tc>
        <w:tc>
          <w:tcPr>
            <w:tcW w:type="dxa" w:w="3009"/>
            <w:tcBorders>
              <w:top w:val="single" w:sz="4" w:color="000000"/>
              <w:left w:val="single" w:sz="4" w:color="000000"/>
              <w:bottom w:val="single" w:sz="4" w:color="000000"/>
              <w:right w:val="single" w:sz="4" w:color="000000"/>
            </w:tcBorders>
          </w:tcPr>
          <w:p>
            <w:r>
              <w:rPr>
                <w:b/>
              </w:rPr>
              <w:t>MBSU NSUM (Moderate) (95% CI)</w:t>
            </w:r>
          </w:p>
        </w:tc>
      </w:tr>
      <w:tr>
        <w:tc>
          <w:tcPr>
            <w:tcW w:type="dxa" w:w="3009"/>
            <w:tcBorders>
              <w:top w:val="single" w:sz="4" w:color="000000"/>
              <w:left w:val="single" w:sz="4" w:color="000000"/>
              <w:bottom w:val="single" w:sz="4" w:color="000000"/>
              <w:right w:val="single" w:sz="4" w:color="000000"/>
            </w:tcBorders>
          </w:tcPr>
          <w:p>
            <w:r>
              <w:t>Document withholding</w:t>
            </w:r>
          </w:p>
        </w:tc>
        <w:tc>
          <w:tcPr>
            <w:tcW w:type="dxa" w:w="3009"/>
            <w:tcBorders>
              <w:top w:val="single" w:sz="4" w:color="000000"/>
              <w:left w:val="single" w:sz="4" w:color="000000"/>
              <w:bottom w:val="single" w:sz="4" w:color="000000"/>
              <w:right w:val="single" w:sz="4" w:color="000000"/>
            </w:tcBorders>
          </w:tcPr>
          <w:p>
            <w:r>
              <w:t>35.4% (21.1–49.8%)</w:t>
            </w:r>
          </w:p>
        </w:tc>
        <w:tc>
          <w:tcPr>
            <w:tcW w:type="dxa" w:w="3009"/>
            <w:tcBorders>
              <w:top w:val="single" w:sz="4" w:color="000000"/>
              <w:left w:val="single" w:sz="4" w:color="000000"/>
              <w:bottom w:val="single" w:sz="4" w:color="000000"/>
              <w:right w:val="single" w:sz="4" w:color="000000"/>
            </w:tcBorders>
          </w:tcPr>
          <w:p>
            <w:r>
              <w:t>1.08% (0.30–3.13%)</w:t>
            </w:r>
          </w:p>
        </w:tc>
      </w:tr>
      <w:tr>
        <w:tc>
          <w:tcPr>
            <w:tcW w:type="dxa" w:w="3009"/>
            <w:tcBorders>
              <w:top w:val="single" w:sz="4" w:color="000000"/>
              <w:left w:val="single" w:sz="4" w:color="000000"/>
              <w:bottom w:val="single" w:sz="4" w:color="000000"/>
              <w:right w:val="single" w:sz="4" w:color="000000"/>
            </w:tcBorders>
          </w:tcPr>
          <w:p>
            <w:r>
              <w:t>Threats and abuse</w:t>
            </w:r>
          </w:p>
        </w:tc>
        <w:tc>
          <w:tcPr>
            <w:tcW w:type="dxa" w:w="3009"/>
            <w:tcBorders>
              <w:top w:val="single" w:sz="4" w:color="000000"/>
              <w:left w:val="single" w:sz="4" w:color="000000"/>
              <w:bottom w:val="single" w:sz="4" w:color="000000"/>
              <w:right w:val="single" w:sz="4" w:color="000000"/>
            </w:tcBorders>
          </w:tcPr>
          <w:p>
            <w:r>
              <w:t>56.9% (42.3–72.1%)</w:t>
            </w:r>
          </w:p>
        </w:tc>
        <w:tc>
          <w:tcPr>
            <w:tcW w:type="dxa" w:w="3009"/>
            <w:tcBorders>
              <w:top w:val="single" w:sz="4" w:color="000000"/>
              <w:left w:val="single" w:sz="4" w:color="000000"/>
              <w:bottom w:val="single" w:sz="4" w:color="000000"/>
              <w:right w:val="single" w:sz="4" w:color="000000"/>
            </w:tcBorders>
          </w:tcPr>
          <w:p>
            <w:r>
              <w:t>2.69% (1.86–5.86%)</w:t>
            </w:r>
          </w:p>
        </w:tc>
      </w:tr>
      <w:tr>
        <w:tc>
          <w:tcPr>
            <w:tcW w:type="dxa" w:w="3009"/>
            <w:tcBorders>
              <w:top w:val="single" w:sz="4" w:color="000000"/>
              <w:left w:val="single" w:sz="4" w:color="000000"/>
              <w:bottom w:val="single" w:sz="4" w:color="000000"/>
              <w:right w:val="single" w:sz="4" w:color="000000"/>
            </w:tcBorders>
          </w:tcPr>
          <w:p>
            <w:r>
              <w:t>Pay-related issues</w:t>
            </w:r>
          </w:p>
        </w:tc>
        <w:tc>
          <w:tcPr>
            <w:tcW w:type="dxa" w:w="3009"/>
            <w:tcBorders>
              <w:top w:val="single" w:sz="4" w:color="000000"/>
              <w:left w:val="single" w:sz="4" w:color="000000"/>
              <w:bottom w:val="single" w:sz="4" w:color="000000"/>
              <w:right w:val="single" w:sz="4" w:color="000000"/>
            </w:tcBorders>
          </w:tcPr>
          <w:p>
            <w:r>
              <w:t>51.6% (36.5–65.5%)</w:t>
            </w:r>
          </w:p>
        </w:tc>
        <w:tc>
          <w:tcPr>
            <w:tcW w:type="dxa" w:w="3009"/>
            <w:tcBorders>
              <w:top w:val="single" w:sz="4" w:color="000000"/>
              <w:left w:val="single" w:sz="4" w:color="000000"/>
              <w:bottom w:val="single" w:sz="4" w:color="000000"/>
              <w:right w:val="single" w:sz="4" w:color="000000"/>
            </w:tcBorders>
          </w:tcPr>
          <w:p>
            <w:r>
              <w:t>2.88% (1.90–5.68%)</w:t>
            </w:r>
          </w:p>
        </w:tc>
      </w:tr>
      <w:tr>
        <w:tc>
          <w:tcPr>
            <w:tcW w:type="dxa" w:w="3009"/>
            <w:tcBorders>
              <w:top w:val="single" w:sz="4" w:color="000000"/>
              <w:left w:val="single" w:sz="4" w:color="000000"/>
              <w:bottom w:val="single" w:sz="4" w:color="000000"/>
              <w:right w:val="single" w:sz="4" w:color="000000"/>
            </w:tcBorders>
          </w:tcPr>
          <w:p>
            <w:r>
              <w:t>Excessive working hours</w:t>
            </w:r>
          </w:p>
        </w:tc>
        <w:tc>
          <w:tcPr>
            <w:tcW w:type="dxa" w:w="3009"/>
            <w:tcBorders>
              <w:top w:val="single" w:sz="4" w:color="000000"/>
              <w:left w:val="single" w:sz="4" w:color="000000"/>
              <w:bottom w:val="single" w:sz="4" w:color="000000"/>
              <w:right w:val="single" w:sz="4" w:color="000000"/>
            </w:tcBorders>
          </w:tcPr>
          <w:p>
            <w:r>
              <w:t>84.2% (72.2–93.6%)</w:t>
            </w:r>
          </w:p>
        </w:tc>
        <w:tc>
          <w:tcPr>
            <w:tcW w:type="dxa" w:w="3009"/>
            <w:tcBorders>
              <w:top w:val="single" w:sz="4" w:color="000000"/>
              <w:left w:val="single" w:sz="4" w:color="000000"/>
              <w:bottom w:val="single" w:sz="4" w:color="000000"/>
              <w:right w:val="single" w:sz="4" w:color="000000"/>
            </w:tcBorders>
          </w:tcPr>
          <w:p>
            <w:r>
              <w:t>2.98% (1.84–5.51%)</w:t>
            </w:r>
          </w:p>
        </w:tc>
      </w:tr>
      <w:tr>
        <w:tc>
          <w:tcPr>
            <w:tcW w:type="dxa" w:w="3009"/>
            <w:tcBorders>
              <w:top w:val="single" w:sz="4" w:color="000000"/>
              <w:left w:val="single" w:sz="4" w:color="000000"/>
              <w:bottom w:val="single" w:sz="4" w:color="000000"/>
              <w:right w:val="single" w:sz="4" w:color="000000"/>
            </w:tcBorders>
          </w:tcPr>
          <w:p>
            <w:r>
              <w:t>Limited access to help</w:t>
            </w:r>
          </w:p>
        </w:tc>
        <w:tc>
          <w:tcPr>
            <w:tcW w:type="dxa" w:w="3009"/>
            <w:tcBorders>
              <w:top w:val="single" w:sz="4" w:color="000000"/>
              <w:left w:val="single" w:sz="4" w:color="000000"/>
              <w:bottom w:val="single" w:sz="4" w:color="000000"/>
              <w:right w:val="single" w:sz="4" w:color="000000"/>
            </w:tcBorders>
          </w:tcPr>
          <w:p>
            <w:r>
              <w:t>60.6% (45.2–74.1%)</w:t>
            </w:r>
          </w:p>
        </w:tc>
        <w:tc>
          <w:tcPr>
            <w:tcW w:type="dxa" w:w="3009"/>
            <w:tcBorders>
              <w:top w:val="single" w:sz="4" w:color="000000"/>
              <w:left w:val="single" w:sz="4" w:color="000000"/>
              <w:bottom w:val="single" w:sz="4" w:color="000000"/>
              <w:right w:val="single" w:sz="4" w:color="000000"/>
            </w:tcBorders>
          </w:tcPr>
          <w:p>
            <w:r>
              <w:t>2.03% (0.67–4.88%)</w:t>
            </w:r>
          </w:p>
        </w:tc>
      </w:tr>
    </w:tbl>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6DE10CE7" w14:textId="0749FFD3" w:rsidR="00AA7A35" w:rsidRPr="006C4698" w:rsidRDefault="00ED6819" w:rsidP="00E669D5">
      <w:pPr>
        <w:spacing w:line="480" w:lineRule="auto"/>
        <w:divId w:val="1975518704"/>
        <w:rPr>
          <w:rFonts w:eastAsia="Times New Roman"/>
          <w:u w:val="single"/>
          <w:lang w:val="en"/>
        </w:rPr>
      </w:pPr>
      <w:r>
        <w:t>4.4</w:t>
        <w:tab/>
        <w:t>Supporting Estimates and Method Comparison</w:t>
      </w:r>
    </w:p>
    <w:p>
      <w:pPr/>
      <w:r>
        <w:t>For each of the five binary indicators, three additional families of estimates are reported in the appendices for transparency and robustness.</w:t>
      </w:r>
    </w:p>
    <w:p>
      <w:pPr/>
      <w:r>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pPr/>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t>4.5</w:t>
        <w:tab/>
        <w:t>Sensitivity and Robustness</w:t>
      </w:r>
    </w:p>
    <w:p>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pPr/>
      <w:r>
        <w:t>5.1</w:t>
        <w:tab/>
        <w:t>Summary of Findings</w:t>
      </w:r>
    </w:p>
    <w:p>
      <w:pPr>
        <w:pStyle w:val="NormalWeb"/>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pPr/>
      <w:r>
        <w:t>5.2</w:t>
        <w:tab/>
        <w:t>Methodological Reflections and Contributions</w:t>
      </w:r>
    </w:p>
    <w:p>
      <w:pPr>
        <w:pStyle w:val="NormalWeb"/>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pPr>
        <w:pStyle w:val="NormalWeb"/>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pPr>
        <w:pStyle w:val="NormalWeb"/>
      </w:pPr>
      <w:r>
        <w:t>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pPr>
        <w:pStyle w:val="NormalWeb"/>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pPr>
        <w:pStyle w:val="NormalWeb"/>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pPr/>
      <w:r>
        <w:t>5.3</w:t>
        <w:tab/>
        <w:t>The RDS–NSUM Divergence as Diagnostic</w:t>
      </w:r>
    </w:p>
    <w:p>
      <w:pPr>
        <w:pStyle w:val="NormalWeb"/>
      </w:pPr>
      <w:r>
        <w:t>Two related concerns raised by reviewers of earlier versions of this paper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pPr>
        <w:pStyle w:val="NormalWeb"/>
      </w:pPr>
      <w:r>
        <w:t>The “wide range” concern conflates three distinct sources of dispersion in the reported numbers. We should not treat them as a single undifferentiated band of uncertainty.</w:t>
      </w:r>
    </w:p>
    <w:p>
      <w:pPr>
        <w:pStyle w:val="NormalWeb"/>
      </w:pP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pPr>
        <w:pStyle w:val="NormalWeb"/>
      </w:pPr>
      <w:r>
        <w:t>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two answer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pPr>
        <w:pStyle w:val="NormalWeb"/>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pPr>
        <w:pStyle w:val="NormalWeb"/>
      </w:pPr>
      <w:r>
        <w:t>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Salganik (2016) and the subsequent transmission-bias literature (Maltiel et al. 2015, Killworth et al. 1998) document systematic alter under-reporting for stigmatised or concealed traits, with the underestimation factor often an order of magnitude. Our findings are squarely in line with this pattern.</w:t>
      </w:r>
    </w:p>
    <w:p>
      <w:pPr>
        <w:pStyle w:val="NormalWeb"/>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pPr/>
      <w:r>
        <w:t>5.4</w:t>
        <w:tab/>
        <w:t>Generalisability and Indicator Coverage</w:t>
      </w:r>
    </w:p>
    <w:p>
      <w:pPr>
        <w:pStyle w:val="NormalWeb"/>
      </w:pPr>
      <w:r>
        <w:t>Reviewers have asked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pPr>
        <w:pStyle w:val="NormalWeb"/>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pPr>
        <w:pStyle w:val="NormalWeb"/>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pPr>
        <w:pStyle w:val="NormalWeb"/>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pPr/>
      <w:r>
        <w:t>5.5</w:t>
        <w:tab/>
        <w:t>Composite Risk Index: Construction and Weight Sensitivity</w:t>
      </w:r>
    </w:p>
    <w:p>
      <w:pPr>
        <w:pStyle w:val="NormalWeb"/>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pPr>
        <w:pStyle w:val="NormalWeb"/>
      </w:pPr>
      <w:r>
        <w:t>To address this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pPr>
        <w:pStyle w:val="NormalWeb"/>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pPr/>
      <w:r>
        <w:t>5.6</w:t>
        <w:tab/>
        <w:t>Policy Implications and SDG 8.7 Monitoring</w:t>
      </w:r>
    </w:p>
    <w:p>
      <w:pPr>
        <w:pStyle w:val="NormalWeb"/>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pPr>
        <w:pStyle w:val="NormalWeb"/>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pPr>
        <w:pStyle w:val="NormalWeb"/>
      </w:pPr>
      <w:r>
        <w:t>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pPr>
        <w:pStyle w:val="NormalWeb"/>
      </w:pPr>
      <w:r>
        <w:t>In addition, given the vulnerabilities experienced by workers due to the private nature of the workplace, we would urge the UK government to consider the regulation of domestic worker employers.</w:t>
      </w:r>
    </w:p>
    <w:p>
      <w:pPr>
        <w:pStyle w:val="NormalWeb"/>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pPr>
        <w:pStyle w:val="NormalWeb"/>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pPr>
        <w:pStyle w:val="NormalWeb"/>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pPr>
        <w:pStyle w:val="NormalWeb"/>
      </w:pPr>
      <w:r>
        <w:t>Future work in this programme of research should extend the methodology to web-RDS implementations capable of reaching larger and more dispersed samples, and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trike/>
          <w:color w:val="C0392B"/>
        </w:rPr>
        <w:t>This article examines original quantitative data collected with the help of civil society actors from domestic workers based in the UK to measure and assess the nature and prevalence of labour exploitation among this vulnerable population. Our contribution lies in the presentation of two different statistical estimators based upon RDS and NSUM techniques and the construction of both binary and composite risk indices from indicators recognised by the International Labour Organization. In so doing, we shed new light on how quantitative methods may be used to assess the nature and extent of labour exploitation risk among these and other such vulnerable hard-to-reach workers, who typically enter their destination countries on restricted visas, in their advocacy for decent work. The results of our analysis raise important questions for both theory and practice about the range and accuracy of the estimates that it is possible to generate using these statistical techniques. Meaningful and trustworthy estimates of labour exploitation among such vulnerable groups are required if civil society actors are to convince policymakers to make sensitive decisions about policy adjustments and the allocation of scarce resources to ensure entrants, such as those entering the UK labour market, experience decent working conditions. We believe our study opens the way for further transdisciplinary research on the efficacious use of statistical estimators to measure the size of hidden populations of exploited, hard-to-reach, workers and the identification of appropriate means to quantify the extent of labour exploitation experienced.</w:t>
      </w:r>
    </w:p>
    <w:p>
      <w:pPr>
        <w:pStyle w:val="NormalWeb"/>
      </w:pPr>
      <w:r>
        <w:rPr>
          <w:b/>
          <w:color w:val="2171B5"/>
        </w:rPr>
        <w:t>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estimators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pPr>
        <w:pStyle w:val="NormalWeb"/>
      </w:pPr>
      <w:r>
        <w:rPr>
          <w:b/>
          <w:color w:val="2171B5"/>
        </w:rP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 a result that finds support in the within-method robustness of the indicator severity hierarchy across both estimators.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pPr>
        <w:pStyle w:val="NormalWeb"/>
      </w:pPr>
      <w:r>
        <w:rPr>
          <w:b/>
          <w:color w:val="2171B5"/>
        </w:rP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