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organised around the ILO's own operational distinction (ILO 2012, 2017) between 'medium' indicators (multiple required to indicate forced labour: excessive working hours, pay-related issues, limited access to help) and 'strong' indicators (any one alone sufficient to indicate forced labour: threats and abuse, document and passport withholding).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