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pPr/>
      <w:r>
        <w:t>5.1</w:t>
        <w:tab/>
        <w:t>Summary of Findings</w:t>
      </w:r>
    </w:p>
    <w:p>
      <w:pPr>
        <w:pStyle w:val="NormalWeb"/>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pPr/>
      <w:r>
        <w:t>5.2</w:t>
        <w:tab/>
        <w:t>Methodological Reflections and Contributions</w:t>
      </w:r>
    </w:p>
    <w:p>
      <w:pPr>
        <w:pStyle w:val="NormalWeb"/>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pPr>
        <w:pStyle w:val="NormalWeb"/>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pPr>
        <w:pStyle w:val="NormalWeb"/>
      </w:pPr>
      <w: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pPr>
        <w:pStyle w:val="NormalWeb"/>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pPr>
        <w:pStyle w:val="NormalWeb"/>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pPr/>
      <w:r>
        <w:t>5.3</w:t>
        <w:tab/>
        <w:t>The RDS–NSUM Divergence as Diagnostic</w:t>
      </w:r>
    </w:p>
    <w:p>
      <w:pPr>
        <w:pStyle w:val="NormalWeb"/>
      </w:pPr>
      <w:r>
        <w:t>Two related concerns raised by reviewers of earlier versions of this paper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pPr>
        <w:pStyle w:val="NormalWeb"/>
      </w:pPr>
      <w:r>
        <w:t>The “wide range” concern conflates three distinct sources of dispersion in the reported numbers. We should not treat them as a single undifferentiated band of uncertainty.</w:t>
      </w:r>
    </w:p>
    <w:p>
      <w:pPr>
        <w:pStyle w:val="NormalWeb"/>
      </w:pP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pPr>
        <w:pStyle w:val="NormalWeb"/>
      </w:pPr>
      <w:r>
        <w:t>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two answer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pPr>
        <w:pStyle w:val="NormalWeb"/>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pPr>
        <w:pStyle w:val="NormalWeb"/>
      </w:pPr>
      <w:r>
        <w:t>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Salganik (2016) and the subsequent transmission-bias literature (Maltiel et al. 2015, Killworth et al. 1998) document systematic alter under-reporting for stigmatised or concealed traits, with the underestimation factor often an order of magnitude. Our findings are squarely in line with this pattern.</w:t>
      </w:r>
    </w:p>
    <w:p>
      <w:pPr>
        <w:pStyle w:val="NormalWeb"/>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pPr/>
      <w:r>
        <w:t>5.4</w:t>
        <w:tab/>
        <w:t>Generalisability and Indicator Coverage</w:t>
      </w:r>
    </w:p>
    <w:p>
      <w:pPr>
        <w:pStyle w:val="NormalWeb"/>
      </w:pPr>
      <w:r>
        <w:t>Reviewers have asked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pPr>
        <w:pStyle w:val="NormalWeb"/>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pPr>
        <w:pStyle w:val="NormalWeb"/>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pPr>
        <w:pStyle w:val="NormalWeb"/>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pPr/>
      <w:r>
        <w:t>5.5</w:t>
        <w:tab/>
        <w:t>Composite Risk Index: Construction and Weight Sensitivity</w:t>
      </w:r>
    </w:p>
    <w:p>
      <w:pPr>
        <w:pStyle w:val="NormalWeb"/>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pPr>
        <w:pStyle w:val="NormalWeb"/>
      </w:pPr>
      <w:r>
        <w:t>To address this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pPr>
        <w:pStyle w:val="NormalWeb"/>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pPr/>
      <w:r>
        <w:t>5.6</w:t>
        <w:tab/>
        <w:t>Policy Implications and SDG 8.7 Monitoring</w:t>
      </w:r>
    </w:p>
    <w:p>
      <w:pPr>
        <w:pStyle w:val="NormalWeb"/>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pPr>
        <w:pStyle w:val="NormalWeb"/>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pPr>
        <w:pStyle w:val="NormalWeb"/>
      </w:pPr>
      <w: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pPr>
        <w:pStyle w:val="NormalWeb"/>
      </w:pPr>
      <w:r>
        <w:t>In addition, given the vulnerabilities experienced by workers due to the private nature of the workplace, we would urge the UK government to consider the regulation of domestic worker employers.</w:t>
      </w:r>
    </w:p>
    <w:p>
      <w:pPr>
        <w:pStyle w:val="NormalWeb"/>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pPr>
        <w:pStyle w:val="NormalWeb"/>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pPr>
        <w:pStyle w:val="NormalWeb"/>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pPr>
        <w:pStyle w:val="NormalWeb"/>
      </w:pPr>
      <w:r>
        <w:t>Future work in this programme of research should extend the methodology to web-RDS implementations capable of reaching larger and more dispersed samples, and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estimators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pPr>
        <w:pStyle w:val="NormalWeb"/>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pPr>
        <w:pStyle w:val="NormalWeb"/>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