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an anonymised OSF mirror: [OSF URL TO BE INSERTED]. The repository (currently private on GitHub at https://github.com/smoser11/DWeMSinUK) will be made public on acceptance.</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(MA.estimates)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Salganik, 2016) addresses these failures through two multiplicative adjustment factors applied to the unadjusted scale-up estimate: δ_F, the ratio of the average hidden-population network size to the average frame-population network size (values &lt; 1 indicate the hidden population has smaller networks, biasing the unadjusted estimate downward); and τ_F, the true-positive rate of respondents' reports about hidden-population alters (values &lt; 1 indicate underreporting due to stigma, lack of awareness, or social distance). The adjusted estimate is N_H = N_H_basic × (1/δ_F) × (1/τ_F).</w:t>
      </w:r>
    </w:p>
    <w:p w14:paraId="15FA7BE4" w14:textId="29DFB17D" w:rsidR="00AA7A35" w:rsidRDefault="20623E89" w:rsidP="004C516E">
      <w:pPr>
        <w:spacing w:line="480" w:lineRule="auto"/>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pPr/>
      <w:r>
        <w:rPr>
          <w:b/>
        </w:rPr>
        <w:t>3.6</w:t>
        <w:tab/>
        <w:t>Choice of population size and the invariance of prevalence</w:t>
      </w:r>
    </w:p>
    <w:p>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r>
        <w:t>Why, then, are different N values used in different parts of the analysis? RDS and NSUM headline estimates use N = 980,000, the EU baseline estimate for UK domestic workers; this is the value most readers will expect to see and against which any absolute-count reporting should be benchmarked.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14:paraId="76354635" w14:textId="4FC29429" w:rsidR="00AA7A35" w:rsidRPr="00E063D0" w:rsidRDefault="65DF30FE" w:rsidP="00E669D5">
      <w:pPr>
        <w:spacing w:line="480" w:lineRule="auto"/>
        <w:divId w:val="1975518704"/>
        <w:rPr>
          <w:rFonts w:eastAsia="Times New Roman"/>
          <w:u w:val="single"/>
          <w:lang w:val="en"/>
        </w:rPr>
      </w:pPr>
      <w:r>
        <w:t>3.7</w:t>
        <w:tab/>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gramStart"/>
      <w:proofErr w:type="gramEnd"/>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t>3.8 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pPr>
        <w:pStyle w:val="Heading1"/>
      </w:pPr>
      <w: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t>4.2</w:t>
        <w:tab/>
        <w:t>Continuous Risk Index: RDS-SS Estimates</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p>
    <w:p w14:paraId="18C8B7B1" w14:textId="0DE1D542" w:rsidR="00AA7A35" w:rsidRPr="006C4698" w:rsidRDefault="00ED6819" w:rsidP="00E669D5">
      <w:pPr>
        <w:spacing w:line="480" w:lineRule="auto"/>
        <w:divId w:val="1975518704"/>
        <w:rPr>
          <w:rFonts w:eastAsia="Times New Roman"/>
          <w:u w:val="single"/>
          <w:lang w:val="en"/>
        </w:rPr>
      </w:pPr>
      <w:r>
        <w:t>4.3</w:t>
        <w:tab/>
        <w:t>Binary Exploitation Indicators: Preferred Prevalence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t>Table 2 reports the preferred prevalence estimates for each of the five binary ILO-aligned indicators in the UK domestic-worker population, presenting both RDS-SS (ego-based; Salganik-Heckathorn and Gile's Successive Sampling lineage) and MBSU NSUM (alter-based; Feehan and Salganik 2016) estimates side by side. Figure 4 shows the RDS-SS estimates with per-method bootstrap confidence intervals for visual comparison with the RDS-I estimator.</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proofErr w:type="gramStart"/>
      <w:proofErr w:type="gramEnd"/>
      <w:r>
        <w:t>Prevalence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pPr>
        <w:pStyle w:val="NormalWeb"/>
      </w:pPr>
      <w:r>
        <w:rPr>
          <w:i/>
          <w:sz w:val="20"/>
        </w:rPr>
        <w:t>Table 2. Preferred Prevalence Estimates for the Five Binary ILO-Aligned Indicators (UK Domestic Workers, N = 980,000). RDS-SS columns from neighbourhood-bootstrap 95% CIs (B = 1000); MBSU NSUM (Moderate: δ = 0.9, τ = 0.85) columns from neighbourhood-bootstrap 95% CIs. Indicators ordered from highest to lowest ILO severity (strong → medium). Source: Authors' own work.</w:t>
      </w:r>
    </w:p>
    <w:tbl>
      <w:tblPr>
        <w:tblW w:type="auto" w:w="0"/>
        <w:tblLook w:firstColumn="1" w:firstRow="1" w:lastColumn="0" w:lastRow="0" w:noHBand="0" w:noVBand="1" w:val="04A0"/>
      </w:tblPr>
      <w:tblGrid>
        <w:gridCol w:w="3009"/>
        <w:gridCol w:w="3009"/>
        <w:gridCol w:w="3009"/>
      </w:tblGrid>
      <w:tr>
        <w:tc>
          <w:tcPr>
            <w:tcW w:type="dxa" w:w="3009"/>
            <w:tcBorders>
              <w:top w:val="single" w:sz="4" w:color="000000"/>
              <w:left w:val="single" w:sz="4" w:color="000000"/>
              <w:bottom w:val="single" w:sz="4" w:color="000000"/>
              <w:right w:val="single" w:sz="4" w:color="000000"/>
            </w:tcBorders>
          </w:tcPr>
          <w:p>
            <w:r>
              <w:rPr>
                <w:b/>
              </w:rPr>
              <w:t>Indicator</w:t>
            </w:r>
          </w:p>
        </w:tc>
        <w:tc>
          <w:tcPr>
            <w:tcW w:type="dxa" w:w="3009"/>
            <w:tcBorders>
              <w:top w:val="single" w:sz="4" w:color="000000"/>
              <w:left w:val="single" w:sz="4" w:color="000000"/>
              <w:bottom w:val="single" w:sz="4" w:color="000000"/>
              <w:right w:val="single" w:sz="4" w:color="000000"/>
            </w:tcBorders>
          </w:tcPr>
          <w:p>
            <w:r>
              <w:rPr>
                <w:b/>
              </w:rPr>
              <w:t>RDS-SS (95% CI)</w:t>
            </w:r>
          </w:p>
        </w:tc>
        <w:tc>
          <w:tcPr>
            <w:tcW w:type="dxa" w:w="3009"/>
            <w:tcBorders>
              <w:top w:val="single" w:sz="4" w:color="000000"/>
              <w:left w:val="single" w:sz="4" w:color="000000"/>
              <w:bottom w:val="single" w:sz="4" w:color="000000"/>
              <w:right w:val="single" w:sz="4" w:color="000000"/>
            </w:tcBorders>
          </w:tcPr>
          <w:p>
            <w:r>
              <w:rPr>
                <w:b/>
              </w:rPr>
              <w:t>MBSU NSUM (Moderate) (95% CI)</w:t>
            </w:r>
          </w:p>
        </w:tc>
      </w:tr>
      <w:tr>
        <w:tc>
          <w:tcPr>
            <w:tcW w:type="dxa" w:w="3009"/>
            <w:tcBorders>
              <w:top w:val="single" w:sz="4" w:color="000000"/>
              <w:left w:val="single" w:sz="4" w:color="000000"/>
              <w:bottom w:val="single" w:sz="4" w:color="000000"/>
              <w:right w:val="single" w:sz="4" w:color="000000"/>
            </w:tcBorders>
          </w:tcPr>
          <w:p>
            <w:r>
              <w:t>Document withholding</w:t>
            </w:r>
          </w:p>
        </w:tc>
        <w:tc>
          <w:tcPr>
            <w:tcW w:type="dxa" w:w="3009"/>
            <w:tcBorders>
              <w:top w:val="single" w:sz="4" w:color="000000"/>
              <w:left w:val="single" w:sz="4" w:color="000000"/>
              <w:bottom w:val="single" w:sz="4" w:color="000000"/>
              <w:right w:val="single" w:sz="4" w:color="000000"/>
            </w:tcBorders>
          </w:tcPr>
          <w:p>
            <w:r>
              <w:t>35.4% (21.1–49.8%)</w:t>
            </w:r>
          </w:p>
        </w:tc>
        <w:tc>
          <w:tcPr>
            <w:tcW w:type="dxa" w:w="3009"/>
            <w:tcBorders>
              <w:top w:val="single" w:sz="4" w:color="000000"/>
              <w:left w:val="single" w:sz="4" w:color="000000"/>
              <w:bottom w:val="single" w:sz="4" w:color="000000"/>
              <w:right w:val="single" w:sz="4" w:color="000000"/>
            </w:tcBorders>
          </w:tcPr>
          <w:p>
            <w:r>
              <w:t>1.08% (0.30–3.13%)</w:t>
            </w:r>
          </w:p>
        </w:tc>
      </w:tr>
      <w:tr>
        <w:tc>
          <w:tcPr>
            <w:tcW w:type="dxa" w:w="3009"/>
            <w:tcBorders>
              <w:top w:val="single" w:sz="4" w:color="000000"/>
              <w:left w:val="single" w:sz="4" w:color="000000"/>
              <w:bottom w:val="single" w:sz="4" w:color="000000"/>
              <w:right w:val="single" w:sz="4" w:color="000000"/>
            </w:tcBorders>
          </w:tcPr>
          <w:p>
            <w:r>
              <w:t>Threats and abuse</w:t>
            </w:r>
          </w:p>
        </w:tc>
        <w:tc>
          <w:tcPr>
            <w:tcW w:type="dxa" w:w="3009"/>
            <w:tcBorders>
              <w:top w:val="single" w:sz="4" w:color="000000"/>
              <w:left w:val="single" w:sz="4" w:color="000000"/>
              <w:bottom w:val="single" w:sz="4" w:color="000000"/>
              <w:right w:val="single" w:sz="4" w:color="000000"/>
            </w:tcBorders>
          </w:tcPr>
          <w:p>
            <w:r>
              <w:t>56.9% (42.3–72.1%)</w:t>
            </w:r>
          </w:p>
        </w:tc>
        <w:tc>
          <w:tcPr>
            <w:tcW w:type="dxa" w:w="3009"/>
            <w:tcBorders>
              <w:top w:val="single" w:sz="4" w:color="000000"/>
              <w:left w:val="single" w:sz="4" w:color="000000"/>
              <w:bottom w:val="single" w:sz="4" w:color="000000"/>
              <w:right w:val="single" w:sz="4" w:color="000000"/>
            </w:tcBorders>
          </w:tcPr>
          <w:p>
            <w:r>
              <w:t>2.69% (1.86–5.86%)</w:t>
            </w:r>
          </w:p>
        </w:tc>
      </w:tr>
      <w:tr>
        <w:tc>
          <w:tcPr>
            <w:tcW w:type="dxa" w:w="3009"/>
            <w:tcBorders>
              <w:top w:val="single" w:sz="4" w:color="000000"/>
              <w:left w:val="single" w:sz="4" w:color="000000"/>
              <w:bottom w:val="single" w:sz="4" w:color="000000"/>
              <w:right w:val="single" w:sz="4" w:color="000000"/>
            </w:tcBorders>
          </w:tcPr>
          <w:p>
            <w:r>
              <w:t>Pay-related issues</w:t>
            </w:r>
          </w:p>
        </w:tc>
        <w:tc>
          <w:tcPr>
            <w:tcW w:type="dxa" w:w="3009"/>
            <w:tcBorders>
              <w:top w:val="single" w:sz="4" w:color="000000"/>
              <w:left w:val="single" w:sz="4" w:color="000000"/>
              <w:bottom w:val="single" w:sz="4" w:color="000000"/>
              <w:right w:val="single" w:sz="4" w:color="000000"/>
            </w:tcBorders>
          </w:tcPr>
          <w:p>
            <w:r>
              <w:t>51.6% (36.5–65.5%)</w:t>
            </w:r>
          </w:p>
        </w:tc>
        <w:tc>
          <w:tcPr>
            <w:tcW w:type="dxa" w:w="3009"/>
            <w:tcBorders>
              <w:top w:val="single" w:sz="4" w:color="000000"/>
              <w:left w:val="single" w:sz="4" w:color="000000"/>
              <w:bottom w:val="single" w:sz="4" w:color="000000"/>
              <w:right w:val="single" w:sz="4" w:color="000000"/>
            </w:tcBorders>
          </w:tcPr>
          <w:p>
            <w:r>
              <w:t>2.88% (1.90–5.68%)</w:t>
            </w:r>
          </w:p>
        </w:tc>
      </w:tr>
      <w:tr>
        <w:tc>
          <w:tcPr>
            <w:tcW w:type="dxa" w:w="3009"/>
            <w:tcBorders>
              <w:top w:val="single" w:sz="4" w:color="000000"/>
              <w:left w:val="single" w:sz="4" w:color="000000"/>
              <w:bottom w:val="single" w:sz="4" w:color="000000"/>
              <w:right w:val="single" w:sz="4" w:color="000000"/>
            </w:tcBorders>
          </w:tcPr>
          <w:p>
            <w:r>
              <w:t>Excessive working hours</w:t>
            </w:r>
          </w:p>
        </w:tc>
        <w:tc>
          <w:tcPr>
            <w:tcW w:type="dxa" w:w="3009"/>
            <w:tcBorders>
              <w:top w:val="single" w:sz="4" w:color="000000"/>
              <w:left w:val="single" w:sz="4" w:color="000000"/>
              <w:bottom w:val="single" w:sz="4" w:color="000000"/>
              <w:right w:val="single" w:sz="4" w:color="000000"/>
            </w:tcBorders>
          </w:tcPr>
          <w:p>
            <w:r>
              <w:t>84.2% (72.2–93.6%)</w:t>
            </w:r>
          </w:p>
        </w:tc>
        <w:tc>
          <w:tcPr>
            <w:tcW w:type="dxa" w:w="3009"/>
            <w:tcBorders>
              <w:top w:val="single" w:sz="4" w:color="000000"/>
              <w:left w:val="single" w:sz="4" w:color="000000"/>
              <w:bottom w:val="single" w:sz="4" w:color="000000"/>
              <w:right w:val="single" w:sz="4" w:color="000000"/>
            </w:tcBorders>
          </w:tcPr>
          <w:p>
            <w:r>
              <w:t>2.98% (1.84–5.51%)</w:t>
            </w:r>
          </w:p>
        </w:tc>
      </w:tr>
      <w:tr>
        <w:tc>
          <w:tcPr>
            <w:tcW w:type="dxa" w:w="3009"/>
            <w:tcBorders>
              <w:top w:val="single" w:sz="4" w:color="000000"/>
              <w:left w:val="single" w:sz="4" w:color="000000"/>
              <w:bottom w:val="single" w:sz="4" w:color="000000"/>
              <w:right w:val="single" w:sz="4" w:color="000000"/>
            </w:tcBorders>
          </w:tcPr>
          <w:p>
            <w:r>
              <w:t>Limited access to help</w:t>
            </w:r>
          </w:p>
        </w:tc>
        <w:tc>
          <w:tcPr>
            <w:tcW w:type="dxa" w:w="3009"/>
            <w:tcBorders>
              <w:top w:val="single" w:sz="4" w:color="000000"/>
              <w:left w:val="single" w:sz="4" w:color="000000"/>
              <w:bottom w:val="single" w:sz="4" w:color="000000"/>
              <w:right w:val="single" w:sz="4" w:color="000000"/>
            </w:tcBorders>
          </w:tcPr>
          <w:p>
            <w:r>
              <w:t>60.6% (45.2–74.1%)</w:t>
            </w:r>
          </w:p>
        </w:tc>
        <w:tc>
          <w:tcPr>
            <w:tcW w:type="dxa" w:w="3009"/>
            <w:tcBorders>
              <w:top w:val="single" w:sz="4" w:color="000000"/>
              <w:left w:val="single" w:sz="4" w:color="000000"/>
              <w:bottom w:val="single" w:sz="4" w:color="000000"/>
              <w:right w:val="single" w:sz="4" w:color="000000"/>
            </w:tcBorders>
          </w:tcPr>
          <w:p>
            <w:r>
              <w:t>2.03% (0.67–4.88%)</w:t>
            </w:r>
          </w:p>
        </w:tc>
      </w:tr>
    </w:tbl>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r>
        <w:t xml:space="preserve"> Reported as a supporting Bayesian comparison; the preferred binary-indicator estimator is RDS-SS (see Section 4.3, Figure 4, and Table 2).</w:t>
      </w:r>
    </w:p>
    <w:p w14:paraId="6DE10CE7" w14:textId="0749FFD3" w:rsidR="00AA7A35" w:rsidRPr="006C4698" w:rsidRDefault="00ED6819" w:rsidP="00E669D5">
      <w:pPr>
        <w:spacing w:line="480" w:lineRule="auto"/>
        <w:divId w:val="1975518704"/>
        <w:rPr>
          <w:rFonts w:eastAsia="Times New Roman"/>
          <w:u w:val="single"/>
          <w:lang w:val="en"/>
        </w:rPr>
      </w:pPr>
      <w:r>
        <w:t>4.4</w:t>
        <w:tab/>
        <w:t>Supporting Estimates and Method Comparison</w:t>
      </w:r>
    </w:p>
    <w:p>
      <w:pPr/>
      <w:r>
        <w:t>For each of the five binary indicators, three additional families of estimates are reported in the appendices for transparency and robustness.</w:t>
      </w:r>
    </w:p>
    <w:p>
      <w:pPr/>
      <w:r>
        <w:t>Bayesian Model-Assisted (MA-RDS). Table 3 reports the Gile-Handcock (2015) MA-RDS Bayesian estimates at N = 50,000 with 95% credible intervals. Posterior means range from 34.1% (document withholding) to 84.0% (excessive working hours), broadly tracking the RDS-SS preferred estimates with slightly wider credible intervals — appropriate uncertainty quantification at n = 85. Figure 3 plots these as a forest.</w:t>
      </w:r>
    </w:p>
    <w:p>
      <w:pPr/>
      <w:r>
        <w:t>Frequentist RDS-I and RDS-II. Table 4 compares RDS-I (Salganik-Heckathorn)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Salganik 2010).</w:t>
      </w:r>
    </w:p>
    <w:p>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t>4.5</w:t>
        <w:tab/>
        <w:t>Sensitivity and Robustness</w:t>
      </w:r>
    </w:p>
    <w:p>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pPr/>
      <w:r>
        <w:t>5.1</w:t>
        <w:tab/>
        <w:t>Summary of Findings</w:t>
      </w:r>
    </w:p>
    <w:p>
      <w:pPr>
        <w:pStyle w:val="NormalWeb"/>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pPr/>
      <w:r>
        <w:t>5.2</w:t>
        <w:tab/>
        <w:t>Methodological Reflections and Contributions</w:t>
      </w:r>
    </w:p>
    <w:p>
      <w:pPr>
        <w:pStyle w:val="NormalWeb"/>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pPr>
        <w:pStyle w:val="NormalWeb"/>
      </w:pPr>
      <w: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pPr>
        <w:pStyle w:val="NormalWeb"/>
      </w:pPr>
      <w:r>
        <w:t>Combining RDS and NSUM on the same survey instrument: By designing a survey that captures both ego and alter information, we are able to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pPr>
        <w:pStyle w:val="NormalWeb"/>
      </w:pPr>
      <w: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 The procedure captures multiple layers of variability and produces per-indicator confidence intervals that are honest about the cumulative uncertainty in the design.</w:t>
      </w:r>
    </w:p>
    <w:p>
      <w:pPr>
        <w:pStyle w:val="NormalWeb"/>
      </w:pPr>
      <w: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pPr/>
      <w:r>
        <w:t>5.3</w:t>
        <w:tab/>
        <w:t>The RDS–NSUM Divergence as Diagnostic</w:t>
      </w:r>
    </w:p>
    <w:p>
      <w:pPr>
        <w:pStyle w:val="NormalWeb"/>
      </w:pPr>
      <w:r>
        <w:t>Two related concerns raised by reviewers of earlier versions of this paper are taken up here: that the reported prevalence estimates span a wide range, and that the sample size (n = 85) is small for population-level inference. We argue that the apparent “wide range” in fact reflects three conceptually distinct sources of dispersion, each of which carries a different epistemic status; and that on the only one of the three sources where sample size matters, n = 85 is competitive for hidden-population designs and the per-method bootstrap confidence intervals we now report propagate the implied uncertainty honestly.</w:t>
      </w:r>
    </w:p>
    <w:p>
      <w:pPr>
        <w:pStyle w:val="NormalWeb"/>
      </w:pPr>
      <w:r>
        <w:t>The “wide range” concern conflates three distinct sources of dispersion in the reported numbers. We should not treat them as a single undifferentiated band of uncertainty.</w:t>
      </w:r>
    </w:p>
    <w:p>
      <w:pPr>
        <w:pStyle w:val="NormalWeb"/>
      </w:pPr>
      <w:r>
        <w:t>The first source is across-indicator variation. Within any single method, prevalence varies substantially across the five ILO-aligned indicators — under RDS-SS, from 35.4% for document withholding to 84.2% for excessive working hours, a 49-percentage-point spread. This is a substantive finding, not noise. It tells us that severe forms of coercion (document confiscation, which the ILO classifies as a strong indicator any one of which alone is sufficient to indicate forced labour) are less common in this population than less severe forms of abuse (excessive hours, an ILO medium indicator whose presence individually is suggestive but not definitive). The hierarchy is interpretable, matches the ILO severity gradation, and is reproduced across methods. Collapsing this hierarchy into a single “wide range” headline obscures what is arguably the paper’s most policy-relevant finding: that different exploitation behaviours have meaningfully different population frequencies.</w:t>
      </w:r>
    </w:p>
    <w:p>
      <w:pPr>
        <w:pStyle w:val="NormalWeb"/>
      </w:pPr>
      <w:r>
        <w:t>The second source is across-method variation. For any single indicator, RDS and NSUM estimates differ by roughly an order of magnitude: document withholding sits at 35.4% under RDS-SS but at 1.08% under MBSU Moderate NSUM; excessive hours at 84.2% versus 2.98%. This too is a substantive finding, not noise. It is the visibility gradient diagnostic that lies at the centre of this paper’s contribution: ego-based RDS asks what happened to you, alter-based NSUM asks what you can see happening to others, and the two answer related but different questions for behaviours that occur behind closed doors — almost by definition for domestic work conducted inside a private home. The order-of-magnitude gap between our RDS and NSUM estimates is therefore not a methodological pathology but a quantification of the visibility gradient that separates lived experience from network-observable behaviour. Reporting RDS and NSUM side-by-side (Table 2) is the paper’s design choice precisely because the gap is the point.</w:t>
      </w:r>
    </w:p>
    <w:p>
      <w:pPr>
        <w:pStyle w:val="NormalWeb"/>
      </w:pPr>
      <w:r>
        <w:t>The third source — and the only one that is irreducibly statistical uncertainty in the conventional sense — is within-method, within-indicator sampling variation. This is what the bootstrap confidence intervals capture, and these are much tighter than the across-indicator and across-method spreads taken together. RDS-SS within-indicator CIs span 21–30 percentage points; MBSU Moderate within-indicator CIs span 1–4 percentage points. A residual component of within-method uncertainty for NSUM specifically comes from the unknown true-positive rate τ, which the continuous-τ sweep across τ ∈ [0.40, 1.00] in ESM_4 reports as a sensitivity curve rather than committing to a single point estimate. Sample-size effects operate through this third channel and only this third channel: more respondents would narrow the bootstrap CIs but would not narrow the across-indicator hierarchy (which is real) or the across-method gap (which is the diagnostic finding).</w:t>
      </w:r>
    </w:p>
    <w:p>
      <w:pPr>
        <w:pStyle w:val="NormalWeb"/>
      </w:pPr>
      <w:r>
        <w:t>Three further observations support the visibility-gradient interpretation of the across-method gap. First, the gap is largest for the indicators we would expect to be least visible across network ties. Document withholding is concealed by definition: the document is taken and the worker either complies under duress or has limited recourse to alert others. Excessive working hours is comparatively more visible to other domestic workers, who can often infer working hours from communication patterns, time off, and meeting availability — and the ratio of ego to alter estimates is correspondingly smaller for hours than for documents (28× versus 33×). Second, the within-method ordering of indicators is remarkably stable across methodologically unrelated estimators, which is the robustness signal that justifies treating the indicators as measuring meaningfully distinct gradations of severity, even where absolute levels differ. Third, the direction of the bias is consistent with what the NSUM literature predicts. Feehan and Salganik (2016) and the subsequent transmission-bias literature (Maltiel et al. 2015, Killworth et al. 1998) document systematic alter under-reporting for stigmatised or concealed traits, with the underestimation factor often an order of magnitude. Our findings are squarely in line with this pattern.</w:t>
      </w:r>
    </w:p>
    <w:p>
      <w:pPr>
        <w:pStyle w:val="NormalWeb"/>
      </w:pPr>
      <w:r>
        <w:t>On the sample-size sub-concern: n = 85 is small by household-survey standards but competitive for hidden-population studies. Published applications of RDS to similar populations operate at sample sizes in the 100–300 range, and UK domestic-worker NGO samples (Kalayaan, Latin American Women’s Rights Service) are typically smaller and self-selected rather than network-recruited. The dual ego/alter survey design extracts substantially more information per respondent than a household survey, because each respondent contributes both their own exploitation status and observations of network alters; the 85 respondents therefore yield 170 indicator measurements per ILO category once both reports are counted, before any network-weighting amplification. A further sample-related limitation is that recruitment chains did not propagate as deeply as the RDS design envisaged — most respondents are original sample members (seeds) drawn from the participating civil-society organisations’ immediate contact networks, rather than later-wave recruits accessed through respondent-driven referral. A longer field period or higher per-referral incentive in future replications would help propagate chains further and yield a sample less dependent on seed properties.</w:t>
      </w:r>
    </w:p>
    <w:p>
      <w:pPr/>
      <w:r>
        <w:t>5.4</w:t>
        <w:tab/>
        <w:t>Generalisability and Indicator Coverage</w:t>
      </w:r>
    </w:p>
    <w:p>
      <w:pPr>
        <w:pStyle w:val="NormalWeb"/>
      </w:pPr>
      <w:r>
        <w:t>Reviewers have asked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pPr>
        <w:pStyle w:val="NormalWeb"/>
      </w:pPr>
      <w:r>
        <w:t>On generalisability: the sample is drawn from two civil-society networks based in London (Kalayaan and the Latin American Women’s Rights Service) and is not representative of all UK migrant domestic workers, much less all migrant domestic workers globally or all hidden populations relevant to SDG Target 8.7. The respondent demographics skew toward Filipino and Latinx nationalities, both of which are well-represented in the participating organisations’ membership but which together do not reflect the full ethnonational composition of the UK migrant domestic worker population (which also includes substantial South Asian, East African, and Eastern European communities not reached by these networks within the field period). What the paper demonstrates is methodological feasibility on the hardest realistic case — a hidden migrant population in a developed economy with restrictive visa conditions, mediated by under-resourced civil-society partners — and a set of specific prevalence estimates for that sample. The methodology generalises (the dual RDS–NSUM design can be applied to other hidden populations and other geographies); the specific prevalence numbers should not be extrapolated beyond this sample.</w:t>
      </w:r>
    </w:p>
    <w:p>
      <w:pPr>
        <w:pStyle w:val="NormalWeb"/>
      </w:pPr>
      <w:r>
        <w:t>On indicator coverage: the paper measures five ILO indicators directly (excessive working hours, pay-related issues, threats and abuse, document withholding, limited access to help — see Section 2.1 for the mapping to the eleven canonical ILO indicators). Two further ILO indicators (abuse of vulnerability, deception) are absorbed thematically into the composite risk index but not estimated as standalone prevalence figures, because they require retrospective interpretation that brief-survey self-report cannot reliably elicit at our sample size — a respondent asked “were you deceived about your working conditions” must reconstruct intent and knowledge states from the perspective of months or years after the fact. Two further indicators (induced addiction, sale of a person) are too rare in the UK domestic-work context to estimate meaningfully at n = 85 — we record zero affirmative responses to both indicators in this sample, but a zero in an n = 85 sample is statistically uninformative about the population rate. Debt bondage is partially captured under the pay-related issues composite. The paper’s claim is therefore not “prevalence of forced labour as defined by the eleven ILO indicators” but “prevalence of nine of the eleven ILO indicators, with two principled exclusions and one thematic consolidation”, as set out in the mapping in Section 2.1.</w:t>
      </w:r>
    </w:p>
    <w:p>
      <w:pPr>
        <w:pStyle w:val="NormalWeb"/>
      </w:pPr>
      <w:r>
        <w:t>Taking the divergence diagnostic, the generalisability qualifications, and the indicator coverage qualifications together, what does this design licence the paper to claim? Not a single point estimate of “the prevalence of forced labour among UK domestic workers”, because no single point estimate is identified — the truth for any given indicator lies between the ego-based and alter-based reports, with the location on that interval depending on assumptions about visibility that the data cannot fully pin down. What the design does licence is (a) a credible lower bound for population-level estimates of severe coercion (the MBSU Moderate figures are conservative under any reasonable parameterisation of τ); (b) a credible characterisation of relative incidence among respondents from the RDS estimates, and of the indicator severity hierarchy from the cross-method robustness; and (c) a diagnostic of which exploitation behaviours are visible to other workers and which are not — a finding with direct implications for the design of network-mediated outreach interventions (Section 5.6).</w:t>
      </w:r>
    </w:p>
    <w:p>
      <w:pPr/>
      <w:r>
        <w:t>5.5</w:t>
        <w:tab/>
        <w:t>Composite Risk Index: Construction and Weight Sensitivity</w:t>
      </w:r>
    </w:p>
    <w:p>
      <w:pPr>
        <w:pStyle w:val="NormalWeb"/>
      </w:pPr>
      <w:r>
        <w:t>A further question is whether the composite risk index reported in Section 4.2 is sensitive to the specific weights assigned to its eleven sub-indicators. The index is constructed as a weighted sum of binary or partial-credit responses across eleven indicator categories drawn from the ILO framework, with weights anchored on the medium/strong severity gradation: strong-indicator categories (intimidation and threats, physical and sexual violence, retention of identity documents) receive larger sub-weights than medium-indicator categories. A reviewer could reasonably ask whether the qualitative conclusions of the paper — particularly the ranking of respondents by composite-risk and the 37.0% population mean estimate — would change under a different but equally defensible choice of weights.</w:t>
      </w:r>
    </w:p>
    <w:p>
      <w:pPr>
        <w:pStyle w:val="NormalWeb"/>
      </w:pPr>
      <w:r>
        <w:t>To address this we conducted a weight-perturbation sensitivity analysis. We multiplied each of the eleven sub-indicator weights by an independent uniform random factor in [0.5, 1.5] (that is, allowed each weight to vary by ±50% of its baseline value), recomputed the composite-risk score for each respondent under the perturbed weights, and compared the resulting ranking to the baseline ranking. We repeated the procedure for 5,000 independent perturbations.</w:t>
      </w:r>
    </w:p>
    <w:p>
      <w:pPr>
        <w:pStyle w:val="NormalWeb"/>
      </w:pPr>
      <w:r>
        <w:t>The ranking of respondents by composite-risk is essentially weight-invariant. Mean Spearman rank correlation between the perturbed and baseline composites was ρ = 0.992 (95% range across perturbations: 0.985–0.997), with the worst-case ρ across all 5,000 draws being 0.974. The 97.5% interval of perturbed composites that fell in the same top quartile as the baseline composite was 92–100%, with a mean of 97.5%. Even under a more aggressive ±75% perturbation, Spearman ρ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ESM_4.</w:t>
      </w:r>
    </w:p>
    <w:p>
      <w:pPr/>
      <w:r>
        <w:t>5.6</w:t>
        <w:tab/>
        <w:t>Policy Implications and SDG 8.7 Monitoring</w:t>
      </w:r>
    </w:p>
    <w:p>
      <w:pPr>
        <w:pStyle w:val="NormalWeb"/>
      </w:pPr>
      <w:r>
        <w:t>The dual RDS–NSUM design and the visibility-gradient diagnostic developed here are themselves policy-useful outputs for SDG 8.7 monitoring. Target 8.7 of the Sustainable Development Goals commits signatory states to “take immediate and effective measures to eradicate forced labour, end modern slavery and human trafficking” by 2030, with monitoring requiring credible population-level prevalence estimation for populations that are largely invisible to official statistics. The methodology demonstrated in this paper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day labourers in informal construction, kafala-system migrants in Gulf-state economies). The specific numerical estimates in this paper apply only to the UK migrant domestic worker case; the design is the contribution to the broader SDG monitoring effort.</w:t>
      </w:r>
    </w:p>
    <w:p>
      <w:pPr>
        <w:pStyle w:val="NormalWeb"/>
      </w:pPr>
      <w:r>
        <w:t>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 is tied to a specific employer, with limited routes to change employer in cases of exploitation and limited access to mainstream labour-market protections. The structural features of the visa regime themselves create the conditions under which the high prevalence of indicators reported in Section 4 becomes possible.</w:t>
      </w:r>
    </w:p>
    <w:p>
      <w:pPr>
        <w:pStyle w:val="NormalWeb"/>
      </w:pPr>
      <w:r>
        <w:t>To reduce the vulnerability of transnational domestic workers to this—and other—forms of labour exploitation, we urge policy-makers to reconsider these discriminatory visa conditions and offer the same freedoms to domestic workers that are enjoyed by other groups of workers under UK law.</w:t>
      </w:r>
    </w:p>
    <w:p>
      <w:pPr>
        <w:pStyle w:val="NormalWeb"/>
      </w:pPr>
      <w:r>
        <w:t>In addition, given the vulnerabilities experienced by workers due to the private nature of the workplace, we would urge the UK government to consider the regulation of domestic worker employers.</w:t>
      </w:r>
    </w:p>
    <w:p>
      <w:pPr>
        <w:pStyle w:val="NormalWeb"/>
      </w:pPr>
      <w:r>
        <w:t>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enforcement, so that workers fearing immigration consequences are not deterred from reporting exploitation.</w:t>
      </w:r>
    </w:p>
    <w:p>
      <w:pPr>
        <w:pStyle w:val="NormalWeb"/>
      </w:pPr>
      <w:r>
        <w:t>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and to extend its geographical reach to all source countries.</w:t>
      </w:r>
    </w:p>
    <w:p>
      <w:pPr>
        <w:pStyle w:val="NormalWeb"/>
      </w:pPr>
      <w:r>
        <w:t>The visibility-gradient diagnostic developed in this paper adds a further policy dimension. Programmes designed to identify and intervene in cases of exploitation typically operate through network-mediated outreach: peer-to-peer referral, civil-society partnership, and warm-handover models. Such programmes can only reach exploitation behaviours that are visible across network ties. Our findings suggest that excessive working hours (with a comparatively small ego–alter gap) is well-suited to network-mediated identification, whereas document withholding (with the largest ego–alter gap in our sample) is largely invisible across network ties and will require different intervention designs — embassy-level or institutional intake screening rather than peer outreach. The dual-method design therefore not only estimates prevalence but also helps programme designers calibrate their identification strategy to the visibility profile of the specific exploitation behaviour they aim to address.</w:t>
      </w:r>
    </w:p>
    <w:p>
      <w:pPr>
        <w:pStyle w:val="NormalWeb"/>
      </w:pPr>
      <w:r>
        <w:t>Future work in this programme of research should extend the methodology to web-RDS implementations capable of reaching larger and more dispersed samples, and explore integration with administrative data sources (NRM referrals, immigration enforcement data subject to firewall safeguards, employment-tribunal records) for triangulating prevalence estimates against complementary data streams. The methodology presented here is one component of a broader monitoring architecture for SDG 8.7 reporting; integration with that broader architecture is left for future work.</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This paper applies respondent-driven sampling and the network scale-up method to the same matched survey instrument for the first time in a developed-economy study of forced-labour and modern-slavery indicators, using a sample of 85 UK migrant domestic workers recruited through two civil-society partnerships. The paper makes two contributions to the measurement of modern slavery among hidden populations. First, the dual RDS–NSUM design lets the two estimators triangulate prevalence on a like-for-like indicator set, and — where the two diverge — yields a visibility-gradient diagnostic that locates each exploitation behaviour on a spectrum from network-visible to network-concealed. Second, we operationalise modern slavery as a graded latent construct rather than a binary condition, supporting both indicator-level prevalence estimates and a continuous composite risk index anchored on the ILO medium/strong severity hierarchy.</w:t>
      </w:r>
    </w:p>
    <w:p>
      <w:pPr>
        <w:pStyle w:val="NormalWeb"/>
      </w:pPr>
      <w:r>
        <w:t>The central empirical finding is the order-of-magnitude gap between ego-based (RDS) and alter-based (NSUM) estimates. For document withholding, RDS-SS estimates 35.4% prevalence while MBSU Moderate NSUM estimates 1.08%; for excessive working hours, the figures are 84.2% and 2.98% respectively. We argue this gap should be read not as a methodological inconsistency to be reconciled but as a substantive quantification of the visibility structure of the exploitation behaviour itself — a result that finds support in the within-method robustness of the indicator severity hierarchy across both estimators. The policy implication, developed in Section 5.6, is that network-mediated outreach programmes can credibly reach exploitation behaviours that are visible across network ties, but require complementary intake-screening or institutional-level designs for behaviours that are not.</w:t>
      </w:r>
    </w:p>
    <w:p>
      <w:pPr>
        <w:pStyle w:val="NormalWeb"/>
      </w:pPr>
      <w:r>
        <w:t>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informal-construction day labourers, kafala-system migrants in Gulf-state economies, and any population for which official statistics are silent. The methodology presented here is one component of a broader monitoring architecture for credible, comparable, and policy-useful prevalence estimation in support of the 2030 SDG commitments.</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