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Editorial diagnostic memo</w:t>
      </w:r>
    </w:p>
    <w:p>
      <w:r>
        <w:rPr>
          <w:i/>
          <w:sz w:val="24"/>
        </w:rPr>
        <w:t>Pre-submission review of "Quantifying Hidden Exploitation" before submission to Social Indicators Research</w:t>
      </w:r>
    </w:p>
    <w:p>
      <w:r>
        <w:rPr>
          <w:color w:val="555555"/>
          <w:sz w:val="20"/>
        </w:rPr>
        <w:t>Prepared for: Scott Moser   |   Co-author: Caroline Emberson   |   Date: 22 May 2026</w:t>
        <w:br/>
        <w:t>Manuscript reviewed: Main file submission 20-01-2026.docx (SIR folder)</w:t>
      </w:r>
    </w:p>
    <w:p/>
    <w:p>
      <w:pPr>
        <w:pStyle w:val="Heading1"/>
      </w:pPr>
      <w:r>
        <w:t>Executive summary</w:t>
      </w:r>
    </w:p>
    <w:p>
      <w:r>
        <w:t>After four desk rejections across four very different journals (IJOPM, JBE, IRJ, BJIR), the manuscript is not failing on its substance: it is failing on its positioning. Every editor essentially said "wrong shop." The single substantive peer-review comment on record (from IJOPM's reviewer) raised one real methodological concern about the width of the RDS-based estimates that has not yet been addressed in the draft. Social Indicators Research is a sensibly chosen next target — its scope explicitly welcomes methodological proposals for measuring social phenomena, and hidden-population estimation is a natural fit. Before resubmission, three things should happen:</w:t>
      </w:r>
    </w:p>
    <w:p>
      <w:pPr>
        <w:pStyle w:val="ListBullet"/>
      </w:pPr>
      <w:r>
        <w:t>Rewrite the abstract, opening, and "5.2 Contributions" paragraph so the methodological contribution is the headline, with domestic-worker exploitation positioned as the motivating case rather than the contribution itself.</w:t>
      </w:r>
    </w:p>
    <w:p>
      <w:pPr>
        <w:pStyle w:val="ListBullet"/>
      </w:pPr>
      <w:r>
        <w:t>Add explicit treatment in the Discussion of the wide cross-indicator range (34–84%) and what it does — and does not — say about the risk index. This pre-empts the IJOPM reviewer's objection.</w:t>
      </w:r>
    </w:p>
    <w:p>
      <w:pPr>
        <w:pStyle w:val="ListBullet"/>
      </w:pPr>
      <w:r>
        <w:t>Fix the cluster of structural defects in the document (broken figure cross-references, inconsistent heading styles, mistyped figure/table tags).</w:t>
      </w:r>
    </w:p>
    <w:p/>
    <w:p>
      <w:pPr>
        <w:pStyle w:val="Heading1"/>
      </w:pPr>
      <w:r>
        <w:t>1. The submission history and what the rejections tell us</w:t>
      </w:r>
    </w:p>
    <w:p>
      <w:r>
        <w:t>The paper has been rejected four times in roughly six months. None of the rejections went to full peer review except IJOPM, which sent it to a single reviewer before declining. The bare facts: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Date</w:t>
            </w:r>
          </w:p>
        </w:tc>
        <w:tc>
          <w:tcPr>
            <w:tcW w:type="dxa" w:w="1872"/>
          </w:tcPr>
          <w:p>
            <w:r>
              <w:rPr>
                <w:b/>
              </w:rPr>
              <w:t>Journal</w:t>
            </w:r>
          </w:p>
        </w:tc>
        <w:tc>
          <w:tcPr>
            <w:tcW w:type="dxa" w:w="1872"/>
          </w:tcPr>
          <w:p>
            <w:r>
              <w:rPr>
                <w:b/>
              </w:rPr>
              <w:t>Decision</w:t>
            </w:r>
          </w:p>
        </w:tc>
        <w:tc>
          <w:tcPr>
            <w:tcW w:type="dxa" w:w="1872"/>
          </w:tcPr>
          <w:p>
            <w:r>
              <w:rPr>
                <w:b/>
              </w:rPr>
              <w:t>Editor's stated reason</w:t>
            </w:r>
          </w:p>
        </w:tc>
      </w:tr>
      <w:tr>
        <w:tc>
          <w:tcPr>
            <w:tcW w:type="dxa" w:w="1872"/>
          </w:tcPr>
          <w:p>
            <w:r>
              <w:t>1</w:t>
            </w:r>
          </w:p>
        </w:tc>
        <w:tc>
          <w:tcPr>
            <w:tcW w:type="dxa" w:w="1872"/>
          </w:tcPr>
          <w:p>
            <w:r>
              <w:t>Oct 2025</w:t>
            </w:r>
          </w:p>
        </w:tc>
        <w:tc>
          <w:tcPr>
            <w:tcW w:type="dxa" w:w="1872"/>
          </w:tcPr>
          <w:p>
            <w:r>
              <w:t>IJOPM (Operations Mgmt, Emerald)</w:t>
            </w:r>
          </w:p>
        </w:tc>
        <w:tc>
          <w:tcPr>
            <w:tcW w:type="dxa" w:w="1872"/>
          </w:tcPr>
          <w:p>
            <w:r>
              <w:t>Reject after 1 review</w:t>
            </w:r>
          </w:p>
        </w:tc>
        <w:tc>
          <w:tcPr>
            <w:tcW w:type="dxa" w:w="1872"/>
          </w:tcPr>
          <w:p>
            <w:r>
              <w:t>"Contribution to OSCM theory and concepts remains largely in the dark"; concerns re: n=85 and the 34–84% range.</w:t>
            </w:r>
          </w:p>
        </w:tc>
      </w:tr>
      <w:tr>
        <w:tc>
          <w:tcPr>
            <w:tcW w:type="dxa" w:w="1872"/>
          </w:tcPr>
          <w:p>
            <w:r>
              <w:t>2</w:t>
            </w:r>
          </w:p>
        </w:tc>
        <w:tc>
          <w:tcPr>
            <w:tcW w:type="dxa" w:w="1872"/>
          </w:tcPr>
          <w:p>
            <w:r>
              <w:t>Dec 2025</w:t>
            </w:r>
          </w:p>
        </w:tc>
        <w:tc>
          <w:tcPr>
            <w:tcW w:type="dxa" w:w="1872"/>
          </w:tcPr>
          <w:p>
            <w:r>
              <w:t>J. Business Ethics (Springer)</w:t>
            </w:r>
          </w:p>
        </w:tc>
        <w:tc>
          <w:tcPr>
            <w:tcW w:type="dxa" w:w="1872"/>
          </w:tcPr>
          <w:p>
            <w:r>
              <w:t>Desk reject</w:t>
            </w:r>
          </w:p>
        </w:tc>
        <w:tc>
          <w:tcPr>
            <w:tcW w:type="dxa" w:w="1872"/>
          </w:tcPr>
          <w:p>
            <w:r>
              <w:t>"Potential contributions to our current knowledge of business ethics are too limited."</w:t>
            </w:r>
          </w:p>
        </w:tc>
      </w:tr>
      <w:tr>
        <w:tc>
          <w:tcPr>
            <w:tcW w:type="dxa" w:w="1872"/>
          </w:tcPr>
          <w:p>
            <w:r>
              <w:t>3</w:t>
            </w:r>
          </w:p>
        </w:tc>
        <w:tc>
          <w:tcPr>
            <w:tcW w:type="dxa" w:w="1872"/>
          </w:tcPr>
          <w:p>
            <w:r>
              <w:t>Jan 2026</w:t>
            </w:r>
          </w:p>
        </w:tc>
        <w:tc>
          <w:tcPr>
            <w:tcW w:type="dxa" w:w="1872"/>
          </w:tcPr>
          <w:p>
            <w:r>
              <w:t>Industrial Relations Journal (Wiley)</w:t>
            </w:r>
          </w:p>
        </w:tc>
        <w:tc>
          <w:tcPr>
            <w:tcW w:type="dxa" w:w="1872"/>
          </w:tcPr>
          <w:p>
            <w:r>
              <w:t>Desk reject</w:t>
            </w:r>
          </w:p>
        </w:tc>
        <w:tc>
          <w:tcPr>
            <w:tcW w:type="dxa" w:w="1872"/>
          </w:tcPr>
          <w:p>
            <w:r>
              <w:t>Requires "specific knowledge and understanding of relatively advanced quantitative techniques that render it more suitable for a publication in economic statistics and quantitative methods rather than employment relations."</w:t>
            </w:r>
          </w:p>
        </w:tc>
      </w:tr>
      <w:tr>
        <w:tc>
          <w:tcPr>
            <w:tcW w:type="dxa" w:w="1872"/>
          </w:tcPr>
          <w:p>
            <w:r>
              <w:t>4</w:t>
            </w:r>
          </w:p>
        </w:tc>
        <w:tc>
          <w:tcPr>
            <w:tcW w:type="dxa" w:w="1872"/>
          </w:tcPr>
          <w:p>
            <w:r>
              <w:t>Feb 2026</w:t>
            </w:r>
          </w:p>
        </w:tc>
        <w:tc>
          <w:tcPr>
            <w:tcW w:type="dxa" w:w="1872"/>
          </w:tcPr>
          <w:p>
            <w:r>
              <w:t>British J. Industrial Relations (Wiley)</w:t>
            </w:r>
          </w:p>
        </w:tc>
        <w:tc>
          <w:tcPr>
            <w:tcW w:type="dxa" w:w="1872"/>
          </w:tcPr>
          <w:p>
            <w:r>
              <w:t>Desk reject</w:t>
            </w:r>
          </w:p>
        </w:tc>
        <w:tc>
          <w:tcPr>
            <w:tcW w:type="dxa" w:w="1872"/>
          </w:tcPr>
          <w:p>
            <w:r>
              <w:t>"Underdeveloped theoretically for a general IR journal like BJIR" — paradoxically pointed back to IRJ as a better fit.</w:t>
            </w:r>
          </w:p>
        </w:tc>
      </w:tr>
    </w:tbl>
    <w:p/>
    <w:p>
      <w:r>
        <w:rPr>
          <w:b/>
        </w:rPr>
        <w:t>The common thread</w:t>
      </w:r>
    </w:p>
    <w:p>
      <w:r>
        <w:t>These are not contradictory verdicts. Read together, they say the paper presents a strong methodological exercise whose home discipline is unclear. IJOPM wanted OSCM theory; JBE wanted ethical theorising; IRJ said "too quantitative"; BJIR said "too thin theoretically." Each editor is, in effect, asking the paper to be a different kind of paper than the one it actually is.</w:t>
      </w:r>
    </w:p>
    <w:p>
      <w:r>
        <w:t>A smoking gun is buried in your own 31 October 2025 comment on the manuscript ahead of the JBE submission: "CE: Do we need to reword this for JBE?" — flagging that the contribution paragraph still read "we make two specific contributions to the operations and supply chain management literature." That comment captures the underlying issue precisely: the contribution paragraph has been re-used across submissions without being re-pitched to each new audience. Editors detect that pattern almost immediately.</w:t>
      </w:r>
    </w:p>
    <w:p>
      <w:r>
        <w:rPr>
          <w:b/>
        </w:rPr>
        <w:t>Implication for SIR</w:t>
      </w:r>
    </w:p>
    <w:p>
      <w:r>
        <w:t>The remedy is not more revision in general; it is a clean re-positioning for SIR specifically. SIR explicitly welcomes "proposals for new methods for analysis and measurement of social phenomena." This paper has three of those (dual ego/alter instrument, three-step NSUM bootstrap, continuous MA-RDS risk index). For SIR, those should be the headline. The domestic-worker case should be the motivating application that demonstrates the methods work in the hardest possible setting — not the contribution itself.</w:t>
      </w:r>
    </w:p>
    <w:p/>
    <w:p>
      <w:pPr>
        <w:pStyle w:val="Heading1"/>
      </w:pPr>
      <w:r>
        <w:t>2. The IJOPM reviewer's methodological critique — and why it must be addressed</w:t>
      </w:r>
    </w:p>
    <w:p>
      <w:r>
        <w:t>IJOPM's reviewer wrote:</w:t>
      </w:r>
    </w:p>
    <w:p>
      <w:pPr>
        <w:ind w:left="720" w:right="720"/>
      </w:pPr>
      <w:r>
        <w:rPr>
          <w:i/>
        </w:rPr>
        <w:t>"You are developing a nationwide index but the survey conducted has n=85 … We find this to be a small sample size. RDS-based estimates suggest that 34% to 84% of respondents personally experienced indicators of exploitation. In contrast, the corresponding NSUM estimates suggest that only 2.9% to 5.1% … 34–84% range is a huge range. If the goal is to see the relative difference between RDS and NSUM then yes clearly 34–84 range is higher than the 2.9–5.1 range. But if the goal is to develop an index, it is difficult to make a comparison when the ranges are so wide."</w:t>
      </w:r>
    </w:p>
    <w:p>
      <w:r>
        <w:t>Two distinct objections are bundled here, and the current draft does not separate them:</w:t>
      </w:r>
    </w:p>
    <w:p>
      <w:pPr>
        <w:pStyle w:val="ListBullet"/>
      </w:pPr>
      <w:r>
        <w:t>(a) Sample size objection. The current §5.1 acknowledges n=85 but defends it by appeal to RDS's design-based properties. This is technically correct but rhetorically thin. The Discussion does not actively show that the conclusions are robust to sample-size concerns. The 64-combination sensitivity analysis (ESM_3) exists to do exactly this; it needs to be referenced explicitly in §5.1, with the key numerical takeaway in the main text rather than buried in ESM.</w:t>
      </w:r>
    </w:p>
    <w:p>
      <w:pPr>
        <w:pStyle w:val="ListBullet"/>
      </w:pPr>
      <w:r>
        <w:t>(b) Range objection — the more important one. The reviewer is conflating two different things: (i) the range across distinct exploitation indicators (e.g. excessive hours ≠ document withholding), which is heterogeneity not uncertainty; and (ii) the confidence interval width around any single indicator, which IS uncertainty. The current §5.1 actually says this — but in a single sentence buried mid-paragraph: "It should not be interpreted as statistical uncertainty for a single prevalence measure." That sentence needs to be promoted into a standalone defensive paragraph in the Discussion, ideally with a figure or table that shows the per-indicator confidence intervals so the reader sees the (i)-versus-(ii) distinction visually.</w:t>
      </w:r>
    </w:p>
    <w:p>
      <w:r>
        <w:t>This second point matters because the IJOPM reviewer is a sophisticated reader who still missed the distinction. If they missed it, a SIR reviewer will too — and SIR editors will be primed to look for it because measurement validity is central to that journal.</w:t>
      </w:r>
    </w:p>
    <w:p/>
    <w:p>
      <w:pPr>
        <w:pStyle w:val="Heading1"/>
      </w:pPr>
      <w:r>
        <w:t>3. Proposed reframing of the contribution paragraph for SIR</w:t>
      </w:r>
    </w:p>
    <w:p>
      <w:r>
        <w:t>The current §5.2 lists four contributions: (i) dual binary/continuous conceptualisation, (ii) RDS+NSUM on the same instrument, (iii) novel three-step NSUM bootstrap, (iv) application to UK domestic workers. For SIR, I propose collapsing these into three methodological contributions, with the domestic-worker application moved into the case/motivation rather than the contribution list.</w:t>
      </w:r>
    </w:p>
    <w:p>
      <w:r>
        <w:rPr>
          <w:b/>
        </w:rPr>
        <w:t>Proposed contribution paragraph (replaces current §5.2):</w:t>
      </w:r>
    </w:p>
    <w:p>
      <w:pPr>
        <w:ind w:left="432" w:right="432"/>
      </w:pPr>
      <w:r>
        <w:rPr>
          <w:i/>
        </w:rPr>
        <w:t>This study makes three methodological contributions to the measurement of hidden-population phenomena. First, we present a survey instrument design that captures both ego-based and alter-based network information from the same respondents, enabling Respondent-Driven Sampling (RDS) and Network Scale-Up Method (NSUM) estimators to be computed on a single dataset. To our knowledge, this dual-instrument design has been used in unpublished technical reports but not in peer-reviewed methodological work, and it provides a basis for direct triangulation between two inferential logics — "who recruited whom" and "how many alters fit the trait" — that has hitherto required two separate studies. Second, we develop a three-step bootstrap procedure for NSUM that resamples respondents, recalculates network weights, and re-estimates prevalence at each iteration, capturing layers of uncertainty that conventional bootstrap approaches collapse. Third, we extend model-assisted RDS estimation (Gile and Handcock, 2015) to produce a continuous risk index — a graded measure of exposure to exploitation rather than a binary classification — and demonstrate the use of this index alongside binary indicators to surface gradations of vulnerability that dichotomous measures conceal. We demonstrate these methods in the hardest realistic setting: a sample of transnational migrant domestic workers in the UK, recruited through partnerships with civil-society organisations. Hidden, stigmatised, and structurally invisible to administrative data, this population represents the use case for which RDS and NSUM were designed. The methodological contributions are not specific to this case and generalise to other hidden labour markets and vulnerable populations.</w:t>
      </w:r>
    </w:p>
    <w:p/>
    <w:p>
      <w:r>
        <w:rPr>
          <w:b/>
        </w:rPr>
        <w:t>Proposed corresponding revised abstract:</w:t>
      </w:r>
    </w:p>
    <w:p>
      <w:pPr>
        <w:ind w:left="432" w:right="432"/>
      </w:pPr>
      <w:r>
        <w:rPr>
          <w:i/>
        </w:rPr>
        <w:t>Estimating the prevalence of harms among hidden populations remains a methodological challenge in social measurement. We present three methodological developments and demonstrate them in a case where conventional sampling fails: labour exploitation among transnational migrant domestic workers in the United Kingdom. First, we introduce a dual ego-/alter-information survey instrument that supports Respondent-Driven Sampling (RDS) and Network Scale-Up Method (NSUM) estimation on the same sample. Second, we develop a three-step bootstrap that propagates respondent, weight, and estimation uncertainty through NSUM. Third, we apply model-assisted RDS to produce a continuous risk index that measures gradations of exploitation rather than a binary classification. Working with civil-society organisations, we surveyed 97 domestic workers (85 with non-zero network degree) and applied each method to ILO-derived indicators of forced labour. RDS-based estimates indicate that between 34% and 84% of respondents experienced individual indicators of exploitation, while NSUM-based population estimates range from 0.83% to 4.08% depending on visibility-adjustment assumptions — a divergence consistent with the well-documented visibility-bias problem in NSUM. The methods generalise to other hidden labour markets and vulnerable populations.</w:t>
      </w:r>
    </w:p>
    <w:p/>
    <w:p>
      <w:r>
        <w:rPr>
          <w:b/>
        </w:rPr>
        <w:t>What changes in this proposal and why:</w:t>
      </w:r>
    </w:p>
    <w:p>
      <w:pPr>
        <w:pStyle w:val="ListBullet"/>
      </w:pPr>
      <w:r>
        <w:t>Headline shifts from "we measured exploitation among domestic workers" to "we introduce three methods, and demonstrate them on a domestic-worker case." This is the framing SIR expects.</w:t>
      </w:r>
    </w:p>
    <w:p>
      <w:pPr>
        <w:pStyle w:val="ListBullet"/>
      </w:pPr>
      <w:r>
        <w:t>The four-item contribution list collapses to three. The dual binary/continuous conceptualisation, currently listed as a contribution of its own, is absorbed into the risk-index contribution where it actually lives.</w:t>
      </w:r>
    </w:p>
    <w:p>
      <w:pPr>
        <w:pStyle w:val="ListBullet"/>
      </w:pPr>
      <w:r>
        <w:t>The case is reframed as "the hardest realistic setting" rather than as a contribution. This preserves your social-impact framing without making SIR editors think the paper is really an IR paper.</w:t>
      </w:r>
    </w:p>
    <w:p>
      <w:pPr>
        <w:pStyle w:val="ListBullet"/>
      </w:pPr>
      <w:r>
        <w:t>The RDS-NSUM divergence is explicitly acknowledged in the abstract as a finding consistent with a known methodological phenomenon, not as a puzzle the paper raises and leaves open.</w:t>
      </w:r>
    </w:p>
    <w:p/>
    <w:p>
      <w:pPr>
        <w:pStyle w:val="Heading1"/>
      </w:pPr>
      <w:r>
        <w:t>4. Structural and formatting fixes</w:t>
      </w:r>
    </w:p>
    <w:p>
      <w:r>
        <w:t>These are concrete defects in the current .docx that should be fixed before submission. None are content-level; they are mechanical errors that signal carelessness to a desk editor.</w:t>
      </w:r>
    </w:p>
    <w:p>
      <w:pPr>
        <w:pStyle w:val="Heading2"/>
      </w:pPr>
      <w:r>
        <w:t>4.1 Broken figure cross-references</w:t>
      </w:r>
    </w:p>
    <w:p>
      <w:r>
        <w:t>Several "[Insert … about here]" tags are missing the figure or table number entirely: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Paragraph</w:t>
            </w:r>
          </w:p>
        </w:tc>
        <w:tc>
          <w:tcPr>
            <w:tcW w:type="dxa" w:w="2340"/>
          </w:tcPr>
          <w:p>
            <w:r>
              <w:rPr>
                <w:b/>
              </w:rPr>
              <w:t>Section</w:t>
            </w:r>
          </w:p>
        </w:tc>
        <w:tc>
          <w:tcPr>
            <w:tcW w:type="dxa" w:w="2340"/>
          </w:tcPr>
          <w:p>
            <w:r>
              <w:rPr>
                <w:b/>
              </w:rPr>
              <w:t>Current text</w:t>
            </w:r>
          </w:p>
        </w:tc>
        <w:tc>
          <w:tcPr>
            <w:tcW w:type="dxa" w:w="2340"/>
          </w:tcPr>
          <w:p>
            <w:r>
              <w:rPr>
                <w:b/>
              </w:rPr>
              <w:t>Probable correct text</w:t>
            </w:r>
          </w:p>
        </w:tc>
      </w:tr>
      <w:tr>
        <w:tc>
          <w:tcPr>
            <w:tcW w:type="dxa" w:w="2340"/>
          </w:tcPr>
          <w:p>
            <w:r>
              <w:t>42</w:t>
            </w:r>
          </w:p>
        </w:tc>
        <w:tc>
          <w:tcPr>
            <w:tcW w:type="dxa" w:w="2340"/>
          </w:tcPr>
          <w:p>
            <w:r>
              <w:t>§3.3 Sample Characteristics</w:t>
            </w:r>
          </w:p>
        </w:tc>
        <w:tc>
          <w:tcPr>
            <w:tcW w:type="dxa" w:w="2340"/>
          </w:tcPr>
          <w:p>
            <w:r>
              <w:t>[Insert  about here]</w:t>
            </w:r>
          </w:p>
        </w:tc>
        <w:tc>
          <w:tcPr>
            <w:tcW w:type="dxa" w:w="2340"/>
          </w:tcPr>
          <w:p>
            <w:r>
              <w:t>[Insert Figure 1 about here] (recruitment network)</w:t>
            </w:r>
          </w:p>
        </w:tc>
      </w:tr>
      <w:tr>
        <w:tc>
          <w:tcPr>
            <w:tcW w:type="dxa" w:w="2340"/>
          </w:tcPr>
          <w:p>
            <w:r>
              <w:t>68</w:t>
            </w:r>
          </w:p>
        </w:tc>
        <w:tc>
          <w:tcPr>
            <w:tcW w:type="dxa" w:w="2340"/>
          </w:tcPr>
          <w:p>
            <w:r>
              <w:t>§4.2 Continuous risk index</w:t>
            </w:r>
          </w:p>
        </w:tc>
        <w:tc>
          <w:tcPr>
            <w:tcW w:type="dxa" w:w="2340"/>
          </w:tcPr>
          <w:p>
            <w:r>
              <w:t>[Insert  about here]</w:t>
            </w:r>
          </w:p>
        </w:tc>
        <w:tc>
          <w:tcPr>
            <w:tcW w:type="dxa" w:w="2340"/>
          </w:tcPr>
          <w:p>
            <w:r>
              <w:t>[Insert Figure 2 about here] (MA estimates distribution)</w:t>
            </w:r>
          </w:p>
        </w:tc>
      </w:tr>
      <w:tr>
        <w:tc>
          <w:tcPr>
            <w:tcW w:type="dxa" w:w="2340"/>
          </w:tcPr>
          <w:p>
            <w:r>
              <w:t>77</w:t>
            </w:r>
          </w:p>
        </w:tc>
        <w:tc>
          <w:tcPr>
            <w:tcW w:type="dxa" w:w="2340"/>
          </w:tcPr>
          <w:p>
            <w:r>
              <w:t>§4.4 MA Bayesian estimates</w:t>
            </w:r>
          </w:p>
        </w:tc>
        <w:tc>
          <w:tcPr>
            <w:tcW w:type="dxa" w:w="2340"/>
          </w:tcPr>
          <w:p>
            <w:r>
              <w:t>[Insert Table2 about here]</w:t>
            </w:r>
          </w:p>
        </w:tc>
        <w:tc>
          <w:tcPr>
            <w:tcW w:type="dxa" w:w="2340"/>
          </w:tcPr>
          <w:p>
            <w:r>
              <w:t>[Insert Table 2 about here] (missing space)</w:t>
            </w:r>
          </w:p>
        </w:tc>
      </w:tr>
      <w:tr>
        <w:tc>
          <w:tcPr>
            <w:tcW w:type="dxa" w:w="2340"/>
          </w:tcPr>
          <w:p>
            <w:r>
              <w:t>79</w:t>
            </w:r>
          </w:p>
        </w:tc>
        <w:tc>
          <w:tcPr>
            <w:tcW w:type="dxa" w:w="2340"/>
          </w:tcPr>
          <w:p>
            <w:r>
              <w:t>§4.4 MA Bayesian estimates</w:t>
            </w:r>
          </w:p>
        </w:tc>
        <w:tc>
          <w:tcPr>
            <w:tcW w:type="dxa" w:w="2340"/>
          </w:tcPr>
          <w:p>
            <w:r>
              <w:t>[Insert  about here]</w:t>
            </w:r>
          </w:p>
        </w:tc>
        <w:tc>
          <w:tcPr>
            <w:tcW w:type="dxa" w:w="2340"/>
          </w:tcPr>
          <w:p>
            <w:r>
              <w:t>[Insert Figure 3 about here] or [Insert Figure 4 about here] — depends on intended order</w:t>
            </w:r>
          </w:p>
        </w:tc>
      </w:tr>
    </w:tbl>
    <w:p/>
    <w:p>
      <w:r>
        <w:t>A related concern: Figure 3 is referenced at paragraph 74 (in §4.3, before Figures 1 and 2 are anchored). Either the figure numbering is wrong, or the figure-anchor positions are wrong. The figure legend list at the end of the document (paragraphs 178–182) lists Figures 1–5 in a sensible order, so the anchors in the body are most likely the wrong ones. Recommend a single pass to align in-text anchors with the figure-legend ordering.</w:t>
      </w:r>
    </w:p>
    <w:p>
      <w:pPr>
        <w:pStyle w:val="Heading2"/>
      </w:pPr>
      <w:r>
        <w:t>4.2 Heading-style inconsistencies</w:t>
      </w:r>
    </w:p>
    <w:p>
      <w:r>
        <w:t>The heading hierarchy is mis-applied in three specific ways:</w:t>
      </w:r>
    </w:p>
    <w:p>
      <w:pPr>
        <w:pStyle w:val="ListBullet"/>
      </w:pPr>
      <w:r>
        <w:t>Paragraph 0 (the title) is styled "Normal" rather than "Title." Editors' submission-system parsers occasionally rely on the title style to extract metadata.</w:t>
      </w:r>
    </w:p>
    <w:p>
      <w:pPr>
        <w:pStyle w:val="ListBullet"/>
      </w:pPr>
      <w:r>
        <w:t>Paragraph 9 ("Introduction") is styled "List Paragraph" rather than "Heading 1." This breaks navigation panes and any auto-generated TOC.</w:t>
      </w:r>
    </w:p>
    <w:p>
      <w:pPr>
        <w:pStyle w:val="ListBullet"/>
      </w:pPr>
      <w:r>
        <w:t>Paragraph 13 ("2. Conceptualising Labour Exploitation and the Degree of Risk") is styled "Normal" rather than "Heading 1," even though paragraphs 24, 62, 93, and 117 (§3, §4, §5, §6) all use Heading 1 correctly. Either §2 should be promoted to Heading 1, or §3-§6 should be demoted to match — the former.</w:t>
      </w:r>
    </w:p>
    <w:p>
      <w:pPr>
        <w:pStyle w:val="ListBullet"/>
      </w:pPr>
      <w:r>
        <w:t>All subsection headings (2.1, 3.1, …, 5.5) are styled "Normal" rather than "Heading 2." Compounding the issue, §3.7 ("Use of AI") is styled "Normal (Web)" — a third style introduced for no obvious reason.</w:t>
      </w:r>
    </w:p>
    <w:p>
      <w:r>
        <w:t>Recommendation: a global pass to enforce Title → Heading 1 → Heading 2 throughout, removing the "Normal (Web)" and "List Paragraph" stragglers.</w:t>
      </w:r>
    </w:p>
    <w:p>
      <w:pPr>
        <w:pStyle w:val="Heading2"/>
      </w:pPr>
      <w:r>
        <w:t>4.3 Section numbering</w:t>
      </w:r>
    </w:p>
    <w:p>
      <w:r>
        <w:t>The Introduction has no section number; everything else is numbered. Either (a) remove all numbering for SIR-style flow, or (b) add "1." to the Introduction. SIR articles I have spot-checked tend not to use numbered sections, so option (a) is likely cleaner — but check a recent SIR exemplar before committing.</w:t>
      </w:r>
    </w:p>
    <w:p>
      <w:r>
        <w:t>Internal consistency issue: most subsection headings use a tab character as separator (e.g., "2.1\tEvaluating the Degree of Risk"), but §3.7 "Use of AI" uses a space. After the global heading-style pass this becomes moot, but worth noting in case the tab-vs-space choice was deliberate elsewhere.</w:t>
      </w:r>
    </w:p>
    <w:p>
      <w:pPr>
        <w:pStyle w:val="Heading2"/>
      </w:pPr>
      <w:r>
        <w:t>4.4 Reference list issues</w:t>
      </w:r>
    </w:p>
    <w:p>
      <w:r>
        <w:t>A spot check of the bibliography (paragraphs 121–174) surfaces:</w:t>
      </w:r>
    </w:p>
    <w:p>
      <w:pPr>
        <w:pStyle w:val="ListBullet"/>
      </w:pPr>
      <w:r>
        <w:t>Typo in entry 130 (European Commission, 2012): "Docuemnt" — should read "Document."</w:t>
      </w:r>
    </w:p>
    <w:p>
      <w:pPr>
        <w:pStyle w:val="ListBullet"/>
      </w:pPr>
      <w:r>
        <w:t>Inconsistent author-name formatting for the ILO: "I.L.O. (2012)" vs "ILO (2011)" — pick one form.</w:t>
      </w:r>
    </w:p>
    <w:p>
      <w:pPr>
        <w:pStyle w:val="ListBullet"/>
      </w:pPr>
      <w:r>
        <w:t>Entry 132 (Feehan &amp; Salganick, 2016) reads like a search-result snippet rather than a normal citation. Replace with a clean citation.</w:t>
      </w:r>
    </w:p>
    <w:p>
      <w:pPr>
        <w:pStyle w:val="ListBullet"/>
      </w:pPr>
      <w:r>
        <w:t>Entry 148 (IST Research and UCLA, 2020) is formatted differently from the surrounding entries (institutional author with no italics on the title).</w:t>
      </w:r>
    </w:p>
    <w:p>
      <w:pPr>
        <w:pStyle w:val="ListBullet"/>
      </w:pPr>
      <w:r>
        <w:t>Some entries include "Available at:" with access dates, others do not. The SIR style guide will likely require Springer's preferred reference format (basic Harvard or numbered, depending on the section editor); check before final submission.</w:t>
      </w:r>
    </w:p>
    <w:p/>
    <w:p>
      <w:pPr>
        <w:pStyle w:val="Heading1"/>
      </w:pPr>
      <w:r>
        <w:t>5. Other items worth your attention</w:t>
      </w:r>
    </w:p>
    <w:p>
      <w:r>
        <w:t>A few smaller points that did not fit cleanly above:</w:t>
      </w:r>
    </w:p>
    <w:p>
      <w:pPr>
        <w:pStyle w:val="ListBullet"/>
      </w:pPr>
      <w:r>
        <w:t>§3.7 "Use of AI" mentions Claude Code being used for R script debugging and LLMs for textual editing. This is honest and now standard in many journals, but check SIR's specific AI-disclosure requirements — as of Springer's 2024 editorial, they require AI-use disclosure in a specific location and a specific form.</w:t>
      </w:r>
    </w:p>
    <w:p>
      <w:pPr>
        <w:pStyle w:val="ListBullet"/>
      </w:pPr>
      <w:r>
        <w:t>The discussion of the visibility-bias explanation for the RDS-NSUM divergence (§5.3) is good but currently reads as an apologia for NSUM's low estimates. Consider reframing as a methodological finding: under what conditions does NSUM systematically under-estimate, and how should investigators choose between RDS and NSUM? This shifts the section from defensive to constructive — and is exactly the kind of methodological-implications discussion SIR readers will reward.</w:t>
      </w:r>
    </w:p>
    <w:p>
      <w:pPr>
        <w:pStyle w:val="ListBullet"/>
      </w:pPr>
      <w:r>
        <w:t>The Policy and Theoretical Implications subsection (§5.4) is well-written but proportionally too long for a methods-positioned paper. For SIR, consider tightening to a single page; the social-policy implications need not carry the contribution claim.</w:t>
      </w:r>
    </w:p>
    <w:p>
      <w:pPr>
        <w:pStyle w:val="ListBullet"/>
      </w:pPr>
      <w:r>
        <w:t>A sentence in the abstract reads: "the labour exploitation risk index shows a reverse correlation between the increasing seriousness of exploitation and the number of exploitation cases reported." This is an interesting and non-obvious empirical finding that gets buried. Consider promoting it — it is the kind of result SIR readers find genuinely interesting about indicator construction.</w:t>
      </w:r>
    </w:p>
    <w:p/>
    <w:p>
      <w:pPr>
        <w:pStyle w:val="Heading1"/>
      </w:pPr>
      <w:r>
        <w:t>6. Proposed next steps</w:t>
      </w:r>
    </w:p>
    <w:p>
      <w:r>
        <w:t>If you are happy with the direction above, I propose the following sequence:</w:t>
      </w:r>
    </w:p>
    <w:p>
      <w:pPr>
        <w:pStyle w:val="ListBullet"/>
      </w:pPr>
      <w:r>
        <w:t>(a) You read this memo and either accept the reframing or send me corrections. I will not touch the manuscript itself until you say go.</w:t>
      </w:r>
    </w:p>
    <w:p>
      <w:pPr>
        <w:pStyle w:val="ListBullet"/>
      </w:pPr>
      <w:r>
        <w:t>(b) Once approved, I make a copy of the .docx (preserving "Main file submission 20-01-2026.docx" untouched) and apply the changes as Word tracked changes — including the reframed abstract, contribution paragraph, the explicit treatment of the wide-RDS-range objection, and the structural fixes catalogued in §4 above. You and Caroline can then accept/reject changes individually before submission.</w:t>
      </w:r>
    </w:p>
    <w:p>
      <w:pPr>
        <w:pStyle w:val="ListBullet"/>
      </w:pPr>
      <w:r>
        <w:t>(c) I do a final consistency pass on the ESMs (currently only the main file has been reviewed). The ESM_1 (risk index construction) is the document SIR reviewers are most likely to scrutinise, so it deserves attention if there is time.</w:t>
      </w:r>
    </w:p>
    <w:p>
      <w:pPr>
        <w:pStyle w:val="ListBullet"/>
      </w:pPr>
      <w:r>
        <w:t>(d) If desired, a brief cover-letter draft for the SIR submission that anticipates likely reviewer concerns — particularly the sample size and the RDS-NSUM divergence — and frames them constructively up-front.</w:t>
      </w:r>
    </w:p>
    <w:p>
      <w:r>
        <w:t>Open question for you: who is the lead correspondent for the SIR submission? Caroline's 5 May email offered to handle the submission. If so, the cover letter and any author-system metadata should be in her voice.</w:t>
      </w:r>
    </w:p>
    <w:p/>
    <w:p>
      <w:r>
        <w:rPr>
          <w:i/>
          <w:color w:val="555555"/>
          <w:sz w:val="20"/>
        </w:rPr>
        <w:t>— Diagnostic memo prepared by Claude, 22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