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4.png" ContentType="image/png"/>
  <Override PartName="/word/media/rId5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26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International Labour Organization &amp; Walk Free Foundation, 2017)</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w:t>
      </w:r>
      <w:r>
        <w:t xml:space="preserve"> </w:t>
      </w:r>
      <w:r>
        <w:t xml:space="preserve">(International Labour Organization, 2012; International Labour Organization &amp; Walk Free Foundation, 2017)</w:t>
      </w:r>
      <w:r>
        <w:t xml:space="preserve"> </w:t>
      </w:r>
      <w:r>
        <w:t xml:space="preserve">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International Labour Organization &amp; Walk Free Foundation, 2017)</w:t>
      </w:r>
      <w:r>
        <w:t xml:space="preserve"> </w:t>
      </w:r>
      <w:r>
        <w:t xml:space="preserve">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ESM_1</w:t>
      </w:r>
      <w:r>
        <w:t xml:space="preserve"> </w:t>
      </w:r>
      <w:hyperlink w:anchor="tbl-indicator-mapping">
        <w:r>
          <w:rPr>
            <w:rStyle w:val="Hyperlink"/>
          </w:rPr>
          <w:t xml:space="preserve">Table 1</w:t>
        </w:r>
      </w:hyperlink>
      <w:r>
        <w:t xml:space="preserve">,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ESM_1</w:t>
      </w:r>
      <w:r>
        <w:t xml:space="preserve"> </w:t>
      </w:r>
      <w:hyperlink w:anchor="tbl-indicator-mapping">
        <w:r>
          <w:rPr>
            <w:rStyle w:val="Hyperlink"/>
          </w:rPr>
          <w:t xml:space="preserve">Table 1</w:t>
        </w:r>
      </w:hyperlink>
      <w:r>
        <w:t xml:space="preserve"> </w:t>
      </w:r>
      <w:r>
        <w:t xml:space="preserve">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ESM_1 for full construction).</w:t>
      </w:r>
    </w:p>
    <w:bookmarkEnd w:id="21"/>
    <w:bookmarkEnd w:id="22"/>
    <w:bookmarkStart w:id="36"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w:t>
      </w:r>
      <w:r>
        <w:t xml:space="preserve">.</w:t>
      </w:r>
      <w:r>
        <w:t xml:space="preserve"> </w:t>
      </w:r>
      <w:r>
        <w:t xml:space="preserve">The eleven ILO indicators of forced labour</w:t>
      </w:r>
      <w:r>
        <w:t xml:space="preserve"> </w:t>
      </w:r>
      <w:r>
        <w:t xml:space="preserve">(International Labour Organization, 2012; International Labour Organization &amp; Walk Free Foundation, 2017)</w:t>
      </w:r>
      <w:r>
        <w:t xml:space="preserve"> </w:t>
      </w:r>
      <w:r>
        <w:t xml:space="preserve">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w:t>
            </w:r>
            <w:r>
              <w:t xml:space="preserve"> </w:t>
            </w:r>
            <w:hyperlink w:anchor="tbl-indicator-mapping">
              <w:r>
                <w:rPr>
                  <w:rStyle w:val="Hyperlink"/>
                </w:rPr>
                <w:t xml:space="preserve">Table 1</w:t>
              </w:r>
            </w:hyperlink>
            <w:r>
              <w:t xml:space="preserve">.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3" w:name="sec-estimation-framework"/>
    <w:p>
      <w:pPr>
        <w:pStyle w:val="Heading2"/>
      </w:pPr>
      <w:r>
        <w:t xml:space="preserve">3.4 Estimation Framework</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ESM_4).</w:t>
      </w:r>
    </w:p>
    <w:p>
      <w:pPr>
        <w:pStyle w:val="BodyText"/>
      </w:pPr>
      <w:r>
        <w:rPr>
          <w:i/>
          <w:iCs/>
        </w:rPr>
        <w:t xml:space="preserve">Within-Population Scale-Up Estimation (NSUM):</w:t>
      </w:r>
      <w:r>
        <w:t xml:space="preserve"> </w:t>
      </w:r>
      <w:r>
        <w:t xml:space="preserve">We employ the Modified Basic Scale-Up (MBSU) model of</w:t>
      </w:r>
      <w:r>
        <w:t xml:space="preserve"> </w:t>
      </w:r>
      <w:r>
        <w:t xml:space="preserve">Feehan &amp; Salganik (2016)</w:t>
      </w:r>
      <w:r>
        <w:t xml:space="preserve"> </w:t>
      </w:r>
      <w:r>
        <w:t xml:space="preserve">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w:t>
      </w:r>
      <w:r>
        <w:t xml:space="preserve"> </w:t>
      </w:r>
      <w:r>
        <w:t xml:space="preserve">(Feehan &amp; Salganik, 2016, supplementary materials)</w:t>
      </w:r>
      <w:r>
        <w:t xml:space="preserve"> </w:t>
      </w:r>
      <w:r>
        <w:t xml:space="preserve">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The unadjusted MBSU estimator is</w:t>
      </w:r>
      <w:r>
        <w:t xml:space="preserve"> </w:t>
      </w:r>
      <m:oMath>
        <m:acc>
          <m:accPr>
            <m:chr m:val="̂"/>
          </m:accPr>
          <m:e>
            <m:r>
              <m:t>p</m:t>
            </m:r>
          </m:e>
        </m:acc>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(alter exploitation count divided by reported network size, averaged over respondents), adjusted multiplicatively by</w:t>
      </w:r>
      <w:r>
        <w:t xml:space="preserve"> </w:t>
      </w:r>
      <m:oMath>
        <m:sSub>
          <m:e>
            <m:r>
              <m:t>δ</m:t>
            </m:r>
          </m:e>
          <m:sub>
            <m:r>
              <m:t>F</m:t>
            </m:r>
          </m:sub>
        </m:sSub>
      </m:oMath>
      <w:r>
        <w:t xml:space="preserve"> </w:t>
      </w:r>
      <w:r>
        <w:t xml:space="preserve">(degree ratio between hidden and frame populations) and</w:t>
      </w:r>
      <w:r>
        <w:t xml:space="preserve"> </w:t>
      </w:r>
      <m:oMath>
        <m:sSub>
          <m:e>
            <m:r>
              <m:t>τ</m:t>
            </m:r>
          </m:e>
          <m:sub>
            <m:r>
              <m:t>F</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w:t>
      </w:r>
      <w:hyperlink w:anchor="sec-divergence">
        <w:r>
          <w:rPr>
            <w:rStyle w:val="Hyperlink"/>
          </w:rPr>
          <w:t xml:space="preserve">Section 5.3</w:t>
        </w:r>
      </w:hyperlink>
      <w:r>
        <w:t xml:space="preserve">).</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w:t>
      </w:r>
      <w:r>
        <w:t xml:space="preserve"> </w:t>
      </w:r>
      <w:hyperlink w:anchor="fig-recruitment">
        <w:r>
          <w:rPr>
            <w:rStyle w:val="Hyperlink"/>
          </w:rPr>
          <w:t xml:space="preserve">Figure 1</w:t>
        </w:r>
      </w:hyperlink>
      <w:r>
        <w:t xml:space="preserve">). For comparison with the discrete-tier NSUM literature</w:t>
      </w:r>
      <w:r>
        <w:t xml:space="preserve"> </w:t>
      </w:r>
      <w:r>
        <w:t xml:space="preserve">(Feehan &amp; Salganik, 2016; Killworth et al., 1998; Maltiel et al., 2015)</w:t>
      </w:r>
      <w:r>
        <w:t xml:space="preserve">,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3"/>
    <w:bookmarkStart w:id="34"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r>
        <w:t xml:space="preserve"> </w:t>
      </w:r>
      <w:r>
        <w:t xml:space="preserve">Prevalence estimates reported throughout the paper are invariant to the assumed UK domestic-worker population size</w:t>
      </w:r>
      <w:r>
        <w:t xml:space="preserve"> </w:t>
      </w:r>
      <m:oMath>
        <m:r>
          <m:t>N</m:t>
        </m:r>
      </m:oMath>
      <w:r>
        <w:t xml:space="preserve"> </w:t>
      </w:r>
      <w:r>
        <w:t xml:space="preserve">in the asymptotic regime in which</w:t>
      </w:r>
      <w:r>
        <w:t xml:space="preserve"> </w:t>
      </w:r>
      <m:oMath>
        <m:r>
          <m:t>n</m:t>
        </m:r>
        <m:r>
          <m:rPr>
            <m:sty m:val="p"/>
          </m:rPr>
          <m:t>/</m:t>
        </m:r>
        <m:r>
          <m:t>N</m:t>
        </m:r>
      </m:oMath>
      <w:r>
        <w:t xml:space="preserve"> </w:t>
      </w:r>
      <w:r>
        <w:t xml:space="preserve">is small.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4"/>
    <w:bookmarkStart w:id="35"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Online Resource ESM_4.</w:t>
      </w:r>
    </w:p>
    <w:bookmarkEnd w:id="35"/>
    <w:bookmarkEnd w:id="36"/>
    <w:bookmarkStart w:id="57"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ESM_4</w:t>
      </w:r>
      <w:r>
        <w:t xml:space="preserve"> </w:t>
      </w:r>
      <w:hyperlink w:anchor="fig-recruitment">
        <w:r>
          <w:rPr>
            <w:rStyle w:val="Hyperlink"/>
          </w:rPr>
          <w:t xml:space="preserve">Figure 1</w:t>
        </w:r>
      </w:hyperlink>
      <w:r>
        <w:t xml:space="preserve">);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ESM_4.</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four estimators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3"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2"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7" w:name="tbl-rds-diagnostics"/>
          <w:p>
            <w:pPr>
              <w:jc w:val="center"/>
            </w:pPr>
            <w:pPr>
              <w:jc w:val="start"/>
              <w:spacing w:before="200"/>
              <w:pStyle w:val="ImageCaption"/>
            </w:pPr>
            <w:r>
              <w:t xml:space="preserve">Table 4: RDS sampling diagnostics for the analytical sample (n = 85). Computed directly from</w:t>
            </w:r>
            <w:r>
              <w:t xml:space="preserve"> </w:t>
            </w:r>
            <w:r>
              <w:rPr>
                <w:rStyle w:val="VerbatimChar"/>
              </w:rPr>
              <w:t xml:space="preserve">data/processed/data_nonzero.csv</w:t>
            </w:r>
            <w:r>
              <w:t xml:space="preserve">; see</w:t>
            </w:r>
            <w:r>
              <w:t xml:space="preserve"> </w:t>
            </w:r>
            <w:hyperlink w:anchor="sec-rds-diagnostics">
              <w:r>
                <w:rPr>
                  <w:rStyle w:val="Hyperlink"/>
                </w:rPr>
                <w:t xml:space="preserve">Section 4.1.1</w:t>
              </w:r>
            </w:hyperlink>
            <w:r>
              <w:t xml:space="preserve"> </w:t>
            </w:r>
            <w:r>
              <w:t xml:space="preserve">below and ESM_4 (convergence plots per indicator)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fig-rds-diagnostics"/>
          <w:p>
            <w:pPr>
              <w:pStyle w:val="Compact"/>
              <w:jc w:val="center"/>
            </w:pPr>
            <w:r>
              <w:drawing>
                <wp:inline>
                  <wp:extent cx="5334000" cy="1557645"/>
                  <wp:effectExtent b="0" l="0" r="0" t="0"/>
                  <wp:docPr descr="" title="" id="39" name="Picture"/>
                  <a:graphic>
                    <a:graphicData uri="http://schemas.openxmlformats.org/drawingml/2006/picture">
                      <pic:pic>
                        <pic:nvPicPr>
                          <pic:cNvPr descr="figures/rds_diagnostics.png" id="40" name="Picture"/>
                          <pic:cNvPicPr>
                            <a:picLocks noChangeArrowheads="1" noChangeAspect="1"/>
                          </pic:cNvPicPr>
                        </pic:nvPicPr>
                        <pic:blipFill>
                          <a:blip r:embed="rId38"/>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w:t>
            </w:r>
            <w:r>
              <w:t xml:space="preserve"> </w:t>
            </w:r>
            <w:r>
              <w:rPr>
                <w:rStyle w:val="VerbatimChar"/>
              </w:rPr>
              <w:t xml:space="preserve">data/processed/data_nonzero.csv</w:t>
            </w:r>
            <w:r>
              <w:t xml:space="preserve">.</w:t>
            </w:r>
          </w:p>
          <w:bookmarkEnd w:id="41"/>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2"/>
    <w:bookmarkEnd w:id="43"/>
    <w:bookmarkStart w:id="48"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ESM_1,</w:t>
      </w:r>
      <w:r>
        <w:t xml:space="preserve"> </w:t>
      </w:r>
      <w:hyperlink w:anchor="tbl-indicator-mapping">
        <w:r>
          <w:rPr>
            <w:rStyle w:val="Hyperlink"/>
          </w:rPr>
          <w:t xml:space="preserve">Table 1</w:t>
        </w:r>
      </w:hyperlink>
      <w:r>
        <w:t xml:space="preserve">).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rds-diagnostics">
        <w:r>
          <w:rPr>
            <w:rStyle w:val="Hyperlink"/>
          </w:rPr>
          <w:t xml:space="preserve">Figure 2</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7" w:name="fig-composite"/>
          <w:p>
            <w:pPr>
              <w:pStyle w:val="Compact"/>
              <w:jc w:val="center"/>
            </w:pPr>
            <w:r>
              <w:drawing>
                <wp:inline>
                  <wp:extent cx="5334000" cy="2370666"/>
                  <wp:effectExtent b="0" l="0" r="0" t="0"/>
                  <wp:docPr descr="" title="" id="45" name="Picture"/>
                  <a:graphic>
                    <a:graphicData uri="http://schemas.openxmlformats.org/drawingml/2006/picture">
                      <pic:pic>
                        <pic:nvPicPr>
                          <pic:cNvPr descr="figures/image3.png" id="46" name="Picture"/>
                          <pic:cNvPicPr>
                            <a:picLocks noChangeArrowheads="1" noChangeAspect="1"/>
                          </pic:cNvPicPr>
                        </pic:nvPicPr>
                        <pic:blipFill>
                          <a:blip r:embed="rId44"/>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7"/>
        </w:tc>
      </w:tr>
    </w:tbl>
    <w:bookmarkEnd w:id="48"/>
    <w:bookmarkStart w:id="54"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49"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4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ma-binary"/>
          <w:p>
            <w:pPr>
              <w:pStyle w:val="Compact"/>
              <w:jc w:val="center"/>
            </w:pPr>
            <w:r>
              <w:drawing>
                <wp:inline>
                  <wp:extent cx="5334000" cy="3333750"/>
                  <wp:effectExtent b="0" l="0" r="0" t="0"/>
                  <wp:docPr descr="" title="" id="51" name="Picture"/>
                  <a:graphic>
                    <a:graphicData uri="http://schemas.openxmlformats.org/drawingml/2006/picture">
                      <pic:pic>
                        <pic:nvPicPr>
                          <pic:cNvPr descr="figures/image4.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3"/>
        </w:tc>
      </w:tr>
    </w:tbl>
    <w:bookmarkEnd w:id="54"/>
    <w:bookmarkStart w:id="55" w:name="sec-supporting-estimates"/>
    <w:p>
      <w:pPr>
        <w:pStyle w:val="Heading2"/>
      </w:pPr>
      <w:r>
        <w:t xml:space="preserve">4.4 Supporting Estimates and Method Comparison</w:t>
      </w:r>
    </w:p>
    <w:p>
      <w:pPr>
        <w:pStyle w:val="FirstParagraph"/>
      </w:pPr>
      <w:r>
        <w:t xml:space="preserve">Three additional families of estimates are reported in full in ESM_4 Section B (Supporting Estimates and Method Comparison) for transparency and robustness: (a) Bayesian Model-Assisted estimates (MA-RDS) of the five binary indicators at</w:t>
      </w:r>
      <w:r>
        <w:t xml:space="preserve"> </w:t>
      </w:r>
      <m:oMath>
        <m:r>
          <m:t>N</m:t>
        </m:r>
        <m:r>
          <m:rPr>
            <m:sty m:val="p"/>
          </m:rPr>
          <m:t>=</m:t>
        </m:r>
        <m:r>
          <m:t>50</m:t>
        </m:r>
        <m:r>
          <m:rPr>
            <m:sty m:val="p"/>
          </m:rPr>
          <m:t>,</m:t>
        </m:r>
        <m:r>
          <m:t>000</m:t>
        </m:r>
      </m:oMath>
      <w:r>
        <w:t xml:space="preserve"> </w:t>
      </w:r>
      <w:r>
        <w:t xml:space="preserve">with 95% credible intervals (ESM_4</w:t>
      </w:r>
      <w:r>
        <w:t xml:space="preserve"> </w:t>
      </w:r>
      <w:hyperlink w:anchor="tbl-estimands">
        <w:r>
          <w:rPr>
            <w:rStyle w:val="Hyperlink"/>
          </w:rPr>
          <w:t xml:space="preserve">Table 3</w:t>
        </w:r>
      </w:hyperlink>
      <w:r>
        <w:t xml:space="preserve">); posterior means range from 34.1% (document withholding) to 84.0% (excessive working hours) and substantively replicate the RDS-SS ordering reported in</w:t>
      </w:r>
      <w:r>
        <w:t xml:space="preserve"> </w:t>
      </w:r>
      <w:hyperlink w:anchor="tbl-preferred-estimates">
        <w:r>
          <w:rPr>
            <w:rStyle w:val="Hyperlink"/>
          </w:rPr>
          <w:t xml:space="preserve">Table 5</w:t>
        </w:r>
      </w:hyperlink>
      <w:r>
        <w:t xml:space="preserve">. (b) Direct comparison of RDS-I and RDS-SS estimators for each indicator with per-method bootstrap 95% CIs (ESM_4</w:t>
      </w:r>
      <w:r>
        <w:t xml:space="preserve"> </w:t>
      </w:r>
      <w:hyperlink w:anchor="tbl-rds-diagnostics">
        <w:r>
          <w:rPr>
            <w:rStyle w:val="Hyperlink"/>
          </w:rPr>
          <w:t xml:space="preserve">Table 4</w:t>
        </w:r>
      </w:hyperlink>
      <w:r>
        <w:t xml:space="preserve">);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ESM_4</w:t>
      </w:r>
      <w:r>
        <w:t xml:space="preserve"> </w:t>
      </w:r>
      <w:hyperlink w:anchor="tbl-preferred-estimates">
        <w:r>
          <w:rPr>
            <w:rStyle w:val="Hyperlink"/>
          </w:rPr>
          <w:t xml:space="preserve">Table 5</w:t>
        </w:r>
      </w:hyperlink>
      <w:r>
        <w:t xml:space="preserve">),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5"/>
    <w:bookmarkStart w:id="56" w:name="sec-sensitivity"/>
    <w:p>
      <w:pPr>
        <w:pStyle w:val="Heading2"/>
      </w:pPr>
      <w:r>
        <w:t xml:space="preserve">4.5 Sensitivity and Robustness</w:t>
      </w:r>
    </w:p>
    <w:p>
      <w:pPr>
        <w:pStyle w:val="FirstParagraph"/>
      </w:pPr>
      <w:r>
        <w:t xml:space="preserve">Three sensitivity analyses are reported in full in ESM_4. First, the continuous-</w:t>
      </w:r>
      <m:oMath>
        <m:r>
          <m:t>τ</m:t>
        </m:r>
      </m:oMath>
      <w:r>
        <w:t xml:space="preserve"> </w:t>
      </w:r>
      <w:r>
        <w:t xml:space="preserve">NSUM sweep (ESM_4</w:t>
      </w:r>
      <w:r>
        <w:t xml:space="preserve"> </w:t>
      </w:r>
      <w:hyperlink w:anchor="fig-recruitment">
        <w:r>
          <w:rPr>
            <w:rStyle w:val="Hyperlink"/>
          </w:rPr>
          <w:t xml:space="preserve">Figure 1</w:t>
        </w:r>
      </w:hyperlink>
      <w:r>
        <w:t xml:space="preserve">)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(ESM_4</w:t>
      </w:r>
      <w:r>
        <w:t xml:space="preserve"> </w:t>
      </w:r>
      <w:hyperlink w:anchor="fig-rds-diagnostics">
        <w:r>
          <w:rPr>
            <w:rStyle w:val="Hyperlink"/>
          </w:rPr>
          <w:t xml:space="preserve">Figure 2</w:t>
        </w:r>
      </w:hyperlink>
      <w:r>
        <w:t xml:space="preserve">)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6"/>
    <w:bookmarkEnd w:id="57"/>
    <w:bookmarkStart w:id="64" w:name="sec-discussion"/>
    <w:p>
      <w:pPr>
        <w:pStyle w:val="Heading1"/>
      </w:pPr>
      <w:r>
        <w:t xml:space="preserve">5. Discussion</w:t>
      </w:r>
    </w:p>
    <w:bookmarkStart w:id="58"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8"/>
    <w:bookmarkStart w:id="59"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2017)</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ESM_1.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59"/>
    <w:bookmarkStart w:id="60"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ESM_4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0"/>
    <w:bookmarkStart w:id="61"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1"/>
    <w:bookmarkStart w:id="62"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2"/>
    <w:bookmarkStart w:id="63"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3"/>
    <w:bookmarkEnd w:id="64"/>
    <w:bookmarkStart w:id="65"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5"/>
    <w:bookmarkStart w:id="67"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6">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7"/>
    <w:bookmarkStart w:id="116" w:name="references"/>
    <w:p>
      <w:pPr>
        <w:pStyle w:val="Heading1"/>
      </w:pPr>
      <w:r>
        <w:t xml:space="preserve">References</w:t>
      </w:r>
    </w:p>
    <w:bookmarkStart w:id="115" w:name="refs"/>
    <w:bookmarkStart w:id="68"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68"/>
    <w:bookmarkStart w:id="69"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69"/>
    <w:bookmarkStart w:id="71"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0">
        <w:r>
          <w:rPr>
            <w:rStyle w:val="Hyperlink"/>
          </w:rPr>
          <w:t xml:space="preserve">https://doi.org/10.1198/jasa.2011.ap09475</w:t>
        </w:r>
      </w:hyperlink>
    </w:p>
    <w:bookmarkEnd w:id="71"/>
    <w:bookmarkStart w:id="73"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2">
        <w:r>
          <w:rPr>
            <w:rStyle w:val="Hyperlink"/>
          </w:rPr>
          <w:t xml:space="preserve">https://doi.org/10.1146/annurev-statistics-031017-100704</w:t>
        </w:r>
      </w:hyperlink>
    </w:p>
    <w:bookmarkEnd w:id="73"/>
    <w:bookmarkStart w:id="74"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4"/>
    <w:bookmarkStart w:id="76"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5">
        <w:r>
          <w:rPr>
            <w:rStyle w:val="Hyperlink"/>
          </w:rPr>
          <w:t xml:space="preserve">https://doi.org/10.1111/rssa.12091</w:t>
        </w:r>
      </w:hyperlink>
    </w:p>
    <w:bookmarkEnd w:id="76"/>
    <w:bookmarkStart w:id="78"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7">
        <w:r>
          <w:rPr>
            <w:rStyle w:val="Hyperlink"/>
          </w:rPr>
          <w:t xml:space="preserve">https://doi.org/10.1073/pnas.1000261107</w:t>
        </w:r>
      </w:hyperlink>
    </w:p>
    <w:bookmarkEnd w:id="78"/>
    <w:bookmarkStart w:id="80"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79">
        <w:r>
          <w:rPr>
            <w:rStyle w:val="Hyperlink"/>
          </w:rPr>
          <w:t xml:space="preserve">https://doi.org/10.1214/14-EJS923</w:t>
        </w:r>
      </w:hyperlink>
    </w:p>
    <w:bookmarkEnd w:id="80"/>
    <w:bookmarkStart w:id="82"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1">
        <w:r>
          <w:rPr>
            <w:rStyle w:val="Hyperlink"/>
          </w:rPr>
          <w:t xml:space="preserve">https://doi.org/10.2307/3096941</w:t>
        </w:r>
      </w:hyperlink>
    </w:p>
    <w:bookmarkEnd w:id="82"/>
    <w:bookmarkStart w:id="83"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3"/>
    <w:bookmarkStart w:id="84"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4"/>
    <w:bookmarkStart w:id="86"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5">
        <w:r>
          <w:rPr>
            <w:rStyle w:val="Hyperlink"/>
          </w:rPr>
          <w:t xml:space="preserve">https://www.ilo.org/publications/ilo-indicators-forced-labour</w:t>
        </w:r>
      </w:hyperlink>
    </w:p>
    <w:bookmarkEnd w:id="86"/>
    <w:bookmarkStart w:id="88" w:name="X4ffa2d6c1ea127ab2e45300f94330b7356d213f"/>
    <w:p>
      <w:pPr>
        <w:pStyle w:val="Bibliography"/>
      </w:pPr>
      <w:r>
        <w:t xml:space="preserve">International Labour Organization, &amp; Walk Free Foundation. (2017).</w:t>
      </w:r>
      <w:r>
        <w:t xml:space="preserve"> </w:t>
      </w:r>
      <w:r>
        <w:rPr>
          <w:i/>
          <w:iCs/>
        </w:rPr>
        <w:t xml:space="preserve">Global estimates of modern slavery: Forced labour and forced marriage</w:t>
      </w:r>
      <w:r>
        <w:t xml:space="preserve">.</w:t>
      </w:r>
      <w:r>
        <w:t xml:space="preserve"> </w:t>
      </w:r>
      <w:hyperlink r:id="rId87">
        <w:r>
          <w:rPr>
            <w:rStyle w:val="Hyperlink"/>
          </w:rPr>
          <w:t xml:space="preserve">https://assets.publishing.service.gov.uk/government/uploads/system/uploads/attachment_data/file/649906/Transparency_in_Supply_Chains_A_Practical_Guide_2017.pdf</w:t>
        </w:r>
      </w:hyperlink>
    </w:p>
    <w:bookmarkEnd w:id="88"/>
    <w:bookmarkStart w:id="89"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89"/>
    <w:bookmarkStart w:id="90"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0"/>
    <w:bookmarkStart w:id="91" w:name="ref-kala08-new"/>
    <w:p>
      <w:pPr>
        <w:pStyle w:val="Bibliography"/>
      </w:pPr>
      <w:r>
        <w:t xml:space="preserve">Kalayaan. (2008).</w:t>
      </w:r>
      <w:r>
        <w:t xml:space="preserve"> </w:t>
      </w:r>
      <w:r>
        <w:rPr>
          <w:i/>
          <w:iCs/>
        </w:rPr>
        <w:t xml:space="preserve">The new bonded labour?</w:t>
      </w:r>
    </w:p>
    <w:bookmarkEnd w:id="91"/>
    <w:bookmarkStart w:id="93"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2">
        <w:r>
          <w:rPr>
            <w:rStyle w:val="Hyperlink"/>
          </w:rPr>
          <w:t xml:space="preserve">https://doi.org/10.1016/S0378-8733(96)00305-X</w:t>
        </w:r>
      </w:hyperlink>
    </w:p>
    <w:bookmarkEnd w:id="93"/>
    <w:bookmarkStart w:id="95"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4">
        <w:r>
          <w:rPr>
            <w:rStyle w:val="Hyperlink"/>
          </w:rPr>
          <w:t xml:space="preserve">https://doi.org/10.1214/15-AOAS827</w:t>
        </w:r>
      </w:hyperlink>
    </w:p>
    <w:bookmarkEnd w:id="95"/>
    <w:bookmarkStart w:id="96"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6"/>
    <w:bookmarkStart w:id="98"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97">
        <w:r>
          <w:rPr>
            <w:rStyle w:val="Hyperlink"/>
          </w:rPr>
          <w:t xml:space="preserve">https://doi.org/10.1097/EDE.0b013e31823ac17c</w:t>
        </w:r>
      </w:hyperlink>
    </w:p>
    <w:bookmarkEnd w:id="98"/>
    <w:bookmarkStart w:id="100"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99">
        <w:r>
          <w:rPr>
            <w:rStyle w:val="Hyperlink"/>
          </w:rPr>
          <w:t xml:space="preserve">https://labourexploitation.org/app/uploads/2025/06/Flex-Report-Blueprint-for-safer-and-fairer-migration-for-low-paid-work_final_30_June-.pdf</w:t>
        </w:r>
      </w:hyperlink>
    </w:p>
    <w:bookmarkEnd w:id="100"/>
    <w:bookmarkStart w:id="101"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1"/>
    <w:bookmarkStart w:id="102"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2"/>
    <w:bookmarkStart w:id="103"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3"/>
    <w:bookmarkStart w:id="104" w:name="ref-thompson_new_2020"/>
    <w:p>
      <w:pPr>
        <w:pStyle w:val="Bibliography"/>
      </w:pPr>
      <w:r>
        <w:t xml:space="preserve">Thompson, S. (2020).</w:t>
      </w:r>
      <w:r>
        <w:t xml:space="preserve"> </w:t>
      </w:r>
      <w:r>
        <w:rPr>
          <w:i/>
          <w:iCs/>
        </w:rPr>
        <w:t xml:space="preserve">New estimates for network sampling</w:t>
      </w:r>
      <w:r>
        <w:t xml:space="preserve">.</w:t>
      </w:r>
    </w:p>
    <w:bookmarkEnd w:id="104"/>
    <w:bookmarkStart w:id="106"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5">
        <w:r>
          <w:rPr>
            <w:rStyle w:val="Hyperlink"/>
          </w:rPr>
          <w:t xml:space="preserve">https://doi.org/10.1080/01621459.2016.1212712</w:t>
        </w:r>
      </w:hyperlink>
    </w:p>
    <w:bookmarkEnd w:id="106"/>
    <w:bookmarkStart w:id="107"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07"/>
    <w:bookmarkStart w:id="108"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08"/>
    <w:bookmarkStart w:id="110"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09">
        <w:r>
          <w:rPr>
            <w:rStyle w:val="Hyperlink"/>
          </w:rPr>
          <w:t xml:space="preserve">https://doi.org/10.1093/jssam/smab057</w:t>
        </w:r>
      </w:hyperlink>
    </w:p>
    <w:bookmarkEnd w:id="110"/>
    <w:bookmarkStart w:id="111"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1"/>
    <w:bookmarkStart w:id="113"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2">
        <w:r>
          <w:rPr>
            <w:rStyle w:val="Hyperlink"/>
          </w:rPr>
          <w:t xml:space="preserve">https://doi.org/10.1007/s10611-012-9363-y</w:t>
        </w:r>
      </w:hyperlink>
    </w:p>
    <w:bookmarkEnd w:id="113"/>
    <w:bookmarkStart w:id="114"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hyperlink" Id="rId87" Target="https://assets.publishing.service.gov.uk/government/uploads/system/uploads/attachment_data/file/649906/Transparency_in_Supply_Chains_A_Practical_Guide_2017.pdf" TargetMode="External" /><Relationship Type="http://schemas.openxmlformats.org/officeDocument/2006/relationships/hyperlink" Id="rId112" Target="https://doi.org/10.1007/s10611-012-9363-y" TargetMode="External" /><Relationship Type="http://schemas.openxmlformats.org/officeDocument/2006/relationships/hyperlink" Id="rId92" Target="https://doi.org/10.1016/S0378-8733(96)00305-X" TargetMode="External" /><Relationship Type="http://schemas.openxmlformats.org/officeDocument/2006/relationships/hyperlink" Id="rId77" Target="https://doi.org/10.1073/pnas.1000261107" TargetMode="External" /><Relationship Type="http://schemas.openxmlformats.org/officeDocument/2006/relationships/hyperlink" Id="rId105" Target="https://doi.org/10.1080/01621459.2016.1212712" TargetMode="External" /><Relationship Type="http://schemas.openxmlformats.org/officeDocument/2006/relationships/hyperlink" Id="rId109" Target="https://doi.org/10.1093/jssam/smab057" TargetMode="External" /><Relationship Type="http://schemas.openxmlformats.org/officeDocument/2006/relationships/hyperlink" Id="rId97" Target="https://doi.org/10.1097/EDE.0b013e31823ac17c" TargetMode="External" /><Relationship Type="http://schemas.openxmlformats.org/officeDocument/2006/relationships/hyperlink" Id="rId75" Target="https://doi.org/10.1111/rssa.12091" TargetMode="External" /><Relationship Type="http://schemas.openxmlformats.org/officeDocument/2006/relationships/hyperlink" Id="rId72" Target="https://doi.org/10.1146/annurev-statistics-031017-100704" TargetMode="External" /><Relationship Type="http://schemas.openxmlformats.org/officeDocument/2006/relationships/hyperlink" Id="rId70" Target="https://doi.org/10.1198/jasa.2011.ap09475" TargetMode="External" /><Relationship Type="http://schemas.openxmlformats.org/officeDocument/2006/relationships/hyperlink" Id="rId79" Target="https://doi.org/10.1214/14-EJS923" TargetMode="External" /><Relationship Type="http://schemas.openxmlformats.org/officeDocument/2006/relationships/hyperlink" Id="rId94" Target="https://doi.org/10.1214/15-AOAS827" TargetMode="External" /><Relationship Type="http://schemas.openxmlformats.org/officeDocument/2006/relationships/hyperlink" Id="rId81" Target="https://doi.org/10.2307/3096941" TargetMode="External" /><Relationship Type="http://schemas.openxmlformats.org/officeDocument/2006/relationships/hyperlink" Id="rId99" Target="https://labourexploitation.org/app/uploads/2025/06/Flex-Report-Blueprint-for-safer-and-fairer-migration-for-low-paid-work_final_30_June-.pdf" TargetMode="External" /><Relationship Type="http://schemas.openxmlformats.org/officeDocument/2006/relationships/hyperlink" Id="rId66" Target="https://osf.io/vf5yb/overview?view_only=becc2db3b49c4b258015b648867bf208" TargetMode="External" /><Relationship Type="http://schemas.openxmlformats.org/officeDocument/2006/relationships/hyperlink" Id="rId85"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87" Target="https://assets.publishing.service.gov.uk/government/uploads/system/uploads/attachment_data/file/649906/Transparency_in_Supply_Chains_A_Practical_Guide_2017.pdf" TargetMode="External" /><Relationship Type="http://schemas.openxmlformats.org/officeDocument/2006/relationships/hyperlink" Id="rId112" Target="https://doi.org/10.1007/s10611-012-9363-y" TargetMode="External" /><Relationship Type="http://schemas.openxmlformats.org/officeDocument/2006/relationships/hyperlink" Id="rId92" Target="https://doi.org/10.1016/S0378-8733(96)00305-X" TargetMode="External" /><Relationship Type="http://schemas.openxmlformats.org/officeDocument/2006/relationships/hyperlink" Id="rId77" Target="https://doi.org/10.1073/pnas.1000261107" TargetMode="External" /><Relationship Type="http://schemas.openxmlformats.org/officeDocument/2006/relationships/hyperlink" Id="rId105" Target="https://doi.org/10.1080/01621459.2016.1212712" TargetMode="External" /><Relationship Type="http://schemas.openxmlformats.org/officeDocument/2006/relationships/hyperlink" Id="rId109" Target="https://doi.org/10.1093/jssam/smab057" TargetMode="External" /><Relationship Type="http://schemas.openxmlformats.org/officeDocument/2006/relationships/hyperlink" Id="rId97" Target="https://doi.org/10.1097/EDE.0b013e31823ac17c" TargetMode="External" /><Relationship Type="http://schemas.openxmlformats.org/officeDocument/2006/relationships/hyperlink" Id="rId75" Target="https://doi.org/10.1111/rssa.12091" TargetMode="External" /><Relationship Type="http://schemas.openxmlformats.org/officeDocument/2006/relationships/hyperlink" Id="rId72" Target="https://doi.org/10.1146/annurev-statistics-031017-100704" TargetMode="External" /><Relationship Type="http://schemas.openxmlformats.org/officeDocument/2006/relationships/hyperlink" Id="rId70" Target="https://doi.org/10.1198/jasa.2011.ap09475" TargetMode="External" /><Relationship Type="http://schemas.openxmlformats.org/officeDocument/2006/relationships/hyperlink" Id="rId79" Target="https://doi.org/10.1214/14-EJS923" TargetMode="External" /><Relationship Type="http://schemas.openxmlformats.org/officeDocument/2006/relationships/hyperlink" Id="rId94" Target="https://doi.org/10.1214/15-AOAS827" TargetMode="External" /><Relationship Type="http://schemas.openxmlformats.org/officeDocument/2006/relationships/hyperlink" Id="rId81" Target="https://doi.org/10.2307/3096941" TargetMode="External" /><Relationship Type="http://schemas.openxmlformats.org/officeDocument/2006/relationships/hyperlink" Id="rId99" Target="https://labourexploitation.org/app/uploads/2025/06/Flex-Report-Blueprint-for-safer-and-fairer-migration-for-low-paid-work_final_30_June-.pdf" TargetMode="External" /><Relationship Type="http://schemas.openxmlformats.org/officeDocument/2006/relationships/hyperlink" Id="rId66" Target="https://osf.io/vf5yb/overview?view_only=becc2db3b49c4b258015b648867bf208" TargetMode="External" /><Relationship Type="http://schemas.openxmlformats.org/officeDocument/2006/relationships/hyperlink" Id="rId85"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2026-06-29T13:07:20Z</dcterms:created>
  <dcterms:modified xsi:type="dcterms:W3CDTF">2026-06-29T13:07:20Z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prevelance of different forms of laour exploitation are robust across a number of paramters.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26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