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4.png" ContentType="image/png"/>
  <Override PartName="/word/media/rId50.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26 June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prevelance of different forms of laour exploitation are robust across a number of paramters. The paper contributes a replicable measurement design for hidden-population social indicators relevant to SDG 8.7 monitoring.</w:t>
      </w:r>
    </w:p>
    <w:bookmarkStart w:id="20" w:name="sec-intro"/>
    <w:p>
      <w:pPr>
        <w:pStyle w:val="Heading1"/>
      </w:pPr>
      <w:r>
        <w:t xml:space="preserve">1. Introduction</w:t>
      </w:r>
    </w:p>
    <w:p>
      <w:pPr>
        <w:pStyle w:val="FirstParagraph"/>
      </w:pPr>
      <w:r>
        <w:t xml:space="preserve">Modern slavery — forced labour, debt bondage, document and identity-document withholding, and related coercive practices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w:t>
      </w:r>
      <w:r>
        <w:t xml:space="preserve"> </w:t>
      </w:r>
      <w:r>
        <w:t xml:space="preserve">(Kalayaan, 2008; Service, 2023)</w:t>
      </w:r>
      <w:r>
        <w:t xml:space="preserve"> </w:t>
      </w:r>
      <w:r>
        <w:t xml:space="preserve">is qualitatively rich but does not yield population-level prevalence estimates suitable for SDG monitoring or comparison across populations. The International Labour</w:t>
      </w:r>
      <w:r>
        <w:t xml:space="preserve"> </w:t>
      </w:r>
      <w:r>
        <w:t xml:space="preserve">Organization’s eleven indicators of forced labour</w:t>
      </w:r>
      <w:r>
        <w:t xml:space="preserve"> </w:t>
      </w:r>
      <w:r>
        <w:t xml:space="preserve">(International Labour Organization, 2012; International Labour Organization &amp; Walk Free Foundation, 2017)</w:t>
      </w:r>
      <w:r>
        <w:t xml:space="preserve"> </w:t>
      </w:r>
      <w:r>
        <w:t xml:space="preserve">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w:t>
      </w:r>
      <w:r>
        <w:t xml:space="preserve"> </w:t>
      </w:r>
      <w:r>
        <w:t xml:space="preserve">(International Labour Organization, 2012; International Labour Organization &amp; Walk Free Foundation, 2017)</w:t>
      </w:r>
      <w:r>
        <w:t xml:space="preserve"> </w:t>
      </w:r>
      <w:r>
        <w:t xml:space="preserve">between</w:t>
      </w:r>
      <w:r>
        <w:t xml:space="preserve"> </w:t>
      </w:r>
      <w:r>
        <w:t xml:space="preserve">‘medium’</w:t>
      </w:r>
      <w:r>
        <w:t xml:space="preserve"> </w:t>
      </w:r>
      <w:r>
        <w:t xml:space="preserve">indicators (multiple required to indicate forced labour) and</w:t>
      </w:r>
      <w:r>
        <w:t xml:space="preserve"> </w:t>
      </w:r>
      <w:r>
        <w:t xml:space="preserve">‘strong’</w:t>
      </w:r>
      <w:r>
        <w:t xml:space="preserve"> </w:t>
      </w:r>
      <w:r>
        <w:t xml:space="preserve">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pPr>
        <w:pStyle w:val="BodyText"/>
      </w:pPr>
      <w:r>
        <w:t xml:space="preserve">The remainder of the paper is organised as follows.</w:t>
      </w:r>
      <w:r>
        <w:t xml:space="preserve"> </w:t>
      </w:r>
      <w:hyperlink w:anchor="sec-conceptualisation">
        <w:r>
          <w:rPr>
            <w:rStyle w:val="Hyperlink"/>
          </w:rPr>
          <w:t xml:space="preserve">Section 2</w:t>
        </w:r>
      </w:hyperlink>
      <w:r>
        <w:t xml:space="preserve"> </w:t>
      </w:r>
      <w:r>
        <w:t xml:space="preserve">conceptualises labour exploitation as a graded formative indicator framework measured by five ILO-aligned indicators arranged hierarchically by</w:t>
      </w:r>
      <w:r>
        <w:t xml:space="preserve"> </w:t>
      </w:r>
      <w:r>
        <w:t xml:space="preserve">severity.</w:t>
      </w:r>
      <w:r>
        <w:t xml:space="preserve"> </w:t>
      </w:r>
      <w:hyperlink w:anchor="sec-case-setting">
        <w:r>
          <w:rPr>
            <w:rStyle w:val="Hyperlink"/>
          </w:rPr>
          <w:t xml:space="preserve">Section 3</w:t>
        </w:r>
      </w:hyperlink>
      <w:r>
        <w:t xml:space="preserve"> </w:t>
      </w:r>
      <w:r>
        <w:t xml:space="preserve">describes the matched-instrument survey design (</w:t>
      </w:r>
      <w:hyperlink w:anchor="sec-study-design">
        <w:r>
          <w:rPr>
            <w:rStyle w:val="Hyperlink"/>
          </w:rPr>
          <w:t xml:space="preserve">Section 3.1</w:t>
        </w:r>
      </w:hyperlink>
      <w:r>
        <w:t xml:space="preserve">) and the dual sampling approach combining RDS and NSUM (</w:t>
      </w:r>
      <w:hyperlink w:anchor="sec-survey-instrument">
        <w:r>
          <w:rPr>
            <w:rStyle w:val="Hyperlink"/>
          </w:rPr>
          <w:t xml:space="preserve">Section 3.2</w:t>
        </w:r>
      </w:hyperlink>
      <w:r>
        <w:t xml:space="preserve">).</w:t>
      </w:r>
      <w:r>
        <w:t xml:space="preserve"> </w:t>
      </w:r>
      <w:hyperlink w:anchor="sec-results">
        <w:r>
          <w:rPr>
            <w:rStyle w:val="Hyperlink"/>
          </w:rPr>
          <w:t xml:space="preserve">Section 4</w:t>
        </w:r>
      </w:hyperlink>
      <w:r>
        <w:t xml:space="preserve"> </w:t>
      </w:r>
      <w:r>
        <w:t xml:space="preserve">presents prevalence estimates by</w:t>
      </w:r>
      <w:r>
        <w:t xml:space="preserve"> </w:t>
      </w:r>
      <w:r>
        <w:t xml:space="preserve">indicator and method, including frequentist RDS-I/RDS-II/RDS-SS estimators (</w:t>
      </w:r>
      <w:hyperlink w:anchor="sec-descriptive">
        <w:r>
          <w:rPr>
            <w:rStyle w:val="Hyperlink"/>
          </w:rPr>
          <w:t xml:space="preserve">Section 4.1</w:t>
        </w:r>
      </w:hyperlink>
      <w:r>
        <w:t xml:space="preserve">), Bayesian Model-Assisted inference (</w:t>
      </w:r>
      <w:hyperlink w:anchor="sec-composite-results">
        <w:r>
          <w:rPr>
            <w:rStyle w:val="Hyperlink"/>
          </w:rPr>
          <w:t xml:space="preserve">Section 4.2</w:t>
        </w:r>
      </w:hyperlink>
      <w:r>
        <w:t xml:space="preserve">), and NSUM with sensitivity analysis (</w:t>
      </w:r>
      <w:hyperlink w:anchor="sec-binary-results">
        <w:r>
          <w:rPr>
            <w:rStyle w:val="Hyperlink"/>
          </w:rPr>
          <w:t xml:space="preserve">Section 4.3</w:t>
        </w:r>
      </w:hyperlink>
      <w:r>
        <w:t xml:space="preserve">).</w:t>
      </w:r>
      <w:r>
        <w:t xml:space="preserve"> </w:t>
      </w:r>
      <w:hyperlink w:anchor="sec-discussion">
        <w:r>
          <w:rPr>
            <w:rStyle w:val="Hyperlink"/>
          </w:rPr>
          <w:t xml:space="preserve">Section 5</w:t>
        </w:r>
      </w:hyperlink>
      <w:r>
        <w:t xml:space="preserve"> </w:t>
      </w:r>
      <w:r>
        <w:t xml:space="preserve">reads the RDS-NSUM divergence as diagnostic evidence about visibility within workers’ personal networks and discusses implications for SDG 8.7 monitoring.</w:t>
      </w:r>
    </w:p>
    <w:bookmarkEnd w:id="20"/>
    <w:bookmarkStart w:id="22" w:name="sec-conceptualisation"/>
    <w:p>
      <w:pPr>
        <w:pStyle w:val="Heading1"/>
      </w:pPr>
      <w:r>
        <w:t xml:space="preserve">2. Conceptualising Labour Exploitation and the Degree of Risk</w:t>
      </w:r>
    </w:p>
    <w:p>
      <w:pPr>
        <w:pStyle w:val="FirstParagraph"/>
      </w:pPr>
      <w:r>
        <w:t xml:space="preserve">The International Labour Organization’s eleven indicators of forced labour</w:t>
      </w:r>
      <w:r>
        <w:t xml:space="preserve"> </w:t>
      </w:r>
      <w:r>
        <w:t xml:space="preserve">(International Labour Organization, 2012; International Labour Organization &amp; Walk Free Foundation, 2017)</w:t>
      </w:r>
      <w:r>
        <w:t xml:space="preserve"> </w:t>
      </w:r>
      <w:r>
        <w:t xml:space="preserve">provide the canonical operational framework for measuring modern slavery. The ILO distinguishes two grades</w:t>
      </w:r>
      <w:r>
        <w:t xml:space="preserve"> </w:t>
      </w:r>
      <w:r>
        <w:t xml:space="preserve">of indicator:</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w:t>
      </w:r>
      <w:r>
        <w:t xml:space="preserve"> </w:t>
      </w:r>
      <w:r>
        <w:t xml:space="preserve">whose presence individually is suggestive but not definitive of forced labour, and</w:t>
      </w:r>
      <w:r>
        <w:t xml:space="preserve"> </w:t>
      </w:r>
      <w:r>
        <w:t xml:space="preserve">‘strong’</w:t>
      </w:r>
      <w:r>
        <w:t xml:space="preserve"> </w:t>
      </w:r>
      <w:r>
        <w:t xml:space="preserve">indicators (intimidation and threats, physical and sexual violence, retention of identity documents) any</w:t>
      </w:r>
      <w:r>
        <w:t xml:space="preserve"> </w:t>
      </w:r>
      <w:r>
        <w:t xml:space="preserve">one of which alone is sufficient to indicate forced labour. This medium/strong distinction is itself a graded hierarchy of evidentiary weight, not a binary. We measure five indicators across that</w:t>
      </w:r>
      <w:r>
        <w:t xml:space="preserve"> </w:t>
      </w:r>
      <w:r>
        <w:t xml:space="preserve">hierarchy,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w:t>
      </w:r>
      <w:r>
        <w:t xml:space="preserve"> </w:t>
      </w:r>
      <w:r>
        <w:t xml:space="preserve">Yilmaz &amp; Emberson (2023)</w:t>
      </w:r>
      <w:r>
        <w:t xml:space="preserve">) and document and passport withholding.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w:t>
      </w:r>
      <w:hyperlink w:anchor="sec-composite-results">
        <w:r>
          <w:rPr>
            <w:rStyle w:val="Hyperlink"/>
          </w:rPr>
          <w:t xml:space="preserve">Section 4.2</w:t>
        </w:r>
      </w:hyperlink>
      <w:r>
        <w:t xml:space="preserve">; ESM_1</w:t>
      </w:r>
      <w:r>
        <w:t xml:space="preserve"> </w:t>
      </w:r>
      <w:hyperlink w:anchor="tbl-indicator-mapping">
        <w:r>
          <w:rPr>
            <w:rStyle w:val="Hyperlink"/>
          </w:rPr>
          <w:t xml:space="preserve">Table 1</w:t>
        </w:r>
      </w:hyperlink>
      <w:r>
        <w:t xml:space="preserve">, Categories 1 and 2). Where appropriate we note this scope limitation in the discussion of results.</w:t>
      </w:r>
    </w:p>
    <w:p>
      <w:pPr>
        <w:pStyle w:val="BodyText"/>
      </w:pPr>
      <w:r>
        <w:t xml:space="preserve">The composite risk index aggregates all eleven ILO indicators of forced labour into a single continuous measure (</w:t>
      </w:r>
      <w:hyperlink w:anchor="sec-survey-instrument">
        <w:r>
          <w:rPr>
            <w:rStyle w:val="Hyperlink"/>
          </w:rPr>
          <w:t xml:space="preserve">Section 3.2</w:t>
        </w:r>
      </w:hyperlink>
      <w:r>
        <w:t xml:space="preserve"> </w:t>
      </w:r>
      <w:hyperlink w:anchor="tbl-indicator-mapping">
        <w:r>
          <w:rPr>
            <w:rStyle w:val="Hyperlink"/>
          </w:rPr>
          <w:t xml:space="preserve">Table 1</w:t>
        </w:r>
      </w:hyperlink>
      <w:r>
        <w:t xml:space="preserve">; ESM_1</w:t>
      </w:r>
      <w:r>
        <w:t xml:space="preserve"> </w:t>
      </w:r>
      <w:hyperlink w:anchor="tbl-indicator-mapping">
        <w:r>
          <w:rPr>
            <w:rStyle w:val="Hyperlink"/>
          </w:rPr>
          <w:t xml:space="preserve">Table 1</w:t>
        </w:r>
      </w:hyperlink>
      <w:r>
        <w:t xml:space="preserve"> </w:t>
      </w:r>
      <w:r>
        <w:t xml:space="preserve">for per-category weights). It is constructed as a formative additive composite: an individual is exposed to exploitation if any of the indicators is present, and the indicators are constitutive rather than reflective of an underlying severity. Polarity is uniform across categories. Weights are anchored on the ILO medium/strong severity gradation — strong-indicator categories receive larger sub-weights than medium-indicator categories — and we conduct robustness assessment by perturbing the weights (</w:t>
      </w:r>
      <w:hyperlink w:anchor="sec-weights-sensitivity">
        <w:r>
          <w:rPr>
            <w:rStyle w:val="Hyperlink"/>
          </w:rPr>
          <w:t xml:space="preserve">Section 5.5</w:t>
        </w:r>
      </w:hyperlink>
      <w:r>
        <w:t xml:space="preserve">). Two further evidentiary markers, NRM-referral history and payment below the national living wage, are reported as separate binary flags and are not part of the composite, as their direct evidentiary status under UK policy makes them more useful read independently.</w:t>
      </w:r>
    </w:p>
    <w:bookmarkStart w:id="21" w:name="sec-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w:t>
      </w:r>
      <w:r>
        <w:t xml:space="preserve"> </w:t>
      </w:r>
      <w:hyperlink w:anchor="sec-binary-results">
        <w:r>
          <w:rPr>
            <w:rStyle w:val="Hyperlink"/>
          </w:rPr>
          <w:t xml:space="preserve">Section 4.3</w:t>
        </w:r>
      </w:hyperlink>
      <w:r>
        <w:t xml:space="preserve">) and a continuous formative additive composite risk index capturing gradations of vulnerability across all eleven ILO indicators (</w:t>
      </w:r>
      <w:hyperlink w:anchor="sec-composite-results">
        <w:r>
          <w:rPr>
            <w:rStyle w:val="Hyperlink"/>
          </w:rPr>
          <w:t xml:space="preserve">Section 4.2</w:t>
        </w:r>
      </w:hyperlink>
      <w:r>
        <w:t xml:space="preserve">; ESM_1 for full construction).</w:t>
      </w:r>
    </w:p>
    <w:bookmarkEnd w:id="21"/>
    <w:bookmarkEnd w:id="22"/>
    <w:bookmarkStart w:id="36" w:name="sec-case-setting"/>
    <w:p>
      <w:pPr>
        <w:pStyle w:val="Heading1"/>
      </w:pPr>
      <w:r>
        <w:t xml:space="preserve">3. 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w:t>
      </w:r>
      <w:r>
        <w:t xml:space="preserve"> </w:t>
      </w:r>
      <w:r>
        <w:t xml:space="preserve">(Kalayaan, 2008; Mantouvalou, 2016; Service, 2023)</w:t>
      </w:r>
      <w:r>
        <w:t xml:space="preserve">.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w:t>
      </w:r>
      <w:r>
        <w:t xml:space="preserve"> </w:t>
      </w:r>
      <w:r>
        <w:t xml:space="preserve">(Romero &amp; Fisher, 2025)</w:t>
      </w:r>
      <w:r>
        <w:t xml:space="preserve">. Civil-society organisations representing migrant domestic workers have documented patterns of wage withholding, document confiscation, restricted movement, excessive working hours, and threats and abuse over more than two decades</w:t>
      </w:r>
      <w:r>
        <w:t xml:space="preserve"> </w:t>
      </w:r>
      <w:r>
        <w:t xml:space="preserve">(Kalayaan, 2008; Mantouvalou, 2016; Service, 2023; Yilmaz &amp; Emberson, 2023)</w:t>
      </w:r>
      <w:r>
        <w:t xml:space="preserve">,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 (undocumented agricultural workers, kafala-system migrants in Gulf states, informal-construction day labourers).</w:t>
      </w:r>
    </w:p>
    <w:bookmarkStart w:id="23" w:name="sec-study-design"/>
    <w:p>
      <w:pPr>
        <w:pStyle w:val="Heading2"/>
      </w:pPr>
      <w:r>
        <w:t xml:space="preserve">3.1 Study Design and Sampling</w:t>
      </w:r>
    </w:p>
    <w:p>
      <w:pPr>
        <w:pStyle w:val="FirstParagraph"/>
      </w:pPr>
      <w:r>
        <w:t xml:space="preserve">Respondent-Driven Sampling (RDS) is a network-based sampling method designed to study hidden or hard-to-reach populations</w:t>
      </w:r>
      <w:r>
        <w:t xml:space="preserve"> </w:t>
      </w:r>
      <w:r>
        <w:t xml:space="preserve">(Gile et al., 2018; Heckathorn, 1997; Heckathorn, 2011)</w:t>
      </w:r>
      <w:r>
        <w:t xml:space="preserve">.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w:t>
      </w:r>
      <w:r>
        <w:t xml:space="preserve"> </w:t>
      </w:r>
      <w:r>
        <w:t xml:space="preserve">(McCreesh et al., 2012; Schwitters et al., 2012)</w:t>
      </w:r>
      <w:r>
        <w:t xml:space="preserve">, and network-based referrals</w:t>
      </w:r>
      <w:r>
        <w:t xml:space="preserve"> </w:t>
      </w:r>
      <w:r>
        <w:t xml:space="preserve">have been described as the only viable method to reach many types of labour trafficking victims</w:t>
      </w:r>
      <w:r>
        <w:t xml:space="preserve"> </w:t>
      </w:r>
      <w:r>
        <w:t xml:space="preserve">(Zhang, 2012)</w:t>
      </w:r>
      <w:r>
        <w:t xml:space="preserve">. Recent applications include studies of exploitation among low-wage workers in American</w:t>
      </w:r>
      <w:r>
        <w:t xml:space="preserve"> </w:t>
      </w:r>
      <w:r>
        <w:t xml:space="preserve">cities</w:t>
      </w:r>
      <w:r>
        <w:t xml:space="preserve"> </w:t>
      </w:r>
      <w:r>
        <w:t xml:space="preserve">(Bernhardt et al., 2009)</w:t>
      </w:r>
      <w:r>
        <w:t xml:space="preserve">, labour trafficking in migrant communities</w:t>
      </w:r>
      <w:r>
        <w:t xml:space="preserve"> </w:t>
      </w:r>
      <w:r>
        <w:t xml:space="preserve">(Vincent &amp; Thompson, 2017)</w:t>
      </w:r>
      <w:r>
        <w:t xml:space="preserve">, child labour in India</w:t>
      </w:r>
      <w:r>
        <w:t xml:space="preserve"> </w:t>
      </w:r>
      <w:r>
        <w:t xml:space="preserve">(Zhang et al., 2019)</w:t>
      </w:r>
      <w:r>
        <w:t xml:space="preserve">, and commercial sexual exploitation in</w:t>
      </w:r>
      <w:r>
        <w:t xml:space="preserve"> </w:t>
      </w:r>
      <w:r>
        <w:t xml:space="preserve">Nepal</w:t>
      </w:r>
      <w:r>
        <w:t xml:space="preserve"> </w:t>
      </w:r>
      <w:r>
        <w:t xml:space="preserve">(Jordan et al., 2020)</w:t>
      </w:r>
      <w:r>
        <w:t xml:space="preserve">.</w:t>
      </w:r>
    </w:p>
    <w:p>
      <w:pPr>
        <w:pStyle w:val="BodyText"/>
      </w:pPr>
      <w:r>
        <w:t xml:space="preserve">Our approach can best be described as Web-based RDS</w:t>
      </w:r>
      <w:r>
        <w:t xml:space="preserve"> </w:t>
      </w:r>
      <w:r>
        <w:t xml:space="preserve">(Wejnert &amp; Heckathorn, 2008)</w:t>
      </w:r>
      <w:r>
        <w:t xml:space="preserve">.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w:t>
      </w:r>
      <w:r>
        <w:t xml:space="preserve"> </w:t>
      </w:r>
      <w:r>
        <w:t xml:space="preserve">(Jordan et al., 2020)</w:t>
      </w:r>
      <w:r>
        <w:t xml:space="preserve">.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w:t>
      </w:r>
      <w:r>
        <w:t xml:space="preserve"> </w:t>
      </w:r>
      <w:r>
        <w:t xml:space="preserve">Thompson (2020)</w:t>
      </w:r>
      <w:r>
        <w:t xml:space="preserve">.</w:t>
      </w:r>
    </w:p>
    <w:p>
      <w:pPr>
        <w:pStyle w:val="BodyText"/>
      </w:pPr>
      <w:r>
        <w:t xml:space="preserve">Respondents were incentivised through lottery entry, consistent with the design recommendations of the survey-incentive literature (full literature review and incentive-design details in ESM_4 Section C).</w:t>
      </w:r>
    </w:p>
    <w:bookmarkEnd w:id="23"/>
    <w:bookmarkStart w:id="25" w:name="sec-survey-instrument"/>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w:t>
      </w:r>
      <w:r>
        <w:t xml:space="preserve"> </w:t>
      </w:r>
      <w:r>
        <w:t xml:space="preserve">(International Labour Organization, 2012)</w:t>
      </w:r>
      <w:r>
        <w:t xml:space="preserve">.</w:t>
      </w:r>
      <w:r>
        <w:t xml:space="preserve"> </w:t>
      </w:r>
      <w:r>
        <w:t xml:space="preserve">The eleven ILO indicators of forced labour</w:t>
      </w:r>
      <w:r>
        <w:t xml:space="preserve"> </w:t>
      </w:r>
      <w:r>
        <w:t xml:space="preserve">(International Labour Organization, 2012; International Labour Organization &amp; Walk Free Foundation, 2017)</w:t>
      </w:r>
      <w:r>
        <w:t xml:space="preserve"> </w:t>
      </w:r>
      <w:r>
        <w:t xml:space="preserve">provide the operational framework for our measurement strategy.</w:t>
      </w:r>
      <w:r>
        <w:t xml:space="preserve"> </w:t>
      </w:r>
      <w:hyperlink w:anchor="tbl-indicator-mapping">
        <w:r>
          <w:rPr>
            <w:rStyle w:val="Hyperlink"/>
          </w:rPr>
          <w:t xml:space="preserve">Table 1</w:t>
        </w:r>
      </w:hyperlink>
      <w:r>
        <w:t xml:space="preserve"> </w:t>
      </w:r>
      <w:r>
        <w:t xml:space="preserve">(below) maps each ILO indicator to its measurement status in this paper: whether it is measured directly as a binary prevalence indicator (reported in</w:t>
      </w:r>
      <w:r>
        <w:t xml:space="preserve"> </w:t>
      </w:r>
      <w:hyperlink w:anchor="sec-binary-results">
        <w:r>
          <w:rPr>
            <w:rStyle w:val="Hyperlink"/>
          </w:rPr>
          <w:t xml:space="preserve">Section 4.3</w:t>
        </w:r>
      </w:hyperlink>
      <w:r>
        <w:t xml:space="preserve">), whether it is included in the formative additive composite risk index (reported in</w:t>
      </w:r>
      <w:r>
        <w:t xml:space="preserve"> </w:t>
      </w:r>
      <w:hyperlink w:anchor="sec-composite-results">
        <w:r>
          <w:rPr>
            <w:rStyle w:val="Hyperlink"/>
          </w:rPr>
          <w:t xml:space="preserve">Section 4.2</w:t>
        </w:r>
      </w:hyperlink>
      <w:r>
        <w:t xml:space="preserve">),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ESM_1,</w:t>
            </w:r>
            <w:r>
              <w:t xml:space="preserve"> </w:t>
            </w:r>
            <w:hyperlink w:anchor="tbl-indicator-mapping">
              <w:r>
                <w:rPr>
                  <w:rStyle w:val="Hyperlink"/>
                </w:rPr>
                <w:t xml:space="preserve">Table 1</w:t>
              </w:r>
            </w:hyperlink>
            <w:r>
              <w:t xml:space="preserve">. Source: Authors’ construction following ILO (2012, 2017).</w:t>
            </w:r>
          </w:p>
          <w:tbl>
            <w:tblPr>
              <w:tblStyle w:val="Table"/>
              <w:tblW w:type="pct" w:w="5000"/>
              <w:tblLayout w:type="fixed"/>
              <w:tblLook w:firstRow="1" w:lastRow="0" w:firstColumn="0" w:lastColumn="0" w:noHBand="0" w:noVBand="0" w:val="0020"/>
            </w:tblPr>
            <w:tblGrid>
              <w:gridCol w:w="288"/>
              <w:gridCol w:w="2808"/>
              <w:gridCol w:w="720"/>
              <w:gridCol w:w="1872"/>
              <w:gridCol w:w="792"/>
              <w:gridCol w:w="1440"/>
            </w:tblGrid>
            <w:tr>
              <w:trPr>
                <w:tblHeader w:val="on"/>
              </w:trPr>
              <w:tc>
                <w:tcPr/>
                <w:p>
                  <w:pPr>
                    <w:pStyle w:val="Compact"/>
                    <w:jc w:val="right"/>
                    <w:jc w:val="center"/>
                  </w:pPr>
                  <w:r>
                    <w:t xml:space="preserve">#</w:t>
                  </w:r>
                </w:p>
              </w:tc>
              <w:tc>
                <w:tcPr/>
                <w:p>
                  <w:pPr>
                    <w:pStyle w:val="Compact"/>
                    <w:jc w:val="left"/>
                    <w:jc w:val="center"/>
                  </w:pPr>
                  <w:r>
                    <w:t xml:space="preserve">ILO indicator (2012, 2017)</w:t>
                  </w:r>
                </w:p>
              </w:tc>
              <w:tc>
                <w:tcPr/>
                <w:p>
                  <w:pPr>
                    <w:pStyle w:val="Compact"/>
                    <w:jc w:val="center"/>
                    <w:jc w:val="center"/>
                  </w:pPr>
                  <w:r>
                    <w:t xml:space="preserve">Severity</w:t>
                  </w:r>
                </w:p>
              </w:tc>
              <w:tc>
                <w:tcPr/>
                <w:p>
                  <w:pPr>
                    <w:pStyle w:val="Compact"/>
                    <w:jc w:val="left"/>
                    <w:jc w:val="center"/>
                  </w:pPr>
                  <w:r>
                    <w:t xml:space="preserve">Binary indicator</w:t>
                  </w:r>
                </w:p>
              </w:tc>
              <w:tc>
                <w:tcPr/>
                <w:p>
                  <w:pPr>
                    <w:pStyle w:val="Compact"/>
                    <w:jc w:val="center"/>
                    <w:jc w:val="center"/>
                  </w:pPr>
                  <w:r>
                    <w:t xml:space="preserve">Composite</w:t>
                  </w:r>
                </w:p>
              </w:tc>
              <w:tc>
                <w:tcPr/>
                <w:p>
                  <w:pPr>
                    <w:pStyle w:val="Compact"/>
                    <w:jc w:val="left"/>
                    <w:jc w:val="center"/>
                  </w:pPr>
                  <w:r>
                    <w:t xml:space="preserve">Survey item(s)</w:t>
                  </w:r>
                </w:p>
              </w:tc>
            </w:tr>
            <w:tr>
              <w:tc>
                <w:tcPr/>
                <w:p>
                  <w:pPr>
                    <w:pStyle w:val="Compact"/>
                    <w:jc w:val="right"/>
                    <w:jc w:val="center"/>
                  </w:pPr>
                  <w:r>
                    <w:t xml:space="preserve">1</w:t>
                  </w:r>
                </w:p>
              </w:tc>
              <w:tc>
                <w:tcPr/>
                <w:p>
                  <w:pPr>
                    <w:pStyle w:val="Compact"/>
                    <w:jc w:val="left"/>
                    <w:jc w:val="center"/>
                  </w:pPr>
                  <w:r>
                    <w:t xml:space="preserve">Abuse of vulnerability</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1</w:t>
                  </w:r>
                </w:p>
              </w:tc>
              <w:tc>
                <w:tcPr/>
                <w:p>
                  <w:pPr>
                    <w:pStyle w:val="Compact"/>
                    <w:jc w:val="left"/>
                    <w:jc w:val="center"/>
                  </w:pPr>
                  <w:r>
                    <w:t xml:space="preserve">Q29, Q51</w:t>
                  </w:r>
                </w:p>
              </w:tc>
            </w:tr>
            <w:tr>
              <w:tc>
                <w:tcPr/>
                <w:p>
                  <w:pPr>
                    <w:pStyle w:val="Compact"/>
                    <w:jc w:val="right"/>
                    <w:jc w:val="center"/>
                  </w:pPr>
                  <w:r>
                    <w:t xml:space="preserve">2</w:t>
                  </w:r>
                </w:p>
              </w:tc>
              <w:tc>
                <w:tcPr/>
                <w:p>
                  <w:pPr>
                    <w:pStyle w:val="Compact"/>
                    <w:jc w:val="left"/>
                    <w:jc w:val="center"/>
                  </w:pPr>
                  <w:r>
                    <w:t xml:space="preserve">Deception</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2</w:t>
                  </w:r>
                </w:p>
              </w:tc>
              <w:tc>
                <w:tcPr/>
                <w:p>
                  <w:pPr>
                    <w:pStyle w:val="Compact"/>
                    <w:jc w:val="left"/>
                    <w:jc w:val="center"/>
                  </w:pPr>
                  <w:r>
                    <w:t xml:space="preserve">Q45</w:t>
                  </w:r>
                </w:p>
              </w:tc>
            </w:tr>
            <w:tr>
              <w:tc>
                <w:tcPr/>
                <w:p>
                  <w:pPr>
                    <w:pStyle w:val="Compact"/>
                    <w:jc w:val="right"/>
                    <w:jc w:val="center"/>
                  </w:pPr>
                  <w:r>
                    <w:t xml:space="preserve">3</w:t>
                  </w:r>
                </w:p>
              </w:tc>
              <w:tc>
                <w:tcPr/>
                <w:p>
                  <w:pPr>
                    <w:pStyle w:val="Compact"/>
                    <w:jc w:val="left"/>
                    <w:jc w:val="center"/>
                  </w:pPr>
                  <w:r>
                    <w:t xml:space="preserve">Restriction of movement</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3</w:t>
                  </w:r>
                </w:p>
              </w:tc>
              <w:tc>
                <w:tcPr/>
                <w:p>
                  <w:pPr>
                    <w:pStyle w:val="Compact"/>
                    <w:jc w:val="left"/>
                    <w:jc w:val="center"/>
                  </w:pPr>
                  <w:r>
                    <w:t xml:space="preserve">Q32, Q46</w:t>
                  </w:r>
                </w:p>
              </w:tc>
            </w:tr>
            <w:tr>
              <w:tc>
                <w:tcPr/>
                <w:p>
                  <w:pPr>
                    <w:pStyle w:val="Compact"/>
                    <w:jc w:val="right"/>
                    <w:jc w:val="center"/>
                  </w:pPr>
                  <w:r>
                    <w:t xml:space="preserve">4</w:t>
                  </w:r>
                </w:p>
              </w:tc>
              <w:tc>
                <w:tcPr/>
                <w:p>
                  <w:pPr>
                    <w:pStyle w:val="Compact"/>
                    <w:jc w:val="left"/>
                    <w:jc w:val="center"/>
                  </w:pPr>
                  <w:r>
                    <w:t xml:space="preserve">Isolation</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4</w:t>
                  </w:r>
                </w:p>
              </w:tc>
              <w:tc>
                <w:tcPr/>
                <w:p>
                  <w:pPr>
                    <w:pStyle w:val="Compact"/>
                    <w:jc w:val="left"/>
                    <w:jc w:val="center"/>
                  </w:pPr>
                  <w:r>
                    <w:t xml:space="preserve">Q65</w:t>
                  </w:r>
                </w:p>
              </w:tc>
            </w:tr>
            <w:tr>
              <w:tc>
                <w:tcPr/>
                <w:p>
                  <w:pPr>
                    <w:pStyle w:val="Compact"/>
                    <w:jc w:val="right"/>
                    <w:jc w:val="center"/>
                  </w:pPr>
                  <w:r>
                    <w:t xml:space="preserve">5</w:t>
                  </w:r>
                </w:p>
              </w:tc>
              <w:tc>
                <w:tcPr/>
                <w:p>
                  <w:pPr>
                    <w:pStyle w:val="Compact"/>
                    <w:jc w:val="left"/>
                    <w:jc w:val="center"/>
                  </w:pPr>
                  <w:r>
                    <w:t xml:space="preserve">Physical and sexual violence</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5</w:t>
                  </w:r>
                </w:p>
              </w:tc>
              <w:tc>
                <w:tcPr/>
                <w:p>
                  <w:pPr>
                    <w:pStyle w:val="Compact"/>
                    <w:jc w:val="left"/>
                    <w:jc w:val="center"/>
                  </w:pPr>
                  <w:r>
                    <w:t xml:space="preserve">Q44 (5c1, 5c1-b)</w:t>
                  </w:r>
                </w:p>
              </w:tc>
            </w:tr>
            <w:tr>
              <w:tc>
                <w:tcPr/>
                <w:p>
                  <w:pPr>
                    <w:pStyle w:val="Compact"/>
                    <w:jc w:val="right"/>
                    <w:jc w:val="center"/>
                  </w:pPr>
                  <w:r>
                    <w:t xml:space="preserve">6</w:t>
                  </w:r>
                </w:p>
              </w:tc>
              <w:tc>
                <w:tcPr/>
                <w:p>
                  <w:pPr>
                    <w:pStyle w:val="Compact"/>
                    <w:jc w:val="left"/>
                    <w:jc w:val="center"/>
                  </w:pPr>
                  <w:r>
                    <w:t xml:space="preserve">Intimidation and threats</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6</w:t>
                  </w:r>
                </w:p>
              </w:tc>
              <w:tc>
                <w:tcPr/>
                <w:p>
                  <w:pPr>
                    <w:pStyle w:val="Compact"/>
                    <w:jc w:val="left"/>
                    <w:jc w:val="center"/>
                  </w:pPr>
                  <w:r>
                    <w:t xml:space="preserve">Q47</w:t>
                  </w:r>
                </w:p>
              </w:tc>
            </w:tr>
            <w:tr>
              <w:tc>
                <w:tcPr/>
                <w:p>
                  <w:pPr>
                    <w:pStyle w:val="Compact"/>
                    <w:jc w:val="right"/>
                    <w:jc w:val="center"/>
                  </w:pPr>
                  <w:r>
                    <w:t xml:space="preserve">7</w:t>
                  </w:r>
                </w:p>
              </w:tc>
              <w:tc>
                <w:tcPr/>
                <w:p>
                  <w:pPr>
                    <w:pStyle w:val="Compact"/>
                    <w:jc w:val="left"/>
                    <w:jc w:val="center"/>
                  </w:pPr>
                  <w:r>
                    <w:t xml:space="preserve">Retention of identity documents</w:t>
                  </w:r>
                </w:p>
              </w:tc>
              <w:tc>
                <w:tcPr/>
                <w:p>
                  <w:pPr>
                    <w:pStyle w:val="Compact"/>
                    <w:jc w:val="center"/>
                    <w:jc w:val="center"/>
                  </w:pPr>
                  <w:r>
                    <w:t xml:space="preserve">Strong</w:t>
                  </w:r>
                </w:p>
              </w:tc>
              <w:tc>
                <w:tcPr/>
                <w:p>
                  <w:pPr>
                    <w:pStyle w:val="Compact"/>
                    <w:jc w:val="left"/>
                    <w:jc w:val="center"/>
                  </w:pPr>
                  <w:r>
                    <w:t xml:space="preserve">Document withholding</w:t>
                  </w:r>
                </w:p>
              </w:tc>
              <w:tc>
                <w:tcPr/>
                <w:p>
                  <w:pPr>
                    <w:pStyle w:val="Compact"/>
                    <w:jc w:val="center"/>
                    <w:jc w:val="center"/>
                  </w:pPr>
                  <w:r>
                    <w:t xml:space="preserve">Cat 7</w:t>
                  </w:r>
                </w:p>
              </w:tc>
              <w:tc>
                <w:tcPr/>
                <w:p>
                  <w:pPr>
                    <w:pStyle w:val="Compact"/>
                    <w:jc w:val="left"/>
                    <w:jc w:val="center"/>
                  </w:pPr>
                  <w:r>
                    <w:t xml:space="preserve">Q70</w:t>
                  </w:r>
                </w:p>
              </w:tc>
            </w:tr>
            <w:tr>
              <w:tc>
                <w:tcPr/>
                <w:p>
                  <w:pPr>
                    <w:pStyle w:val="Compact"/>
                    <w:jc w:val="right"/>
                    <w:jc w:val="center"/>
                  </w:pPr>
                  <w:r>
                    <w:t xml:space="preserve">8</w:t>
                  </w:r>
                </w:p>
              </w:tc>
              <w:tc>
                <w:tcPr/>
                <w:p>
                  <w:pPr>
                    <w:pStyle w:val="Compact"/>
                    <w:jc w:val="left"/>
                    <w:jc w:val="center"/>
                  </w:pPr>
                  <w:r>
                    <w:t xml:space="preserve">Withholding of wages</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8</w:t>
                  </w:r>
                </w:p>
              </w:tc>
              <w:tc>
                <w:tcPr/>
                <w:p>
                  <w:pPr>
                    <w:pStyle w:val="Compact"/>
                    <w:jc w:val="left"/>
                    <w:jc w:val="center"/>
                  </w:pPr>
                  <w:r>
                    <w:t xml:space="preserve">Q42</w:t>
                  </w:r>
                </w:p>
              </w:tc>
            </w:tr>
            <w:tr>
              <w:tc>
                <w:tcPr/>
                <w:p>
                  <w:pPr>
                    <w:pStyle w:val="Compact"/>
                    <w:jc w:val="right"/>
                    <w:jc w:val="center"/>
                  </w:pPr>
                  <w:r>
                    <w:t xml:space="preserve">9</w:t>
                  </w:r>
                </w:p>
              </w:tc>
              <w:tc>
                <w:tcPr/>
                <w:p>
                  <w:pPr>
                    <w:pStyle w:val="Compact"/>
                    <w:jc w:val="left"/>
                    <w:jc w:val="center"/>
                  </w:pPr>
                  <w:r>
                    <w:t xml:space="preserve">Debt bondage</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9</w:t>
                  </w:r>
                </w:p>
              </w:tc>
              <w:tc>
                <w:tcPr/>
                <w:p>
                  <w:pPr>
                    <w:pStyle w:val="Compact"/>
                    <w:jc w:val="left"/>
                    <w:jc w:val="center"/>
                  </w:pPr>
                  <w:r>
                    <w:t xml:space="preserve">Q39</w:t>
                  </w:r>
                </w:p>
              </w:tc>
            </w:tr>
            <w:tr>
              <w:tc>
                <w:tcPr/>
                <w:p>
                  <w:pPr>
                    <w:pStyle w:val="Compact"/>
                    <w:jc w:val="right"/>
                    <w:jc w:val="center"/>
                  </w:pPr>
                  <w:r>
                    <w:t xml:space="preserve">10</w:t>
                  </w:r>
                </w:p>
              </w:tc>
              <w:tc>
                <w:tcPr/>
                <w:p>
                  <w:pPr>
                    <w:pStyle w:val="Compact"/>
                    <w:jc w:val="left"/>
                    <w:jc w:val="center"/>
                  </w:pPr>
                  <w:r>
                    <w:t xml:space="preserve">Abusive working and living conditions</w:t>
                  </w:r>
                </w:p>
              </w:tc>
              <w:tc>
                <w:tcPr/>
                <w:p>
                  <w:pPr>
                    <w:pStyle w:val="Compact"/>
                    <w:jc w:val="center"/>
                    <w:jc w:val="center"/>
                  </w:pPr>
                  <w:r>
                    <w:t xml:space="preserve">Medium</w:t>
                  </w:r>
                </w:p>
              </w:tc>
              <w:tc>
                <w:tcPr/>
                <w:p>
                  <w:pPr>
                    <w:pStyle w:val="Compact"/>
                    <w:jc w:val="left"/>
                    <w:jc w:val="center"/>
                  </w:pPr>
                  <w:r>
                    <w:t xml:space="preserve">Partial (Q48)</w:t>
                  </w:r>
                </w:p>
              </w:tc>
              <w:tc>
                <w:tcPr/>
                <w:p>
                  <w:pPr>
                    <w:pStyle w:val="Compact"/>
                    <w:jc w:val="center"/>
                    <w:jc w:val="center"/>
                  </w:pPr>
                  <w:r>
                    <w:t xml:space="preserve">Cat 10</w:t>
                  </w:r>
                </w:p>
              </w:tc>
              <w:tc>
                <w:tcPr/>
                <w:p>
                  <w:pPr>
                    <w:pStyle w:val="Compact"/>
                    <w:jc w:val="left"/>
                    <w:jc w:val="center"/>
                  </w:pPr>
                  <w:r>
                    <w:t xml:space="preserve">Q48, Q63, Q72, Q76</w:t>
                  </w:r>
                </w:p>
              </w:tc>
            </w:tr>
            <w:tr>
              <w:tc>
                <w:tcPr/>
                <w:p>
                  <w:pPr>
                    <w:pStyle w:val="Compact"/>
                    <w:jc w:val="right"/>
                    <w:jc w:val="center"/>
                  </w:pPr>
                  <w:r>
                    <w:t xml:space="preserve">11</w:t>
                  </w:r>
                </w:p>
              </w:tc>
              <w:tc>
                <w:tcPr/>
                <w:p>
                  <w:pPr>
                    <w:pStyle w:val="Compact"/>
                    <w:jc w:val="left"/>
                    <w:jc w:val="center"/>
                  </w:pPr>
                  <w:r>
                    <w:t xml:space="preserve">Excessive overtime</w:t>
                  </w:r>
                </w:p>
              </w:tc>
              <w:tc>
                <w:tcPr/>
                <w:p>
                  <w:pPr>
                    <w:pStyle w:val="Compact"/>
                    <w:jc w:val="center"/>
                    <w:jc w:val="center"/>
                  </w:pPr>
                  <w:r>
                    <w:t xml:space="preserve">Medium</w:t>
                  </w:r>
                </w:p>
              </w:tc>
              <w:tc>
                <w:tcPr/>
                <w:p>
                  <w:pPr>
                    <w:pStyle w:val="Compact"/>
                    <w:jc w:val="left"/>
                    <w:jc w:val="center"/>
                  </w:pPr>
                  <w:r>
                    <w:t xml:space="preserve">Excessive working hours</w:t>
                  </w:r>
                </w:p>
              </w:tc>
              <w:tc>
                <w:tcPr/>
                <w:p>
                  <w:pPr>
                    <w:pStyle w:val="Compact"/>
                    <w:jc w:val="center"/>
                    <w:jc w:val="center"/>
                  </w:pPr>
                  <w:r>
                    <w:t xml:space="preserve">Cat 11</w:t>
                  </w:r>
                </w:p>
              </w:tc>
              <w:tc>
                <w:tcPr/>
                <w:p>
                  <w:pPr>
                    <w:pStyle w:val="Compact"/>
                    <w:jc w:val="left"/>
                    <w:jc w:val="center"/>
                  </w:pPr>
                  <w:r>
                    <w:t xml:space="preserve">Q16, Q61, Q62</w:t>
                  </w: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w:t>
      </w:r>
      <w:hyperlink w:anchor="sec-binary-results">
        <w:r>
          <w:rPr>
            <w:rStyle w:val="Hyperlink"/>
          </w:rPr>
          <w:t xml:space="preserve">Section 4.3</w:t>
        </w:r>
      </w:hyperlink>
      <w:r>
        <w:t xml:space="preserve">), and (2) one continuous formative additive composite risk index designed to capture gradations of vulnerability across the full sample (</w:t>
      </w:r>
      <w:hyperlink w:anchor="sec-composite-results">
        <w:r>
          <w:rPr>
            <w:rStyle w:val="Hyperlink"/>
          </w:rPr>
          <w:t xml:space="preserve">Section 4.2</w:t>
        </w:r>
      </w:hyperlink>
      <w:r>
        <w:t xml:space="preserv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Online Resource ESM_1 and ESM_2 for details of these survey questions and the construction of comparable ego- and alter-based indicators.</w:t>
      </w:r>
    </w:p>
    <w:bookmarkEnd w:id="25"/>
    <w:bookmarkStart w:id="31" w:name="sec-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w:t>
      </w:r>
      <w:r>
        <w:t xml:space="preserve"> </w:t>
      </w:r>
      <w:r>
        <w:t xml:space="preserve">(Gile, 2011; Gile &amp; Handcock, 2010; Goel &amp; Salganik, 2010)</w:t>
      </w:r>
      <w:r>
        <w:t xml:space="preserve">. Statistical inference in these designs depends not on the absolute sample size but on the structure of the recruitment network, degree distribution, and convergence to</w:t>
      </w:r>
      <w:r>
        <w:t xml:space="preserve"> </w:t>
      </w:r>
      <w:r>
        <w:t xml:space="preserve">equilibrium</w:t>
      </w:r>
      <w:r>
        <w:t xml:space="preserve"> </w:t>
      </w:r>
      <w:r>
        <w:t xml:space="preserve">(Salganik &amp; Heckathorn, 2004)</w:t>
      </w:r>
      <w:r>
        <w:t xml:space="preserve">. Furthermore, model-assisted and Bayesian RDS estimators</w:t>
      </w:r>
      <w:r>
        <w:t xml:space="preserve"> </w:t>
      </w:r>
      <w:r>
        <w:t xml:space="preserve">(Gile, 2011; Gile et al., 2018)</w:t>
      </w:r>
      <w:r>
        <w:t xml:space="preserve"> </w:t>
      </w:r>
      <w:r>
        <w:t xml:space="preserve">can produce model-assisted, population-adjusted estimates under explicit assumptions, even in modest samples, provided uncertainty and design limitations are made transparent. In this study, we additionally employ a neighbourhood bootstrap procedure that propagates sampling and network uncertainty, providing robust confidence intervals consistent with small-sample design-based inference</w:t>
      </w:r>
      <w:r>
        <w:t xml:space="preserve"> </w:t>
      </w:r>
      <w:r>
        <w:t xml:space="preserve">(Handcock et al., 2014)</w:t>
      </w:r>
      <w:r>
        <w:t xml:space="preserve">.</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w:t>
      </w:r>
      <w:r>
        <w:t xml:space="preserve"> </w:t>
      </w:r>
      <w:hyperlink w:anchor="tbl-sample-char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image1.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sample-chars"/>
          <w:p>
            <w:pPr>
              <w:jc w:val="center"/>
            </w:pPr>
            <w:pPr>
              <w:jc w:val="start"/>
              <w:spacing w:before="200"/>
              <w:pStyle w:val="ImageCaption"/>
            </w:pPr>
            <w:r>
              <w:t xml:space="preserve">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Pr>
            <w:tblGrid>
              <w:gridCol w:w="2457"/>
              <w:gridCol w:w="1001"/>
              <w:gridCol w:w="1001"/>
              <w:gridCol w:w="1001"/>
              <w:gridCol w:w="1001"/>
              <w:gridCol w:w="1092"/>
            </w:tblGrid>
            <w:tr>
              <w:trPr>
                <w:tblHeader w:val="on"/>
              </w:trPr>
              <w:tc>
                <w:tcPr/>
                <w:p>
                  <w:pPr>
                    <w:pStyle w:val="Compact"/>
                    <w:jc w:val="left"/>
                    <w:jc w:val="center"/>
                  </w:pPr>
                  <w:r>
                    <w:t xml:space="preserve">Nationality cluster</w:t>
                  </w:r>
                </w:p>
              </w:tc>
              <w:tc>
                <w:tcPr/>
                <w:p>
                  <w:pPr>
                    <w:pStyle w:val="Compact"/>
                    <w:jc w:val="center"/>
                    <w:jc w:val="center"/>
                  </w:pPr>
                  <w:r>
                    <w:t xml:space="preserve">Wave 0</w:t>
                  </w:r>
                  <w:r>
                    <w:t xml:space="preserve"> </w:t>
                  </w:r>
                  <w:r>
                    <w:t xml:space="preserve">(seeds)</w:t>
                  </w:r>
                </w:p>
              </w:tc>
              <w:tc>
                <w:tcPr/>
                <w:p>
                  <w:pPr>
                    <w:pStyle w:val="Compact"/>
                    <w:jc w:val="center"/>
                    <w:jc w:val="center"/>
                  </w:pPr>
                  <w:r>
                    <w:t xml:space="preserve">Wave 1</w:t>
                  </w:r>
                </w:p>
              </w:tc>
              <w:tc>
                <w:tcPr/>
                <w:p>
                  <w:pPr>
                    <w:pStyle w:val="Compact"/>
                    <w:jc w:val="center"/>
                    <w:jc w:val="center"/>
                  </w:pPr>
                  <w:r>
                    <w:t xml:space="preserve">Wave 2</w:t>
                  </w:r>
                </w:p>
              </w:tc>
              <w:tc>
                <w:tcPr/>
                <w:p>
                  <w:pPr>
                    <w:pStyle w:val="Compact"/>
                    <w:jc w:val="center"/>
                    <w:jc w:val="center"/>
                  </w:pPr>
                  <w:r>
                    <w:t xml:space="preserve">Wave 3+</w:t>
                  </w:r>
                </w:p>
              </w:tc>
              <w:tc>
                <w:tcPr/>
                <w:p>
                  <w:pPr>
                    <w:pStyle w:val="Compact"/>
                    <w:jc w:val="center"/>
                    <w:jc w:val="center"/>
                  </w:pPr>
                  <w:r>
                    <w:t xml:space="preserve">Total (n)</w:t>
                  </w:r>
                </w:p>
              </w:tc>
            </w:tr>
            <w:tr>
              <w:tc>
                <w:tcPr/>
                <w:p>
                  <w:pPr>
                    <w:pStyle w:val="Compact"/>
                    <w:jc w:val="left"/>
                    <w:jc w:val="center"/>
                  </w:pPr>
                  <w:r>
                    <w:t xml:space="preserve">Filipino</w:t>
                  </w:r>
                </w:p>
              </w:tc>
              <w:tc>
                <w:tcPr/>
                <w:p>
                  <w:pPr>
                    <w:pStyle w:val="Compact"/>
                    <w:jc w:val="center"/>
                    <w:jc w:val="center"/>
                  </w:pPr>
                  <w:r>
                    <w:t xml:space="preserve">35</w:t>
                  </w:r>
                </w:p>
              </w:tc>
              <w:tc>
                <w:tcPr/>
                <w:p>
                  <w:pPr>
                    <w:pStyle w:val="Compact"/>
                    <w:jc w:val="center"/>
                    <w:jc w:val="center"/>
                  </w:pPr>
                  <w:r>
                    <w:t xml:space="preserve">18</w:t>
                  </w:r>
                </w:p>
              </w:tc>
              <w:tc>
                <w:tcPr/>
                <w:p>
                  <w:pPr>
                    <w:pStyle w:val="Compact"/>
                    <w:jc w:val="center"/>
                    <w:jc w:val="center"/>
                  </w:pPr>
                  <w:r>
                    <w:t xml:space="preserve">9</w:t>
                  </w:r>
                </w:p>
              </w:tc>
              <w:tc>
                <w:tcPr/>
                <w:p>
                  <w:pPr>
                    <w:pStyle w:val="Compact"/>
                    <w:jc w:val="center"/>
                    <w:jc w:val="center"/>
                  </w:pPr>
                  <w:r>
                    <w:t xml:space="preserve">3</w:t>
                  </w:r>
                </w:p>
              </w:tc>
              <w:tc>
                <w:tcPr/>
                <w:p>
                  <w:pPr>
                    <w:pStyle w:val="Compact"/>
                    <w:jc w:val="center"/>
                    <w:jc w:val="center"/>
                  </w:pPr>
                  <w:r>
                    <w:t xml:space="preserve">65</w:t>
                  </w:r>
                </w:p>
              </w:tc>
            </w:tr>
            <w:tr>
              <w:tc>
                <w:tcPr/>
                <w:p>
                  <w:pPr>
                    <w:pStyle w:val="Compact"/>
                    <w:jc w:val="left"/>
                    <w:jc w:val="center"/>
                  </w:pPr>
                  <w:r>
                    <w:t xml:space="preserve">Latinx</w:t>
                  </w:r>
                </w:p>
              </w:tc>
              <w:tc>
                <w:tcPr/>
                <w:p>
                  <w:pPr>
                    <w:pStyle w:val="Compact"/>
                    <w:jc w:val="center"/>
                    <w:jc w:val="center"/>
                  </w:pPr>
                  <w:r>
                    <w:t xml:space="preserve">4</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r>
            <w:tr>
              <w:tc>
                <w:tcPr/>
                <w:p>
                  <w:pPr>
                    <w:pStyle w:val="Compact"/>
                    <w:jc w:val="left"/>
                    <w:jc w:val="center"/>
                  </w:pPr>
                  <w:r>
                    <w:t xml:space="preserve">British</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w:t>
                  </w:r>
                </w:p>
              </w:tc>
            </w:tr>
            <w:tr>
              <w:tc>
                <w:tcPr/>
                <w:p>
                  <w:pPr>
                    <w:pStyle w:val="Compact"/>
                    <w:jc w:val="left"/>
                    <w:jc w:val="center"/>
                  </w:pPr>
                  <w:r>
                    <w:t xml:space="preserve">Other</w:t>
                  </w:r>
                </w:p>
              </w:tc>
              <w:tc>
                <w:tcPr/>
                <w:p>
                  <w:pPr>
                    <w:pStyle w:val="Compact"/>
                    <w:jc w:val="center"/>
                    <w:jc w:val="center"/>
                  </w:pPr>
                  <w:r>
                    <w:t xml:space="preserve">5</w:t>
                  </w:r>
                </w:p>
              </w:tc>
              <w:tc>
                <w:tcPr/>
                <w:p>
                  <w:pPr>
                    <w:pStyle w:val="Compact"/>
                    <w:jc w:val="center"/>
                    <w:jc w:val="center"/>
                  </w:pPr>
                  <w:r>
                    <w:t xml:space="preserve">5</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12</w:t>
                  </w:r>
                </w:p>
              </w:tc>
            </w:tr>
            <w:tr>
              <w:tc>
                <w:tcPr/>
                <w:p>
                  <w:pPr>
                    <w:pStyle w:val="Compact"/>
                    <w:jc w:val="left"/>
                    <w:jc w:val="center"/>
                  </w:pPr>
                  <w:r>
                    <w:rPr>
                      <w:b/>
                      <w:bCs/>
                    </w:rPr>
                    <w:t xml:space="preserve">Total</w:t>
                  </w:r>
                </w:p>
              </w:tc>
              <w:tc>
                <w:tcPr/>
                <w:p>
                  <w:pPr>
                    <w:pStyle w:val="Compact"/>
                    <w:jc w:val="center"/>
                    <w:jc w:val="center"/>
                  </w:pPr>
                  <w:r>
                    <w:rPr>
                      <w:b/>
                      <w:bCs/>
                    </w:rPr>
                    <w:t xml:space="preserve">46</w:t>
                  </w:r>
                </w:p>
              </w:tc>
              <w:tc>
                <w:tcPr/>
                <w:p>
                  <w:pPr>
                    <w:pStyle w:val="Compact"/>
                    <w:jc w:val="center"/>
                    <w:jc w:val="center"/>
                  </w:pPr>
                  <w:r>
                    <w:rPr>
                      <w:b/>
                      <w:bCs/>
                    </w:rPr>
                    <w:t xml:space="preserve">25</w:t>
                  </w:r>
                </w:p>
              </w:tc>
              <w:tc>
                <w:tcPr/>
                <w:p>
                  <w:pPr>
                    <w:pStyle w:val="Compact"/>
                    <w:jc w:val="center"/>
                    <w:jc w:val="center"/>
                  </w:pPr>
                  <w:r>
                    <w:rPr>
                      <w:b/>
                      <w:bCs/>
                    </w:rPr>
                    <w:t xml:space="preserve">11</w:t>
                  </w:r>
                </w:p>
              </w:tc>
              <w:tc>
                <w:tcPr/>
                <w:p>
                  <w:pPr>
                    <w:pStyle w:val="Compact"/>
                    <w:jc w:val="center"/>
                    <w:jc w:val="center"/>
                  </w:pPr>
                  <w:r>
                    <w:rPr>
                      <w:b/>
                      <w:bCs/>
                    </w:rPr>
                    <w:t xml:space="preserve">3</w:t>
                  </w:r>
                </w:p>
              </w:tc>
              <w:tc>
                <w:tcPr/>
                <w:p>
                  <w:pPr>
                    <w:pStyle w:val="Compact"/>
                    <w:jc w:val="center"/>
                    <w:jc w:val="center"/>
                  </w:pPr>
                  <w:r>
                    <w:rPr>
                      <w:b/>
                      <w:bCs/>
                    </w:rPr>
                    <w:t xml:space="preserve">85</w:t>
                  </w:r>
                </w:p>
              </w:tc>
            </w:tr>
          </w:tbl>
          <w:bookmarkEnd w:id="30"/>
          <w:p/>
        </w:tc>
      </w:tr>
    </w:tbl>
    <w:bookmarkEnd w:id="31"/>
    <w:bookmarkStart w:id="33" w:name="sec-estimation-framework"/>
    <w:p>
      <w:pPr>
        <w:pStyle w:val="Heading2"/>
      </w:pPr>
      <w:r>
        <w:t xml:space="preserve">3.4 Estimation Framework</w:t>
      </w:r>
    </w:p>
    <w:p>
      <w:pPr>
        <w:pStyle w:val="FirstParagraph"/>
      </w:pPr>
      <w:r>
        <w:t xml:space="preserve">Before describing each estimator in turn,</w:t>
      </w:r>
      <w:r>
        <w:t xml:space="preserve"> </w:t>
      </w:r>
      <w:hyperlink w:anchor="tbl-estimands">
        <w:r>
          <w:rPr>
            <w:rStyle w:val="Hyperlink"/>
          </w:rPr>
          <w:t xml:space="preserve">Table 3</w:t>
        </w:r>
      </w:hyperlink>
      <w:r>
        <w:t xml:space="preserve"> </w:t>
      </w:r>
      <w:r>
        <w:t xml:space="preserve">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The order-of-magnitude RDS–NSUM gap should not be read as two methods disagreeing about the same estimand. RDS estimates own-experience prevalence, whereas NSUM estimates network-visible prevalence among alters; the divergence is therefore substantively interpretable rather than merely a discrepancy.</w:t>
      </w:r>
    </w:p>
    <w:tbl>
      <w:tblPr>
        <w:tblStyle w:val="Table"/>
        <w:tblW w:type="pct" w:w="5000"/>
        <w:tblLayout w:type="fixed"/>
        <w:tblLook w:firstRow="0" w:lastRow="0" w:firstColumn="0" w:lastColumn="0" w:noHBand="0" w:noVBand="0" w:val="0000"/>
      </w:tblPr>
      <w:tblGrid>
        <w:gridCol w:w="7920"/>
      </w:tblGrid>
      <w:tr>
        <w:tc>
          <w:tcPr/>
          <w:bookmarkStart w:id="32" w:name="tbl-estimands"/>
          <w:p>
            <w:pPr>
              <w:jc w:val="center"/>
            </w:pPr>
            <w:pPr>
              <w:jc w:val="start"/>
              <w:spacing w:before="200"/>
              <w:pStyle w:val="ImageCaption"/>
            </w:pPr>
            <w:r>
              <w:t xml:space="preserve">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5000"/>
              <w:tblLayout w:type="fixed"/>
              <w:tblLook w:firstRow="1" w:lastRow="0" w:firstColumn="0" w:lastColumn="0" w:noHBand="0" w:noVBand="0" w:val="0020"/>
            </w:tblPr>
            <w:tblGrid>
              <w:gridCol w:w="756"/>
              <w:gridCol w:w="2189"/>
              <w:gridCol w:w="2351"/>
              <w:gridCol w:w="2621"/>
            </w:tblGrid>
            <w:tr>
              <w:trPr>
                <w:tblHeader w:val="on"/>
              </w:trPr>
              <w:tc>
                <w:tcPr/>
                <w:p>
                  <w:pPr>
                    <w:pStyle w:val="Compact"/>
                    <w:jc w:val="left"/>
                    <w:jc w:val="center"/>
                  </w:pPr>
                  <w:r>
                    <w:t xml:space="preserve">Method</w:t>
                  </w:r>
                </w:p>
              </w:tc>
              <w:tc>
                <w:tcPr/>
                <w:p>
                  <w:pPr>
                    <w:pStyle w:val="Compact"/>
                    <w:jc w:val="left"/>
                    <w:jc w:val="center"/>
                  </w:pPr>
                  <w:r>
                    <w:t xml:space="preserve">Information used</w:t>
                  </w:r>
                </w:p>
              </w:tc>
              <w:tc>
                <w:tcPr/>
                <w:p>
                  <w:pPr>
                    <w:pStyle w:val="Compact"/>
                    <w:jc w:val="left"/>
                    <w:jc w:val="center"/>
                  </w:pPr>
                  <w:r>
                    <w:t xml:space="preserve">Estimand</w:t>
                  </w:r>
                </w:p>
              </w:tc>
              <w:tc>
                <w:tcPr/>
                <w:p>
                  <w:pPr>
                    <w:pStyle w:val="Compact"/>
                    <w:jc w:val="left"/>
                    <w:jc w:val="center"/>
                  </w:pPr>
                  <w:r>
                    <w:t xml:space="preserve">Main vulnerability</w:t>
                  </w:r>
                </w:p>
              </w:tc>
            </w:tr>
            <w:tr>
              <w:tc>
                <w:tcPr/>
                <w:p>
                  <w:pPr>
                    <w:pStyle w:val="Compact"/>
                    <w:jc w:val="left"/>
                    <w:jc w:val="center"/>
                  </w:pPr>
                  <w:r>
                    <w:t xml:space="preserve">RDS-SS (binary, preferred)</w:t>
                  </w:r>
                </w:p>
              </w:tc>
              <w:tc>
                <w:tcPr/>
                <w:p>
                  <w:pPr>
                    <w:pStyle w:val="Compact"/>
                    <w:jc w:val="left"/>
                    <w:jc w:val="center"/>
                  </w:pPr>
                  <w:r>
                    <w:t xml:space="preserve">Respondent’s own experience + reported degree + recruitment-chain structure</w:t>
                  </w:r>
                </w:p>
              </w:tc>
              <w:tc>
                <w:tcPr/>
                <w:p>
                  <w:pPr>
                    <w:pStyle w:val="Compact"/>
                    <w:jc w:val="left"/>
                    <w:jc w:val="center"/>
                  </w:pPr>
                  <w:r>
                    <w:t xml:space="preserve">Own-experience prevalence among the RDS-reachable population of UK migrant domestic workers</w:t>
                  </w:r>
                </w:p>
              </w:tc>
              <w:tc>
                <w:tcPr/>
                <w:p>
                  <w:pPr>
                    <w:pStyle w:val="Compact"/>
                    <w:jc w:val="left"/>
                    <w:jc w:val="center"/>
                  </w:pPr>
                  <w:r>
                    <w:t xml:space="preserve">Seed dependence, shallow recruitment chains, homophily, unobserved degree heterogeneity</w:t>
                  </w:r>
                </w:p>
              </w:tc>
            </w:tr>
            <w:tr>
              <w:tc>
                <w:tcPr/>
                <w:p>
                  <w:pPr>
                    <w:pStyle w:val="Compact"/>
                    <w:jc w:val="left"/>
                    <w:jc w:val="center"/>
                  </w:pPr>
                  <w:r>
                    <w:t xml:space="preserve">MA-RDS (supporting)</w:t>
                  </w:r>
                </w:p>
              </w:tc>
              <w:tc>
                <w:tcPr/>
                <w:p>
                  <w:pPr>
                    <w:pStyle w:val="Compact"/>
                    <w:jc w:val="left"/>
                    <w:jc w:val="center"/>
                  </w:pPr>
                  <w:r>
                    <w:t xml:space="preserve">Same as RDS-SS, plus a working Exponential Random Graph network model</w:t>
                  </w:r>
                </w:p>
              </w:tc>
              <w:tc>
                <w:tcPr/>
                <w:p>
                  <w:pPr>
                    <w:pStyle w:val="Compact"/>
                    <w:jc w:val="left"/>
                    <w:jc w:val="center"/>
                  </w:pPr>
                  <w:r>
                    <w:t xml:space="preserve">Model-assisted own-experience prevalence (same target as RDS-SS, with network-structure adjustment)</w:t>
                  </w:r>
                </w:p>
              </w:tc>
              <w:tc>
                <w:tcPr/>
                <w:p>
                  <w:pPr>
                    <w:pStyle w:val="Compact"/>
                    <w:jc w:val="left"/>
                    <w:jc w:val="center"/>
                  </w:pPr>
                  <w:r>
                    <w:t xml:space="preserve">Network-model misspecification, convergence limits at small</w:t>
                  </w:r>
                  <w:r>
                    <w:t xml:space="preserve"> </w:t>
                  </w:r>
                  <m:oMath>
                    <m:r>
                      <m:t>n</m:t>
                    </m:r>
                  </m:oMath>
                  <w:r>
                    <w:t xml:space="preserve">; does not converge on continuous outcomes</w:t>
                  </w:r>
                </w:p>
              </w:tc>
            </w:tr>
            <w:tr>
              <w:tc>
                <w:tcPr/>
                <w:p>
                  <w:pPr>
                    <w:pStyle w:val="Compact"/>
                    <w:jc w:val="left"/>
                    <w:jc w:val="center"/>
                  </w:pPr>
                  <w:r>
                    <w:t xml:space="preserve">MBSU NSUM (binary, preferred)</w:t>
                  </w:r>
                </w:p>
              </w:tc>
              <w:tc>
                <w:tcPr/>
                <w:p>
                  <w:pPr>
                    <w:pStyle w:val="Compact"/>
                    <w:jc w:val="left"/>
                    <w:jc w:val="center"/>
                  </w:pPr>
                  <w:r>
                    <w:t xml:space="preserve">Respondent reports about alters in their personal network</w:t>
                  </w:r>
                </w:p>
              </w:tc>
              <w:tc>
                <w:tcPr/>
                <w:p>
                  <w:pPr>
                    <w:pStyle w:val="Compact"/>
                    <w:jc w:val="left"/>
                    <w:jc w:val="center"/>
                  </w:pPr>
                  <w:r>
                    <w:t xml:space="preserve">Network-visible prevalence among domestic-worker alters in the respondents’ aggregated network</w:t>
                  </w:r>
                </w:p>
              </w:tc>
              <w:tc>
                <w:tcPr/>
                <w:p>
                  <w:pPr>
                    <w:pStyle w:val="Compact"/>
                    <w:jc w:val="left"/>
                    <w:jc w:val="center"/>
                  </w:pPr>
                  <w:r>
                    <w:t xml:space="preserve">Transmission bias, visibility gradient across exploitation behaviours, alter misclassification, unknown true-positive rate (</w:t>
                  </w:r>
                  <m:oMath>
                    <m:r>
                      <m:t>τ</m:t>
                    </m:r>
                  </m:oMath>
                  <w:r>
                    <w:t xml:space="preserve">)</w:t>
                  </w:r>
                </w:p>
              </w:tc>
            </w:tr>
            <w:tr>
              <w:tc>
                <w:tcPr/>
                <w:p>
                  <w:pPr>
                    <w:pStyle w:val="Compact"/>
                    <w:jc w:val="left"/>
                    <w:jc w:val="center"/>
                  </w:pPr>
                  <w:r>
                    <w:t xml:space="preserve">Composite risk index</w:t>
                  </w:r>
                </w:p>
              </w:tc>
              <w:tc>
                <w:tcPr/>
                <w:p>
                  <w:pPr>
                    <w:pStyle w:val="Compact"/>
                    <w:jc w:val="left"/>
                    <w:jc w:val="center"/>
                  </w:pPr>
                  <w:r>
                    <w:t xml:space="preserve">Respondent’s own indicator profile across all eleven ILO indicators</w:t>
                  </w:r>
                </w:p>
              </w:tc>
              <w:tc>
                <w:tcPr/>
                <w:p>
                  <w:pPr>
                    <w:pStyle w:val="Compact"/>
                    <w:jc w:val="left"/>
                    <w:jc w:val="center"/>
                  </w:pPr>
                  <w:r>
                    <w:t xml:space="preserve">RDS-adjusted population mean of the formative-additive severity score</w:t>
                  </w:r>
                </w:p>
              </w:tc>
              <w:tc>
                <w:tcPr/>
                <w:p>
                  <w:pPr>
                    <w:pStyle w:val="Compact"/>
                    <w:jc w:val="left"/>
                    <w:jc w:val="center"/>
                  </w:pPr>
                  <w:r>
                    <w:t xml:space="preserve">Weight specification, construct validity, formative-vs-reflective measurement assumptions</w:t>
                  </w:r>
                </w:p>
              </w:tc>
            </w:tr>
          </w:tbl>
          <w:bookmarkEnd w:id="32"/>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w:t>
      </w:r>
      <w:r>
        <w:t xml:space="preserve"> </w:t>
      </w:r>
      <w:r>
        <w:t xml:space="preserve">(Hickman et al., 2025; IST Research &amp; University of California, Los Angeles, 2020)</w:t>
      </w:r>
      <w:r>
        <w:t xml:space="preserve">.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w:t>
      </w:r>
      <w:r>
        <w:t xml:space="preserve"> </w:t>
      </w:r>
      <w:r>
        <w:t xml:space="preserve">(Salganik &amp; Heckathorn, 2004)</w:t>
      </w:r>
      <w:r>
        <w:t xml:space="preserve">, the Volz–Heckathorn (VH) estimator</w:t>
      </w:r>
      <w:r>
        <w:t xml:space="preserve"> </w:t>
      </w:r>
      <w:r>
        <w:t xml:space="preserve">(Volz &amp; Heckathorn, 2008)</w:t>
      </w:r>
      <w:r>
        <w:t xml:space="preserve">, and</w:t>
      </w:r>
      <w:r>
        <w:t xml:space="preserve"> </w:t>
      </w:r>
      <w:r>
        <w:t xml:space="preserve">Gile’s Successive Sampling (RDS-SS) estimator</w:t>
      </w:r>
      <w:r>
        <w:t xml:space="preserve"> </w:t>
      </w:r>
      <w:r>
        <w:t xml:space="preserve">(Gile, 2011)</w:t>
      </w:r>
      <w:r>
        <w:t xml:space="preserve">.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w:t>
      </w:r>
      <w:r>
        <w:t xml:space="preserve"> </w:t>
      </w:r>
      <w:r>
        <w:t xml:space="preserve">(Gile &amp; Handcock, 2015)</w:t>
      </w:r>
      <w:r>
        <w:t xml:space="preserve">.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w:t>
      </w:r>
      <w:r>
        <w:t xml:space="preserve"> </w:t>
      </w:r>
      <w:r>
        <w:t xml:space="preserve">(Gile, 2011)</w:t>
      </w:r>
      <w:r>
        <w:t xml:space="preserve">.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w:t>
      </w:r>
      <w:r>
        <w:t xml:space="preserve"> </w:t>
      </w:r>
      <w:hyperlink w:anchor="sec-composite-results">
        <w:r>
          <w:rPr>
            <w:rStyle w:val="Hyperlink"/>
          </w:rPr>
          <w:t xml:space="preserve">Section 4.2</w:t>
        </w:r>
      </w:hyperlink>
      <w:r>
        <w:t xml:space="preserve"> </w:t>
      </w:r>
      <w:r>
        <w:t xml:space="preserve">and ESM_4).</w:t>
      </w:r>
    </w:p>
    <w:p>
      <w:pPr>
        <w:pStyle w:val="BodyText"/>
      </w:pPr>
      <w:r>
        <w:rPr>
          <w:i/>
          <w:iCs/>
        </w:rPr>
        <w:t xml:space="preserve">Within-Population Scale-Up Estimation (NSUM):</w:t>
      </w:r>
      <w:r>
        <w:t xml:space="preserve"> </w:t>
      </w:r>
      <w:r>
        <w:t xml:space="preserve">We employ the Modified Basic Scale-Up (MBSU) model of</w:t>
      </w:r>
      <w:r>
        <w:t xml:space="preserve"> </w:t>
      </w:r>
      <w:r>
        <w:t xml:space="preserve">Feehan &amp; Salganik (2016)</w:t>
      </w:r>
      <w:r>
        <w:t xml:space="preserve"> </w:t>
      </w:r>
      <w:r>
        <w:t xml:space="preserve">in a non-standard configuration: respondents are themselves members of the hidden population, reporting on other UK migrant domestic workers they know. We treat this as a</w:t>
      </w:r>
      <w:r>
        <w:t xml:space="preserve"> </w:t>
      </w:r>
      <w:r>
        <w:rPr>
          <w:i/>
          <w:iCs/>
        </w:rPr>
        <w:t xml:space="preserve">within-population scale-up</w:t>
      </w:r>
      <w:r>
        <w:t xml:space="preserve"> </w:t>
      </w:r>
      <w:r>
        <w:t xml:space="preserve">design</w:t>
      </w:r>
      <w:r>
        <w:t xml:space="preserve"> </w:t>
      </w:r>
      <w:r>
        <w:t xml:space="preserve">(Feehan &amp; Salganik, 2016, supplementary materials)</w:t>
      </w:r>
      <w:r>
        <w:t xml:space="preserve"> </w:t>
      </w:r>
      <w:r>
        <w:t xml:space="preserve">or</w:t>
      </w:r>
      <w:r>
        <w:t xml:space="preserve"> </w:t>
      </w:r>
      <w:r>
        <w:rPr>
          <w:i/>
          <w:iCs/>
        </w:rPr>
        <w:t xml:space="preserve">alter-report network prevalence</w:t>
      </w:r>
      <w:r>
        <w:t xml:space="preserve"> </w:t>
      </w:r>
      <w:r>
        <w:t xml:space="preserve">design, estimating network-visible prevalence among the domestic-worker alters within respondents’ personal networks rather than the hidden-population size. The estimand differs from the standard NSUM estimand and is documented in</w:t>
      </w:r>
      <w:r>
        <w:t xml:space="preserve"> </w:t>
      </w:r>
      <w:hyperlink w:anchor="tbl-estimands">
        <w:r>
          <w:rPr>
            <w:rStyle w:val="Hyperlink"/>
          </w:rPr>
          <w:t xml:space="preserve">Table 3</w:t>
        </w:r>
      </w:hyperlink>
      <w:r>
        <w:t xml:space="preserve"> </w:t>
      </w:r>
      <w:r>
        <w:t xml:space="preserve">above.</w:t>
      </w:r>
    </w:p>
    <w:p>
      <w:pPr>
        <w:pStyle w:val="BodyText"/>
      </w:pPr>
      <w:r>
        <w:t xml:space="preserve">The unadjusted MBSU estimator is</w:t>
      </w:r>
    </w:p>
    <w:p>
      <w:pPr>
        <w:pStyle w:val="BodyText"/>
      </w:pPr>
      <m:oMathPara>
        <m:oMathParaPr>
          <m:jc m:val="center"/>
        </m:oMathParaPr>
        <m:oMath>
          <m:sSubSup>
            <m:e>
              <m:acc>
                <m:accPr>
                  <m:chr m:val="̂"/>
                </m:accPr>
                <m:e>
                  <m:r>
                    <m:t>p</m:t>
                  </m:r>
                </m:e>
              </m:acc>
            </m:e>
            <m:sub>
              <m:r>
                <m:t>h</m:t>
              </m:r>
            </m:sub>
            <m:sup>
              <m:r>
                <m:t>N</m:t>
              </m:r>
              <m:r>
                <m:t>S</m:t>
              </m:r>
              <m:r>
                <m:t>U</m:t>
              </m:r>
              <m:r>
                <m:t>M</m:t>
              </m:r>
            </m:sup>
          </m:sSubSup>
          <m:r>
            <m:rPr>
              <m:sty m:val="p"/>
            </m:rPr>
            <m:t>=</m:t>
          </m:r>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
                <m:e>
                  <m:r>
                    <m:t>d</m:t>
                  </m:r>
                </m:e>
                <m:sub>
                  <m:r>
                    <m:t>i</m:t>
                  </m:r>
                </m:sub>
              </m:sSub>
            </m:den>
          </m:f>
          <m:r>
            <m:rPr>
              <m:sty m:val="p"/>
            </m:rPr>
            <m:t>,</m:t>
          </m:r>
        </m:oMath>
      </m:oMathPara>
    </w:p>
    <w:p>
      <w:pPr>
        <w:pStyle w:val="FirstParagraph"/>
      </w:pPr>
      <w:r>
        <w:t xml:space="preserve">where</w:t>
      </w:r>
      <w:r>
        <w:t xml:space="preserve"> </w:t>
      </w:r>
      <m:oMath>
        <m:sSub>
          <m:e>
            <m:r>
              <m:t>y</m:t>
            </m:r>
          </m:e>
          <m:sub>
            <m:r>
              <m:t>i</m:t>
            </m:r>
            <m:r>
              <m:t>h</m:t>
            </m:r>
          </m:sub>
        </m:sSub>
      </m:oMath>
      <w:r>
        <w:t xml:space="preserve"> </w:t>
      </w:r>
      <w:r>
        <w:t xml:space="preserve">is respondent</w:t>
      </w:r>
      <w:r>
        <w:t xml:space="preserve"> </w:t>
      </w:r>
      <m:oMath>
        <m:r>
          <m:t>i</m:t>
        </m:r>
      </m:oMath>
      <w:r>
        <w:t xml:space="preserve">’s reported number of known domestic-worker alters with indicator</w:t>
      </w:r>
      <w:r>
        <w:t xml:space="preserve"> </w:t>
      </w:r>
      <m:oMath>
        <m:r>
          <m:t>h</m:t>
        </m:r>
      </m:oMath>
      <w:r>
        <w:t xml:space="preserve">,</w:t>
      </w:r>
      <w:r>
        <w:t xml:space="preserve"> </w:t>
      </w:r>
      <m:oMath>
        <m:sSub>
          <m:e>
            <m:r>
              <m:t>d</m:t>
            </m:r>
          </m:e>
          <m:sub>
            <m:r>
              <m:t>i</m:t>
            </m:r>
          </m:sub>
        </m:sSub>
      </m:oMath>
      <w:r>
        <w:t xml:space="preserve"> </w:t>
      </w:r>
      <w:r>
        <w:t xml:space="preserve">is respondent</w:t>
      </w:r>
      <w:r>
        <w:t xml:space="preserve"> </w:t>
      </w:r>
      <m:oMath>
        <m:r>
          <m:t>i</m:t>
        </m:r>
      </m:oMath>
      <w:r>
        <w:t xml:space="preserve">’s reported number of known domestic workers, and</w:t>
      </w:r>
      <w:r>
        <w:t xml:space="preserve"> </w:t>
      </w:r>
      <m:oMath>
        <m:sSub>
          <m:e>
            <m:r>
              <m:t>w</m:t>
            </m:r>
          </m:e>
          <m:sub>
            <m:r>
              <m:t>i</m:t>
            </m:r>
          </m:sub>
        </m:sSub>
      </m:oMath>
      <w:r>
        <w:t xml:space="preserve"> </w:t>
      </w:r>
      <w:r>
        <w:t xml:space="preserve">is the RDS-derived survey weight. The MBSU-adjusted prevalence is then:</w:t>
      </w:r>
    </w:p>
    <w:p>
      <w:pPr>
        <w:pStyle w:val="BodyText"/>
      </w:pPr>
      <m:oMathPara>
        <m:oMathParaPr>
          <m:jc m:val="center"/>
        </m:oMathParaPr>
        <m:oMath>
          <m:sSubSup>
            <m:e>
              <m:acc>
                <m:accPr>
                  <m:chr m:val="̂"/>
                </m:accPr>
                <m:e>
                  <m:r>
                    <m:t>p</m:t>
                  </m:r>
                </m:e>
              </m:acc>
            </m:e>
            <m:sub>
              <m:r>
                <m:t>h</m:t>
              </m:r>
            </m:sub>
            <m:sup>
              <m:r>
                <m:t>M</m:t>
              </m:r>
              <m:r>
                <m:t>B</m:t>
              </m:r>
              <m:r>
                <m:t>S</m:t>
              </m:r>
              <m:r>
                <m:t>U</m:t>
              </m:r>
            </m:sup>
          </m:sSubSup>
          <m:r>
            <m:rPr>
              <m:sty m:val="p"/>
            </m:rPr>
            <m:t>=</m:t>
          </m:r>
          <m:f>
            <m:fPr>
              <m:type m:val="bar"/>
            </m:fPr>
            <m:num>
              <m:r>
                <m:t>1</m:t>
              </m:r>
            </m:num>
            <m:den>
              <m:sSub>
                <m:e>
                  <m:r>
                    <m:t>δ</m:t>
                  </m:r>
                </m:e>
                <m:sub>
                  <m:r>
                    <m:t>h</m:t>
                  </m:r>
                </m:sub>
              </m:sSub>
              <m:sSub>
                <m:e>
                  <m:r>
                    <m:t>τ</m:t>
                  </m:r>
                </m:e>
                <m:sub>
                  <m:r>
                    <m:t>h</m:t>
                  </m:r>
                </m:sub>
              </m:sSub>
            </m:den>
          </m:f>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
                <m:e>
                  <m:r>
                    <m:t>d</m:t>
                  </m:r>
                </m:e>
                <m:sub>
                  <m:r>
                    <m:t>i</m:t>
                  </m:r>
                </m:sub>
              </m:sSub>
            </m:den>
          </m:f>
          <m:r>
            <m:rPr>
              <m:sty m:val="p"/>
            </m:rPr>
            <m:t>.</m:t>
          </m:r>
        </m:oMath>
      </m:oMathPara>
    </w:p>
    <w:p>
      <w:pPr>
        <w:pStyle w:val="FirstParagraph"/>
      </w:pPr>
      <w:r>
        <w:t xml:space="preserve">i.e. adjusted multiplicatively by</w:t>
      </w:r>
      <w:r>
        <w:t xml:space="preserve"> </w:t>
      </w:r>
      <m:oMath>
        <m:sSub>
          <m:e>
            <m:r>
              <m:t>δ</m:t>
            </m:r>
          </m:e>
          <m:sub>
            <m:r>
              <m:t>h</m:t>
            </m:r>
          </m:sub>
        </m:sSub>
      </m:oMath>
      <w:r>
        <w:t xml:space="preserve"> </w:t>
      </w:r>
      <w:r>
        <w:t xml:space="preserve">(degree ratio between hidden and frame populations) and</w:t>
      </w:r>
      <w:r>
        <w:t xml:space="preserve"> </w:t>
      </w:r>
      <m:oMath>
        <m:sSub>
          <m:e>
            <m:r>
              <m:t>τ</m:t>
            </m:r>
          </m:e>
          <m:sub>
            <m:r>
              <m:t>h</m:t>
            </m:r>
          </m:sub>
        </m:sSub>
      </m:oMath>
      <w:r>
        <w:t xml:space="preserve"> </w:t>
      </w:r>
      <w:r>
        <w:t xml:space="preserve">(true-positive rate; values</w:t>
      </w:r>
      <w:r>
        <w:t xml:space="preserve"> </w:t>
      </w:r>
      <m:oMath>
        <m:r>
          <m:rPr>
            <m:sty m:val="p"/>
          </m:rPr>
          <m:t>&lt;</m:t>
        </m:r>
        <m:r>
          <m:t>1</m:t>
        </m:r>
      </m:oMath>
      <w:r>
        <w:t xml:space="preserve"> </w:t>
      </w:r>
      <w:r>
        <w:t xml:space="preserve">capture under-reporting due to stigma or social distance). Because the frame and hidden populations coincide here,</w:t>
      </w:r>
      <w:r>
        <w:t xml:space="preserve"> </w:t>
      </w:r>
      <m:oMath>
        <m:sSub>
          <m:e>
            <m:r>
              <m:t>δ</m:t>
            </m:r>
          </m:e>
          <m:sub>
            <m:r>
              <m:t>F</m:t>
            </m:r>
          </m:sub>
        </m:sSub>
      </m:oMath>
      <w:r>
        <w:t xml:space="preserve"> </w:t>
      </w:r>
      <w:r>
        <w:t xml:space="preserve">measures within-population network-size differences;</w:t>
      </w:r>
      <w:r>
        <w:t xml:space="preserve"> </w:t>
      </w:r>
      <m:oMath>
        <m:sSub>
          <m:e>
            <m:r>
              <m:t>τ</m:t>
            </m:r>
          </m:e>
          <m:sub>
            <m:r>
              <m:t>F</m:t>
            </m:r>
          </m:sub>
        </m:sSub>
      </m:oMath>
      <w:r>
        <w:t xml:space="preserve"> </w:t>
      </w:r>
      <w:r>
        <w:t xml:space="preserve">captures peer-tie visibility, which is the substantive quantity of interest for the visibility-gradient diagnostic (</w:t>
      </w:r>
      <w:hyperlink w:anchor="sec-divergence">
        <w:r>
          <w:rPr>
            <w:rStyle w:val="Hyperlink"/>
          </w:rPr>
          <w:t xml:space="preserve">Section 5.3</w:t>
        </w:r>
      </w:hyperlink>
      <w:r>
        <w:t xml:space="preserve">).</w:t>
      </w:r>
    </w:p>
    <w:p>
      <w:pPr>
        <w:pStyle w:val="BodyText"/>
      </w:pPr>
      <w:r>
        <w:t xml:space="preserve">STEP 6</w:t>
      </w:r>
    </w:p>
    <w:p>
      <w:pPr>
        <w:pStyle w:val="BodyText"/>
      </w:pPr>
      <w:r>
        <w:t xml:space="preserve">Our headline NSUM result is the</w:t>
      </w:r>
      <w:r>
        <w:t xml:space="preserve"> </w:t>
      </w:r>
      <w:r>
        <w:rPr>
          <w:i/>
          <w:iCs/>
        </w:rPr>
        <w:t xml:space="preserve">continuous-</w:t>
      </w:r>
      <m:oMath>
        <m:r>
          <m:t>τ</m:t>
        </m:r>
      </m:oMath>
      <w:r>
        <w:rPr>
          <w:i/>
          <w:iCs/>
        </w:rPr>
        <w:t xml:space="preserve"> </w:t>
      </w:r>
      <w:r>
        <w:rPr>
          <w:i/>
          <w:iCs/>
        </w:rPr>
        <w:t xml:space="preserve">sweep</w:t>
      </w:r>
      <w:r>
        <w:t xml:space="preserve">: per-indicator prevalence as a function of</w:t>
      </w:r>
      <w:r>
        <w:t xml:space="preserve"> </w:t>
      </w:r>
      <m:oMath>
        <m:r>
          <m:t>τ</m:t>
        </m:r>
      </m:oMath>
      <w:r>
        <w:t xml:space="preserve"> </w:t>
      </w:r>
      <w:r>
        <w:t xml:space="preserve">over</w:t>
      </w:r>
      <w:r>
        <w:t xml:space="preserve"> </w:t>
      </w:r>
      <m:oMath>
        <m:d>
          <m:dPr>
            <m:begChr m:val="["/>
            <m:sepChr m:val=""/>
            <m:endChr m:val="]"/>
            <m:grow/>
          </m:dPr>
          <m:e>
            <m:r>
              <m:t>0.40</m:t>
            </m:r>
            <m:r>
              <m:rPr>
                <m:sty m:val="p"/>
              </m:rPr>
              <m:t>,</m:t>
            </m:r>
            <m:r>
              <m:t>1.00</m:t>
            </m:r>
          </m:e>
        </m:d>
      </m:oMath>
      <w:r>
        <w:t xml:space="preserve"> </w:t>
      </w:r>
      <w:r>
        <w:t xml:space="preserve">in 0.05 increments with</w:t>
      </w:r>
      <w:r>
        <w:t xml:space="preserve"> </w:t>
      </w:r>
      <m:oMath>
        <m:sSub>
          <m:e>
            <m:r>
              <m:t>δ</m:t>
            </m:r>
          </m:e>
          <m:sub>
            <m:r>
              <m:t>F</m:t>
            </m:r>
          </m:sub>
        </m:sSub>
      </m:oMath>
      <w:r>
        <w:t xml:space="preserve"> </w:t>
      </w:r>
      <w:r>
        <w:t xml:space="preserve">fixed at 0.9, with bootstrap 95% CIs at each value (ESM_4</w:t>
      </w:r>
      <w:r>
        <w:t xml:space="preserve"> </w:t>
      </w:r>
      <w:hyperlink w:anchor="fig-recruitment">
        <w:r>
          <w:rPr>
            <w:rStyle w:val="Hyperlink"/>
          </w:rPr>
          <w:t xml:space="preserve">Figure 1</w:t>
        </w:r>
      </w:hyperlink>
      <w:r>
        <w:t xml:space="preserve">). For comparison with the discrete-tier NSUM literature</w:t>
      </w:r>
      <w:r>
        <w:t xml:space="preserve"> </w:t>
      </w:r>
      <w:r>
        <w:t xml:space="preserve">(Feehan &amp; Salganik, 2016; Killworth et al., 1998; Maltiel et al., 2015)</w:t>
      </w:r>
      <w:r>
        <w:t xml:space="preserve">, we report three reference scenarios — Unadjusted (</w:t>
      </w:r>
      <m:oMath>
        <m:r>
          <m:t>δ</m:t>
        </m:r>
        <m:r>
          <m:rPr>
            <m:sty m:val="p"/>
          </m:rPr>
          <m:t>=</m:t>
        </m:r>
        <m:r>
          <m:t>1.0</m:t>
        </m:r>
        <m:r>
          <m:rPr>
            <m:sty m:val="p"/>
          </m:rPr>
          <m:t>,</m:t>
        </m:r>
        <m:r>
          <m:t>τ</m:t>
        </m:r>
        <m:r>
          <m:rPr>
            <m:sty m:val="p"/>
          </m:rPr>
          <m:t>=</m:t>
        </m:r>
        <m:r>
          <m:t>1.0</m:t>
        </m:r>
      </m:oMath>
      <w:r>
        <w:t xml:space="preserve">), Moderate (</w:t>
      </w:r>
      <m:oMath>
        <m:r>
          <m:t>δ</m:t>
        </m:r>
        <m:r>
          <m:rPr>
            <m:sty m:val="p"/>
          </m:rPr>
          <m:t>=</m:t>
        </m:r>
        <m:r>
          <m:t>0.9</m:t>
        </m:r>
        <m:r>
          <m:rPr>
            <m:sty m:val="p"/>
          </m:rPr>
          <m:t>,</m:t>
        </m:r>
        <m:r>
          <m:t>τ</m:t>
        </m:r>
        <m:r>
          <m:rPr>
            <m:sty m:val="p"/>
          </m:rPr>
          <m:t>=</m:t>
        </m:r>
        <m:r>
          <m:t>0.85</m:t>
        </m:r>
      </m:oMath>
      <w:r>
        <w:t xml:space="preserve">), Conservative (</w:t>
      </w:r>
      <m:oMath>
        <m:r>
          <m:t>δ</m:t>
        </m:r>
        <m:r>
          <m:rPr>
            <m:sty m:val="p"/>
          </m:rPr>
          <m:t>=</m:t>
        </m:r>
        <m:r>
          <m:t>0.8</m:t>
        </m:r>
        <m:r>
          <m:rPr>
            <m:sty m:val="p"/>
          </m:rPr>
          <m:t>,</m:t>
        </m:r>
        <m:r>
          <m:t>τ</m:t>
        </m:r>
        <m:r>
          <m:rPr>
            <m:sty m:val="p"/>
          </m:rPr>
          <m:t>=</m:t>
        </m:r>
        <m:r>
          <m:t>0.70</m:t>
        </m:r>
      </m:oMath>
      <w:r>
        <w:t xml:space="preserve">) — as discrete points on the continuous curve.</w:t>
      </w:r>
    </w:p>
    <w:bookmarkEnd w:id="33"/>
    <w:bookmarkStart w:id="34" w:name="sec-comparative-rationale"/>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p>
    <w:p>
      <w:pPr>
        <w:pStyle w:val="BodyText"/>
      </w:pPr>
      <w:r>
        <w:t xml:space="preserve">For the prevalence estimates reported here, the assumed total domestic-worker population size</w:t>
      </w:r>
      <w:r>
        <w:t xml:space="preserve"> </w:t>
      </w:r>
      <m:oMath>
        <m:r>
          <m:t>N</m:t>
        </m:r>
      </m:oMath>
      <w:r>
        <w:t xml:space="preserve"> </w:t>
      </w:r>
      <w:r>
        <w:t xml:space="preserve">either cancels algebraically or has a negligible finite-population effect (related to</w:t>
      </w:r>
      <w:r>
        <w:t xml:space="preserve"> </w:t>
      </w:r>
      <m:oMath>
        <m:r>
          <m:t>n</m:t>
        </m:r>
        <m:r>
          <m:rPr>
            <m:sty m:val="p"/>
          </m:rPr>
          <m:t>/</m:t>
        </m:r>
        <m:r>
          <m:t>N</m:t>
        </m:r>
      </m:oMath>
      <w:r>
        <w:t xml:space="preserve"> </w:t>
      </w:r>
      <w:r>
        <w:t xml:space="preserve">which is negligable here) over the range of</w:t>
      </w:r>
      <w:r>
        <w:t xml:space="preserve"> </w:t>
      </w:r>
      <m:oMath>
        <m:r>
          <m:t>N</m:t>
        </m:r>
      </m:oMath>
      <w:r>
        <w:t xml:space="preserve"> </w:t>
      </w:r>
      <w:r>
        <w:t xml:space="preserve">values considered.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ESM_4 Section A (Population Size and the Invariance of Prevalence).</w:t>
      </w:r>
    </w:p>
    <w:bookmarkEnd w:id="34"/>
    <w:bookmarkStart w:id="35" w:name="sec-bootstrap"/>
    <w:p>
      <w:pPr>
        <w:pStyle w:val="Heading2"/>
      </w:pPr>
      <w:r>
        <w:t xml:space="preserve">3.6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Online Resource ESM_3.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w:t>
      </w:r>
      <w:r>
        <w:t xml:space="preserve"> </w:t>
      </w:r>
      <w:r>
        <w:t xml:space="preserve">(Gile et al., 2018)</w:t>
      </w:r>
      <w:r>
        <w:t xml:space="preserve">.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w:t>
      </w:r>
      <w:r>
        <w:t xml:space="preserve"> </w:t>
      </w:r>
      <w:r>
        <w:t xml:space="preserve">(Yauck et al., 2022)</w:t>
      </w:r>
      <w:r>
        <w:t xml:space="preserve">. Sensitivity analyses examine robustness to population size</w:t>
      </w:r>
      <w:r>
        <w:t xml:space="preserve"> </w:t>
      </w:r>
      <w:r>
        <w:t xml:space="preserve">assumptions (50K, 100K, 980K, 1.74M) and NSUM adjustment factor values. Full results are reported in Online Resource ESM_4.</w:t>
      </w:r>
    </w:p>
    <w:bookmarkEnd w:id="35"/>
    <w:bookmarkEnd w:id="36"/>
    <w:bookmarkStart w:id="57" w:name="sec-results"/>
    <w:p>
      <w:pPr>
        <w:pStyle w:val="Heading1"/>
      </w:pPr>
      <w:r>
        <w:t xml:space="preserve">4. Results</w:t>
      </w:r>
    </w:p>
    <w:p>
      <w:pPr>
        <w:pStyle w:val="FirstParagraph"/>
      </w:pPr>
      <w:r>
        <w:t xml:space="preserve">We present results in five subsections.</w:t>
      </w:r>
      <w:r>
        <w:t xml:space="preserve"> </w:t>
      </w:r>
      <w:hyperlink w:anchor="sec-descriptive">
        <w:r>
          <w:rPr>
            <w:rStyle w:val="Hyperlink"/>
          </w:rPr>
          <w:t xml:space="preserve">Section 4.1</w:t>
        </w:r>
      </w:hyperlink>
      <w:r>
        <w:t xml:space="preserve"> </w:t>
      </w:r>
      <w:r>
        <w:t xml:space="preserve">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 xml:space="preserve">Section 3.4</w:t>
        </w:r>
      </w:hyperlink>
      <w:r>
        <w:t xml:space="preserve">).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w:t>
      </w:r>
      <w:hyperlink w:anchor="sec-estimation-framework">
        <w:r>
          <w:rPr>
            <w:rStyle w:val="Hyperlink"/>
          </w:rPr>
          <w:t xml:space="preserve">Section 3.4</w:t>
        </w:r>
      </w:hyperlink>
      <w:r>
        <w:t xml:space="preserve">; ESM_4</w:t>
      </w:r>
      <w:r>
        <w:t xml:space="preserve"> </w:t>
      </w:r>
      <w:hyperlink w:anchor="fig-recruitment">
        <w:r>
          <w:rPr>
            <w:rStyle w:val="Hyperlink"/>
          </w:rPr>
          <w:t xml:space="preserve">Figure 1</w:t>
        </w:r>
      </w:hyperlink>
      <w:r>
        <w:t xml:space="preserve">);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w:t>
      </w:r>
      <w:r>
        <w:t xml:space="preserve"> </w:t>
      </w:r>
      <w:hyperlink w:anchor="sec-supporting-estimates">
        <w:r>
          <w:rPr>
            <w:rStyle w:val="Hyperlink"/>
          </w:rPr>
          <w:t xml:space="preserve">Section 4.4</w:t>
        </w:r>
      </w:hyperlink>
      <w:r>
        <w:t xml:space="preserve"> </w:t>
      </w:r>
      <w:r>
        <w:t xml:space="preserve">reports supporting estimates — Bayesian Model-Assisted estimates for the five binary indicators, alternative RDS estimators (RDS-I, RDS-II), and NSUM under alternative adjustment-factor scenarios — included for comparison and to support the robustness claims in</w:t>
      </w:r>
      <w:r>
        <w:t xml:space="preserve"> </w:t>
      </w:r>
      <w:hyperlink w:anchor="sec-sensitivity">
        <w:r>
          <w:rPr>
            <w:rStyle w:val="Hyperlink"/>
          </w:rPr>
          <w:t xml:space="preserve">Section 4.5</w:t>
        </w:r>
      </w:hyperlink>
      <w:r>
        <w:t xml:space="preserve">.</w:t>
      </w:r>
      <w:r>
        <w:t xml:space="preserve"> </w:t>
      </w:r>
      <w:hyperlink w:anchor="sec-sensitivity">
        <w:r>
          <w:rPr>
            <w:rStyle w:val="Hyperlink"/>
          </w:rPr>
          <w:t xml:space="preserve">Section 4.5</w:t>
        </w:r>
      </w:hyperlink>
      <w:r>
        <w:t xml:space="preserve"> </w:t>
      </w:r>
      <w:r>
        <w:t xml:space="preserve">summarises the sensitivity analyses, with full details in ESM_4.</w:t>
      </w:r>
    </w:p>
    <w:p>
      <w:pPr>
        <w:pStyle w:val="BodyText"/>
      </w:pPr>
      <w:r>
        <w:t xml:space="preserve">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reported quantities in Table 3 target different population quantities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so absolute levels also differ by estimator in interpretable ways.</w:t>
      </w:r>
    </w:p>
    <w:bookmarkStart w:id="43" w:name="sec-descriptive"/>
    <w:p>
      <w:pPr>
        <w:pStyle w:val="Heading2"/>
      </w:pPr>
      <w:r>
        <w:t xml:space="preserve">4.1 Descriptive Overview</w:t>
      </w:r>
    </w:p>
    <w:p>
      <w:pPr>
        <w:pStyle w:val="FirstParagraph"/>
      </w:pPr>
      <w:r>
        <w:t xml:space="preserve">Sample characteristics are presented in</w:t>
      </w:r>
      <w:r>
        <w:t xml:space="preserve"> </w:t>
      </w:r>
      <w:hyperlink w:anchor="tbl-sample-chars">
        <w:r>
          <w:rPr>
            <w:rStyle w:val="Hyperlink"/>
          </w:rPr>
          <w:t xml:space="preserve">Table 2</w:t>
        </w:r>
      </w:hyperlink>
      <w:r>
        <w:t xml:space="preserve"> </w:t>
      </w:r>
      <w:r>
        <w:t xml:space="preserve">and</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97% female, 76% Filipino, with over half aged 45+ and 45% self-employed.</w:t>
      </w:r>
    </w:p>
    <w:bookmarkStart w:id="42" w:name="sec-rds-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4</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37" w:name="tbl-rds-diagnostics"/>
          <w:p>
            <w:pPr>
              <w:jc w:val="center"/>
            </w:pPr>
            <w:pPr>
              <w:jc w:val="start"/>
              <w:spacing w:before="200"/>
              <w:pStyle w:val="ImageCaption"/>
            </w:pPr>
            <w:r>
              <w:t xml:space="preserve">Table 4: RDS sampling diagnostics for the analytical sample (n = 85). Computed from the anonymised processed analysis dataset; replication code is available in the OSF repository. See</w:t>
            </w:r>
            <w:r>
              <w:t xml:space="preserve"> </w:t>
            </w:r>
            <w:hyperlink w:anchor="sec-rds-diagnostics">
              <w:r>
                <w:rPr>
                  <w:rStyle w:val="Hyperlink"/>
                </w:rPr>
                <w:t xml:space="preserve">Section 4.1.1</w:t>
              </w:r>
            </w:hyperlink>
            <w:r>
              <w:t xml:space="preserve"> </w:t>
            </w:r>
            <w:r>
              <w:t xml:space="preserve">below and ESM_4 (convergence plots per indicator) for the full set. Source: Authors’ construction.</w:t>
            </w:r>
          </w:p>
          <w:tbl>
            <w:tblPr>
              <w:tblStyle w:val="Table"/>
              <w:tblW w:type="pct" w:w="4953"/>
              <w:tblLayout w:type="fixed"/>
              <w:tblLook w:firstRow="1" w:lastRow="0" w:firstColumn="0" w:lastColumn="0" w:noHBand="0" w:noVBand="0" w:val="0020"/>
            </w:tblPr>
            <w:tblGrid>
              <w:gridCol w:w="3511"/>
              <w:gridCol w:w="1120"/>
              <w:gridCol w:w="3212"/>
            </w:tblGrid>
            <w:tr>
              <w:trPr>
                <w:tblHeader w:val="on"/>
              </w:trPr>
              <w:tc>
                <w:tcPr/>
                <w:p>
                  <w:pPr>
                    <w:pStyle w:val="Compact"/>
                    <w:jc w:val="left"/>
                    <w:jc w:val="center"/>
                  </w:pPr>
                  <w:r>
                    <w:t xml:space="preserve">Diagnostic</w:t>
                  </w:r>
                </w:p>
              </w:tc>
              <w:tc>
                <w:tcPr/>
                <w:p>
                  <w:pPr>
                    <w:pStyle w:val="Compact"/>
                    <w:jc w:val="center"/>
                    <w:jc w:val="center"/>
                  </w:pPr>
                  <w:r>
                    <w:t xml:space="preserve">Value</w:t>
                  </w:r>
                </w:p>
              </w:tc>
              <w:tc>
                <w:tcPr/>
                <w:p>
                  <w:pPr>
                    <w:pStyle w:val="Compact"/>
                    <w:jc w:val="left"/>
                    <w:jc w:val="center"/>
                  </w:pPr>
                  <w:r>
                    <w:t xml:space="preserve">Interpretation</w:t>
                  </w:r>
                </w:p>
              </w:tc>
            </w:tr>
            <w:tr>
              <w:tc>
                <w:tcPr/>
                <w:p>
                  <w:pPr>
                    <w:pStyle w:val="Compact"/>
                    <w:jc w:val="left"/>
                    <w:jc w:val="center"/>
                  </w:pPr>
                  <w:r>
                    <w:t xml:space="preserve">Total respondents (analytical sample)</w:t>
                  </w:r>
                </w:p>
              </w:tc>
              <w:tc>
                <w:tcPr/>
                <w:p>
                  <w:pPr>
                    <w:pStyle w:val="Compact"/>
                    <w:jc w:val="center"/>
                    <w:jc w:val="center"/>
                  </w:pPr>
                  <w:r>
                    <w:t xml:space="preserve">85</w:t>
                  </w:r>
                </w:p>
              </w:tc>
              <w:tc>
                <w:tcPr/>
                <w:p>
                  <w:pPr>
                    <w:pStyle w:val="Compact"/>
                    <w:jc w:val="left"/>
                    <w:jc w:val="center"/>
                  </w:pPr>
                  <w:r>
                    <w:t xml:space="preserve">non-zero network degree</w:t>
                  </w:r>
                </w:p>
              </w:tc>
            </w:tr>
            <w:tr>
              <w:tc>
                <w:tcPr/>
                <w:p>
                  <w:pPr>
                    <w:pStyle w:val="Compact"/>
                    <w:jc w:val="left"/>
                    <w:jc w:val="center"/>
                  </w:pPr>
                  <w:r>
                    <w:t xml:space="preserve">Seeds (recruiter.id == -1)</w:t>
                  </w:r>
                </w:p>
              </w:tc>
              <w:tc>
                <w:tcPr/>
                <w:p>
                  <w:pPr>
                    <w:pStyle w:val="Compact"/>
                    <w:jc w:val="center"/>
                    <w:jc w:val="center"/>
                  </w:pPr>
                  <w:r>
                    <w:t xml:space="preserve">46 (54%)</w:t>
                  </w:r>
                </w:p>
              </w:tc>
              <w:tc>
                <w:tcPr/>
                <w:p>
                  <w:pPr>
                    <w:pStyle w:val="Compact"/>
                    <w:jc w:val="left"/>
                    <w:jc w:val="center"/>
                  </w:pPr>
                  <w:r>
                    <w:t xml:space="preserve">majority of sample is seed-recruited</w:t>
                  </w:r>
                </w:p>
              </w:tc>
            </w:tr>
            <w:tr>
              <w:tc>
                <w:tcPr/>
                <w:p>
                  <w:pPr>
                    <w:pStyle w:val="Compact"/>
                    <w:jc w:val="left"/>
                    <w:jc w:val="center"/>
                  </w:pPr>
                  <w:r>
                    <w:t xml:space="preserve">Recruits (wave 1+)</w:t>
                  </w:r>
                </w:p>
              </w:tc>
              <w:tc>
                <w:tcPr/>
                <w:p>
                  <w:pPr>
                    <w:pStyle w:val="Compact"/>
                    <w:jc w:val="center"/>
                    <w:jc w:val="center"/>
                  </w:pPr>
                  <w:r>
                    <w:t xml:space="preserve">39 (46%)</w:t>
                  </w:r>
                </w:p>
              </w:tc>
              <w:tc>
                <w:tcPr/>
                <w:p>
                  <w:pPr>
                    <w:pStyle w:val="Compact"/>
                    <w:jc w:val="left"/>
                    <w:jc w:val="center"/>
                  </w:pPr>
                  <w:r>
                    <w:t xml:space="preserve">sourced via respondent-driven referral</w:t>
                  </w:r>
                </w:p>
              </w:tc>
            </w:tr>
            <w:tr>
              <w:tc>
                <w:tcPr/>
                <w:p>
                  <w:pPr>
                    <w:pStyle w:val="Compact"/>
                    <w:jc w:val="left"/>
                    <w:jc w:val="center"/>
                  </w:pPr>
                  <w:r>
                    <w:t xml:space="preserve">Active recruitment chains (length</w:t>
                  </w:r>
                  <w:r>
                    <w:t xml:space="preserve"> </w:t>
                  </w:r>
                  <m:oMath>
                    <m:r>
                      <m:rPr>
                        <m:sty m:val="p"/>
                      </m:rPr>
                      <m:t>≥</m:t>
                    </m:r>
                    <m:r>
                      <m:t>2</m:t>
                    </m:r>
                  </m:oMath>
                  <w:r>
                    <w:t xml:space="preserve">)</w:t>
                  </w:r>
                </w:p>
              </w:tc>
              <w:tc>
                <w:tcPr/>
                <w:p>
                  <w:pPr>
                    <w:pStyle w:val="Compact"/>
                    <w:jc w:val="center"/>
                    <w:jc w:val="center"/>
                  </w:pPr>
                  <w:r>
                    <w:t xml:space="preserve">16</w:t>
                  </w:r>
                </w:p>
              </w:tc>
              <w:tc>
                <w:tcPr/>
                <w:p>
                  <w:pPr>
                    <w:pStyle w:val="Compact"/>
                    <w:jc w:val="left"/>
                    <w:jc w:val="center"/>
                  </w:pPr>
                  <w:r>
                    <w:t xml:space="preserve">seeds that recruited at least once</w:t>
                  </w:r>
                </w:p>
              </w:tc>
            </w:tr>
            <w:tr>
              <w:tc>
                <w:tcPr/>
                <w:p>
                  <w:pPr>
                    <w:pStyle w:val="Compact"/>
                    <w:jc w:val="left"/>
                    <w:jc w:val="center"/>
                  </w:pPr>
                  <w:r>
                    <w:t xml:space="preserve">Singleton seeds (chain length = 1)</w:t>
                  </w:r>
                </w:p>
              </w:tc>
              <w:tc>
                <w:tcPr/>
                <w:p>
                  <w:pPr>
                    <w:pStyle w:val="Compact"/>
                    <w:jc w:val="center"/>
                    <w:jc w:val="center"/>
                  </w:pPr>
                  <w:r>
                    <w:t xml:space="preserve">30</w:t>
                  </w:r>
                </w:p>
              </w:tc>
              <w:tc>
                <w:tcPr/>
                <w:p>
                  <w:pPr>
                    <w:pStyle w:val="Compact"/>
                    <w:jc w:val="left"/>
                    <w:jc w:val="center"/>
                  </w:pPr>
                  <w:r>
                    <w:t xml:space="preserve">seeds with no successful recruits</w:t>
                  </w:r>
                </w:p>
              </w:tc>
            </w:tr>
            <w:tr>
              <w:tc>
                <w:tcPr/>
                <w:p>
                  <w:pPr>
                    <w:pStyle w:val="Compact"/>
                    <w:jc w:val="left"/>
                    <w:jc w:val="center"/>
                  </w:pPr>
                  <w:r>
                    <w:t xml:space="preserve">Maximum chain length</w:t>
                  </w:r>
                </w:p>
              </w:tc>
              <w:tc>
                <w:tcPr/>
                <w:p>
                  <w:pPr>
                    <w:pStyle w:val="Compact"/>
                    <w:jc w:val="center"/>
                    <w:jc w:val="center"/>
                  </w:pPr>
                  <w:r>
                    <w:t xml:space="preserve">12</w:t>
                  </w:r>
                </w:p>
              </w:tc>
              <w:tc>
                <w:tcPr/>
                <w:p>
                  <w:pPr>
                    <w:pStyle w:val="Compact"/>
                    <w:jc w:val="left"/>
                    <w:jc w:val="center"/>
                  </w:pPr>
                  <w:r>
                    <w:t xml:space="preserve">one dominant chain (seed #55) drives</w:t>
                  </w:r>
                  <w:r>
                    <w:t xml:space="preserve"> </w:t>
                  </w:r>
                  <w:r>
                    <w:t xml:space="preserve">much of the wave depth</w:t>
                  </w:r>
                </w:p>
              </w:tc>
            </w:tr>
            <w:tr>
              <w:tc>
                <w:tcPr/>
                <w:p>
                  <w:pPr>
                    <w:pStyle w:val="Compact"/>
                    <w:jc w:val="left"/>
                    <w:jc w:val="center"/>
                  </w:pPr>
                  <w:r>
                    <w:t xml:space="preserve">Maximum wave depth</w:t>
                  </w:r>
                </w:p>
              </w:tc>
              <w:tc>
                <w:tcPr/>
                <w:p>
                  <w:pPr>
                    <w:pStyle w:val="Compact"/>
                    <w:jc w:val="center"/>
                    <w:jc w:val="center"/>
                  </w:pPr>
                  <w:r>
                    <w:t xml:space="preserve">4</w:t>
                  </w:r>
                </w:p>
              </w:tc>
              <w:tc>
                <w:tcPr/>
                <w:p>
                  <w:pPr>
                    <w:pStyle w:val="Compact"/>
                    <w:jc w:val="left"/>
                    <w:jc w:val="center"/>
                  </w:pPr>
                  <w:r>
                    <w:t xml:space="preserve">shallow relative to RDS conventions</w:t>
                  </w:r>
                  <w:r>
                    <w:t xml:space="preserve"> </w:t>
                  </w:r>
                  <w:r>
                    <w:t xml:space="preserve">(5–6 waves typical for equilibrium)</w:t>
                  </w:r>
                </w:p>
              </w:tc>
            </w:tr>
            <w:tr>
              <w:tc>
                <w:tcPr/>
                <w:p>
                  <w:pPr>
                    <w:pStyle w:val="Compact"/>
                    <w:jc w:val="left"/>
                    <w:jc w:val="center"/>
                  </w:pPr>
                  <w:r>
                    <w:t xml:space="preserve">Respondents at wave</w:t>
                  </w:r>
                  <w:r>
                    <w:t xml:space="preserve"> </w:t>
                  </w:r>
                  <m:oMath>
                    <m:r>
                      <m:rPr>
                        <m:sty m:val="p"/>
                      </m:rPr>
                      <m:t>≥</m:t>
                    </m:r>
                    <m:r>
                      <m:t>3</m:t>
                    </m:r>
                  </m:oMath>
                </w:p>
              </w:tc>
              <w:tc>
                <w:tcPr/>
                <w:p>
                  <w:pPr>
                    <w:pStyle w:val="Compact"/>
                    <w:jc w:val="center"/>
                    <w:jc w:val="center"/>
                  </w:pPr>
                  <w:r>
                    <w:t xml:space="preserve">6 (7%)</w:t>
                  </w:r>
                </w:p>
              </w:tc>
              <w:tc>
                <w:tcPr/>
                <w:p>
                  <w:pPr>
                    <w:pStyle w:val="Compact"/>
                    <w:jc w:val="left"/>
                    <w:jc w:val="center"/>
                  </w:pPr>
                  <w:r>
                    <w:t xml:space="preserve">only 7% reached the depth at which</w:t>
                  </w:r>
                  <w:r>
                    <w:t xml:space="preserve"> </w:t>
                  </w:r>
                  <w:r>
                    <w:t xml:space="preserve">RDS equilibrium typically obtains</w:t>
                  </w:r>
                </w:p>
              </w:tc>
            </w:tr>
            <w:tr>
              <w:tc>
                <w:tcPr/>
                <w:p>
                  <w:pPr>
                    <w:pStyle w:val="Compact"/>
                    <w:jc w:val="left"/>
                    <w:jc w:val="center"/>
                  </w:pPr>
                  <w:r>
                    <w:t xml:space="preserve">Median reported network size (q13)</w:t>
                  </w:r>
                </w:p>
              </w:tc>
              <w:tc>
                <w:tcPr/>
                <w:p>
                  <w:pPr>
                    <w:pStyle w:val="Compact"/>
                    <w:jc w:val="center"/>
                    <w:jc w:val="center"/>
                  </w:pPr>
                  <w:r>
                    <w:t xml:space="preserve">5</w:t>
                  </w:r>
                </w:p>
              </w:tc>
              <w:tc>
                <w:tcPr/>
                <w:p>
                  <w:pPr>
                    <w:pStyle w:val="Compact"/>
                    <w:jc w:val="left"/>
                    <w:jc w:val="center"/>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jc w:val="center"/>
                  </w:pPr>
                  <w:r>
                    <w:t xml:space="preserve">Mean reported network size</w:t>
                  </w:r>
                </w:p>
              </w:tc>
              <w:tc>
                <w:tcPr/>
                <w:p>
                  <w:pPr>
                    <w:pStyle w:val="Compact"/>
                    <w:jc w:val="center"/>
                    <w:jc w:val="center"/>
                  </w:pPr>
                  <w:r>
                    <w:t xml:space="preserve">8.9</w:t>
                  </w:r>
                </w:p>
              </w:tc>
              <w:tc>
                <w:tcPr/>
                <w:p>
                  <w:pPr>
                    <w:pStyle w:val="Compact"/>
                    <w:jc w:val="left"/>
                    <w:jc w:val="center"/>
                  </w:pPr>
                  <w:r>
                    <w:t xml:space="preserve">mean inflated by a long right tail</w:t>
                  </w:r>
                  <w:r>
                    <w:t xml:space="preserve"> </w:t>
                  </w:r>
                  <w:r>
                    <w:t xml:space="preserve">(max = 105); strong degree skew</w:t>
                  </w:r>
                </w:p>
              </w:tc>
            </w:tr>
            <w:tr>
              <w:tc>
                <w:tcPr/>
                <w:p>
                  <w:pPr>
                    <w:pStyle w:val="Compact"/>
                    <w:jc w:val="left"/>
                    <w:jc w:val="center"/>
                  </w:pPr>
                  <w:r>
                    <w:t xml:space="preserve">Largest nationality cluster</w:t>
                  </w:r>
                </w:p>
              </w:tc>
              <w:tc>
                <w:tcPr/>
                <w:p>
                  <w:pPr>
                    <w:pStyle w:val="Compact"/>
                    <w:jc w:val="center"/>
                    <w:jc w:val="center"/>
                  </w:pPr>
                  <w:r>
                    <w:t xml:space="preserve">Filipino</w:t>
                  </w:r>
                  <w:r>
                    <w:t xml:space="preserve"> </w:t>
                  </w:r>
                  <w:r>
                    <w:t xml:space="preserve">(n = 65)</w:t>
                  </w:r>
                </w:p>
              </w:tc>
              <w:tc>
                <w:tcPr/>
                <w:p>
                  <w:pPr>
                    <w:pStyle w:val="Compact"/>
                    <w:jc w:val="left"/>
                    <w:jc w:val="center"/>
                  </w:pPr>
                  <w:r>
                    <w:t xml:space="preserve">76% of n = 85; homophily by nationality</w:t>
                  </w:r>
                  <w:r>
                    <w:t xml:space="preserve"> </w:t>
                  </w:r>
                  <w:r>
                    <w:t xml:space="preserve">within chains is consequently high</w:t>
                  </w:r>
                </w:p>
              </w:tc>
            </w:tr>
          </w:tbl>
          <w:bookmarkEnd w:id="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1" w:name="fig-rds-diagnostics"/>
          <w:p>
            <w:pPr>
              <w:pStyle w:val="Compact"/>
              <w:jc w:val="center"/>
            </w:pPr>
            <w:r>
              <w:drawing>
                <wp:inline>
                  <wp:extent cx="5334000" cy="1557645"/>
                  <wp:effectExtent b="0" l="0" r="0" t="0"/>
                  <wp:docPr descr="" title="" id="39" name="Picture"/>
                  <a:graphic>
                    <a:graphicData uri="http://schemas.openxmlformats.org/drawingml/2006/picture">
                      <pic:pic>
                        <pic:nvPicPr>
                          <pic:cNvPr descr="figures/rds_diagnostics.png" id="40" name="Picture"/>
                          <pic:cNvPicPr>
                            <a:picLocks noChangeArrowheads="1" noChangeAspect="1"/>
                          </pic:cNvPicPr>
                        </pic:nvPicPr>
                        <pic:blipFill>
                          <a:blip r:embed="rId38"/>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Computed from the anonymised processed analysis dataset; replication code is available in the OSF repository.</w:t>
            </w:r>
          </w:p>
          <w:bookmarkEnd w:id="41"/>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(ESM_4) shifts headline binary prevalences by 2–6 percentage points without changing the indicator ordering.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w:t>
      </w:r>
      <w:r>
        <w:t xml:space="preserve"> </w:t>
      </w:r>
      <w:hyperlink w:anchor="sec-supporting-estimates">
        <w:r>
          <w:rPr>
            <w:rStyle w:val="Hyperlink"/>
          </w:rPr>
          <w:t xml:space="preserve">Section 4.4</w:t>
        </w:r>
      </w:hyperlink>
      <w:r>
        <w:t xml:space="preserve"> </w:t>
      </w:r>
      <w:r>
        <w:t xml:space="preserve">quantifies how much the standard equilibrium assumption matters (RDS-I runs 5–15 percentage points higher, with the gap larger where seed-cluster homophily is strongest).</w:t>
      </w:r>
    </w:p>
    <w:bookmarkEnd w:id="42"/>
    <w:bookmarkEnd w:id="43"/>
    <w:bookmarkStart w:id="48" w:name="sec-composite-result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full per-category weights in ESM_1,</w:t>
      </w:r>
      <w:r>
        <w:t xml:space="preserve"> </w:t>
      </w:r>
      <w:hyperlink w:anchor="tbl-indicator-mapping">
        <w:r>
          <w:rPr>
            <w:rStyle w:val="Hyperlink"/>
          </w:rPr>
          <w:t xml:space="preserve">Table 1</w:t>
        </w:r>
      </w:hyperlink>
      <w:r>
        <w:t xml:space="preserve">).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w:t>
      </w:r>
      <w:r>
        <w:t xml:space="preserve"> </w:t>
      </w:r>
      <w:hyperlink w:anchor="sec-estimation-framework">
        <w:r>
          <w:rPr>
            <w:rStyle w:val="Hyperlink"/>
          </w:rPr>
          <w:t xml:space="preserve">Section 3.4</w:t>
        </w:r>
      </w:hyperlink>
      <w:r>
        <w:t xml:space="preserve">, MA-RDS does not converge to a useful</w:t>
      </w:r>
      <w:r>
        <w:t xml:space="preserve"> </w:t>
      </w:r>
      <w:r>
        <w:t xml:space="preserve">posterior on continuous traits at this sample size; for completeness</w:t>
      </w:r>
      <w:r>
        <w:t xml:space="preserve"> </w:t>
      </w:r>
      <w:hyperlink w:anchor="fig-rds-diagnostics">
        <w:r>
          <w:rPr>
            <w:rStyle w:val="Hyperlink"/>
          </w:rPr>
          <w:t xml:space="preserve">Figure 2</w:t>
        </w:r>
      </w:hyperlink>
      <w:r>
        <w:t xml:space="preserve"> </w:t>
      </w:r>
      <w:r>
        <w:t xml:space="preserve">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47" w:name="fig-composite"/>
          <w:p>
            <w:pPr>
              <w:pStyle w:val="Compact"/>
              <w:jc w:val="center"/>
            </w:pPr>
            <w:r>
              <w:drawing>
                <wp:inline>
                  <wp:extent cx="5334000" cy="2370666"/>
                  <wp:effectExtent b="0" l="0" r="0" t="0"/>
                  <wp:docPr descr="" title="" id="45" name="Picture"/>
                  <a:graphic>
                    <a:graphicData uri="http://schemas.openxmlformats.org/drawingml/2006/picture">
                      <pic:pic>
                        <pic:nvPicPr>
                          <pic:cNvPr descr="figures/image3.png" id="46" name="Picture"/>
                          <pic:cNvPicPr>
                            <a:picLocks noChangeArrowheads="1" noChangeAspect="1"/>
                          </pic:cNvPicPr>
                        </pic:nvPicPr>
                        <pic:blipFill>
                          <a:blip r:embed="rId44"/>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7"/>
        </w:tc>
      </w:tr>
    </w:tbl>
    <w:bookmarkEnd w:id="48"/>
    <w:bookmarkStart w:id="54" w:name="sec-binary-results"/>
    <w:p>
      <w:pPr>
        <w:pStyle w:val="Heading2"/>
      </w:pPr>
      <w:r>
        <w:t xml:space="preserve">4.3 Binary Exploitation Indicators: Preferred Prevalence Estimates</w:t>
      </w:r>
    </w:p>
    <w:p>
      <w:pPr>
        <w:pStyle w:val="FirstParagraph"/>
      </w:pPr>
      <w:hyperlink w:anchor="tbl-preferred-estimates">
        <w:r>
          <w:rPr>
            <w:rStyle w:val="Hyperlink"/>
          </w:rPr>
          <w:t xml:space="preserve">Table 5</w:t>
        </w:r>
      </w:hyperlink>
      <w:r>
        <w:t xml:space="preserve"> </w:t>
      </w:r>
      <w:r>
        <w:t xml:space="preserve">reports the preferred prevalence estimates for each of the five binary ILO-aligned indicators in the RDS-reachable population, presenting RDS-SS (ego-based) and MBSU NSUM Moderate (alter-based) estimates side by side. ESM_4 Figure B.1 shows the RDS-SS estimates with per-method bootstrap CIs for visual comparison with the RDS-I estimator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 xml:space="preserve">Section 5.3</w:t>
        </w:r>
      </w:hyperlink>
      <w:r>
        <w:t xml:space="preserve"> </w:t>
      </w:r>
      <w:r>
        <w:t xml:space="preserve">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indicator hierarchy itself.</w:t>
      </w:r>
    </w:p>
    <w:tbl>
      <w:tblPr>
        <w:tblStyle w:val="Table"/>
        <w:tblW w:type="pct" w:w="5000"/>
        <w:tblLayout w:type="fixed"/>
        <w:tblLook w:firstRow="0" w:lastRow="0" w:firstColumn="0" w:lastColumn="0" w:noHBand="0" w:noVBand="0" w:val="0000"/>
      </w:tblPr>
      <w:tblGrid>
        <w:gridCol w:w="7920"/>
      </w:tblGrid>
      <w:tr>
        <w:tc>
          <w:tcPr/>
          <w:bookmarkStart w:id="49" w:name="tbl-preferred-estimates"/>
          <w:p>
            <w:pPr>
              <w:jc w:val="center"/>
            </w:pPr>
            <w:pPr>
              <w:jc w:val="start"/>
              <w:spacing w:before="200"/>
              <w:pStyle w:val="ImageCaption"/>
            </w:pPr>
            <w:r>
              <w:t xml:space="preserve">Table 5: Preferred prevalence estimates for the five binary ILO-aligned indicators (UK migrant domestic workers connected to participating civil-society networks;</w:t>
            </w:r>
            <w:r>
              <w:t xml:space="preserve"> </w:t>
            </w:r>
            <m:oMath>
              <m:r>
                <m:t>N</m:t>
              </m:r>
            </m:oMath>
            <w:r>
              <w:t xml:space="preserve"> </w:t>
            </w:r>
            <w:r>
              <w:t xml:space="preserve">= 980,000 assumed for absolute counts). RDS-SS columns from neighbourhood-bootstrap 95% CIs (</w:t>
            </w:r>
            <m:oMath>
              <m:r>
                <m:t>B</m:t>
              </m:r>
            </m:oMath>
            <w:r>
              <w:t xml:space="preserve"> </w:t>
            </w:r>
            <w:r>
              <w:t xml:space="preserve">= 1000); MBSU NSUM (Moderate:</w:t>
            </w:r>
            <w:r>
              <w:t xml:space="preserve"> </w:t>
            </w:r>
            <m:oMath>
              <m:r>
                <m:t>δ</m:t>
              </m:r>
            </m:oMath>
            <w:r>
              <w:t xml:space="preserve"> </w:t>
            </w:r>
            <w:r>
              <w:t xml:space="preserve">= 0.9,</w:t>
            </w:r>
            <w:r>
              <w:t xml:space="preserve"> </w:t>
            </w:r>
            <m:oMath>
              <m:r>
                <m:t>τ</m:t>
              </m:r>
            </m:oMath>
            <w:r>
              <w:t xml:space="preserve"> </w:t>
            </w:r>
            <w:r>
              <w:t xml:space="preserve">= 0.85) columns from neighbourhood-bootstrap 95% CIs. Source: Authors’ own work.</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jc w:val="center"/>
                  </w:pPr>
                  <w:r>
                    <w:rPr>
                      <w:b/>
                      <w:bCs/>
                    </w:rPr>
                    <w:t xml:space="preserve">Indicator</w:t>
                  </w:r>
                </w:p>
              </w:tc>
              <w:tc>
                <w:tcPr/>
                <w:p>
                  <w:pPr>
                    <w:pStyle w:val="Compact"/>
                    <w:jc w:val="center"/>
                  </w:pPr>
                  <w:r>
                    <w:rPr>
                      <w:b/>
                      <w:bCs/>
                    </w:rPr>
                    <w:t xml:space="preserve">RDS-SS (95% CI)</w:t>
                  </w:r>
                </w:p>
              </w:tc>
              <w:tc>
                <w:tcPr/>
                <w:p>
                  <w:pPr>
                    <w:pStyle w:val="Compact"/>
                    <w:jc w:val="center"/>
                  </w:pPr>
                  <w:r>
                    <w:rPr>
                      <w:b/>
                      <w:bCs/>
                    </w:rPr>
                    <w:t xml:space="preserve">MBSU NSUM (Moderate) (95% CI)</w:t>
                  </w:r>
                </w:p>
              </w:tc>
            </w:tr>
            <w:tr>
              <w:tc>
                <w:tcPr/>
                <w:p>
                  <w:pPr>
                    <w:pStyle w:val="Compact"/>
                    <w:jc w:val="center"/>
                  </w:pPr>
                  <w:r>
                    <w:t xml:space="preserve">Document withholding</w:t>
                  </w:r>
                </w:p>
              </w:tc>
              <w:tc>
                <w:tcPr/>
                <w:p>
                  <w:pPr>
                    <w:pStyle w:val="Compact"/>
                    <w:jc w:val="center"/>
                  </w:pPr>
                  <w:r>
                    <w:t xml:space="preserve">35.4% (21.1–49.8%)</w:t>
                  </w:r>
                </w:p>
              </w:tc>
              <w:tc>
                <w:tcPr/>
                <w:p>
                  <w:pPr>
                    <w:pStyle w:val="Compact"/>
                    <w:jc w:val="center"/>
                  </w:pPr>
                  <w:r>
                    <w:t xml:space="preserve">1.08% (0.30–3.13%)</w:t>
                  </w:r>
                </w:p>
              </w:tc>
            </w:tr>
            <w:tr>
              <w:tc>
                <w:tcPr/>
                <w:p>
                  <w:pPr>
                    <w:pStyle w:val="Compact"/>
                    <w:jc w:val="center"/>
                  </w:pPr>
                  <w:r>
                    <w:t xml:space="preserve">Threats and abuse</w:t>
                  </w:r>
                </w:p>
              </w:tc>
              <w:tc>
                <w:tcPr/>
                <w:p>
                  <w:pPr>
                    <w:pStyle w:val="Compact"/>
                    <w:jc w:val="center"/>
                  </w:pPr>
                  <w:r>
                    <w:t xml:space="preserve">56.9% (42.3–72.1%)</w:t>
                  </w:r>
                </w:p>
              </w:tc>
              <w:tc>
                <w:tcPr/>
                <w:p>
                  <w:pPr>
                    <w:pStyle w:val="Compact"/>
                    <w:jc w:val="center"/>
                  </w:pPr>
                  <w:r>
                    <w:t xml:space="preserve">2.69% (1.86–5.86%)</w:t>
                  </w:r>
                </w:p>
              </w:tc>
            </w:tr>
            <w:tr>
              <w:tc>
                <w:tcPr/>
                <w:p>
                  <w:pPr>
                    <w:pStyle w:val="Compact"/>
                    <w:jc w:val="center"/>
                  </w:pPr>
                  <w:r>
                    <w:t xml:space="preserve">Pay-related issues</w:t>
                  </w:r>
                </w:p>
              </w:tc>
              <w:tc>
                <w:tcPr/>
                <w:p>
                  <w:pPr>
                    <w:pStyle w:val="Compact"/>
                    <w:jc w:val="center"/>
                  </w:pPr>
                  <w:r>
                    <w:t xml:space="preserve">51.6% (36.5–65.5%)</w:t>
                  </w:r>
                </w:p>
              </w:tc>
              <w:tc>
                <w:tcPr/>
                <w:p>
                  <w:pPr>
                    <w:pStyle w:val="Compact"/>
                    <w:jc w:val="center"/>
                  </w:pPr>
                  <w:r>
                    <w:t xml:space="preserve">2.88% (1.90–5.68%)</w:t>
                  </w:r>
                </w:p>
              </w:tc>
            </w:tr>
            <w:tr>
              <w:tc>
                <w:tcPr/>
                <w:p>
                  <w:pPr>
                    <w:pStyle w:val="Compact"/>
                    <w:jc w:val="center"/>
                  </w:pPr>
                  <w:r>
                    <w:t xml:space="preserve">Excessive working hours</w:t>
                  </w:r>
                </w:p>
              </w:tc>
              <w:tc>
                <w:tcPr/>
                <w:p>
                  <w:pPr>
                    <w:pStyle w:val="Compact"/>
                    <w:jc w:val="center"/>
                  </w:pPr>
                  <w:r>
                    <w:t xml:space="preserve">84.2% (72.2–93.6%)</w:t>
                  </w:r>
                </w:p>
              </w:tc>
              <w:tc>
                <w:tcPr/>
                <w:p>
                  <w:pPr>
                    <w:pStyle w:val="Compact"/>
                    <w:jc w:val="center"/>
                  </w:pPr>
                  <w:r>
                    <w:t xml:space="preserve">2.98% (1.84–5.51%)</w:t>
                  </w:r>
                </w:p>
              </w:tc>
            </w:tr>
            <w:tr>
              <w:tc>
                <w:tcPr/>
                <w:p>
                  <w:pPr>
                    <w:pStyle w:val="Compact"/>
                    <w:jc w:val="center"/>
                  </w:pPr>
                  <w:r>
                    <w:t xml:space="preserve">Limited access to help</w:t>
                  </w:r>
                </w:p>
              </w:tc>
              <w:tc>
                <w:tcPr/>
                <w:p>
                  <w:pPr>
                    <w:pStyle w:val="Compact"/>
                    <w:jc w:val="center"/>
                  </w:pPr>
                  <w:r>
                    <w:t xml:space="preserve">60.6% (45.2–74.1%)</w:t>
                  </w:r>
                </w:p>
              </w:tc>
              <w:tc>
                <w:tcPr/>
                <w:p>
                  <w:pPr>
                    <w:pStyle w:val="Compact"/>
                    <w:jc w:val="center"/>
                  </w:pPr>
                  <w:r>
                    <w:t xml:space="preserve">2.03% (0.67–4.88%)</w:t>
                  </w:r>
                </w:p>
              </w:tc>
            </w:tr>
          </w:tbl>
          <w:bookmarkEnd w:id="4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 w:name="fig-ma-binary"/>
          <w:p>
            <w:pPr>
              <w:pStyle w:val="Compact"/>
              <w:jc w:val="center"/>
            </w:pPr>
            <w:r>
              <w:drawing>
                <wp:inline>
                  <wp:extent cx="5334000" cy="3333750"/>
                  <wp:effectExtent b="0" l="0" r="0" t="0"/>
                  <wp:docPr descr="" title="" id="51" name="Picture"/>
                  <a:graphic>
                    <a:graphicData uri="http://schemas.openxmlformats.org/drawingml/2006/picture">
                      <pic:pic>
                        <pic:nvPicPr>
                          <pic:cNvPr descr="figures/image4.png" id="52" name="Picture"/>
                          <pic:cNvPicPr>
                            <a:picLocks noChangeArrowheads="1" noChangeAspect="1"/>
                          </pic:cNvPicPr>
                        </pic:nvPicPr>
                        <pic:blipFill>
                          <a:blip r:embed="rId5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w:t>
            </w:r>
            <w:r>
              <w:t xml:space="preserve"> </w:t>
            </w:r>
            <w:r>
              <w:t xml:space="preserve">(Gile &amp; Handcock, 2015)</w:t>
            </w:r>
            <w:r>
              <w:t xml:space="preserve"> </w:t>
            </w:r>
            <w:r>
              <w:t xml:space="preserve">at N=50,000 with seed.selection=</w:t>
            </w:r>
            <w:r>
              <w:t xml:space="preserve">‘degree’</w:t>
            </w:r>
            <w:r>
              <w:t xml:space="preserve">. Source: Authors’ own work.</w:t>
            </w:r>
          </w:p>
          <w:bookmarkEnd w:id="53"/>
        </w:tc>
      </w:tr>
    </w:tbl>
    <w:bookmarkEnd w:id="54"/>
    <w:bookmarkStart w:id="55" w:name="sec-supporting-estimates"/>
    <w:p>
      <w:pPr>
        <w:pStyle w:val="Heading2"/>
      </w:pPr>
      <w:r>
        <w:t xml:space="preserve">4.4 Supporting Estimates and Method Comparison</w:t>
      </w:r>
    </w:p>
    <w:p>
      <w:pPr>
        <w:pStyle w:val="FirstParagraph"/>
      </w:pPr>
      <w:r>
        <w:t xml:space="preserve">Three additional families of estimates are reported in full in ESM_4 Section B (Supporting Estimates and Method Comparison) for transparency and robustness: (a) The five relevant Bayesian Model-Assisted estimates (MA-RDS) posterior means in ESM_4 Table 3 range from 34.1% for document withholding to 84.0% for excessive working hours, and reproduce the RDS-SS ordering in Table 5. (b) Direct comparison of RDS-I and RDS-SS estimators for each indicator with per-method bootstrap 95% CIs (ESM_4</w:t>
      </w:r>
      <w:r>
        <w:t xml:space="preserve"> </w:t>
      </w:r>
      <w:hyperlink w:anchor="tbl-rds-diagnostics">
        <w:r>
          <w:rPr>
            <w:rStyle w:val="Hyperlink"/>
          </w:rPr>
          <w:t xml:space="preserve">Table 4</w:t>
        </w:r>
      </w:hyperlink>
      <w:r>
        <w:t xml:space="preserve">);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 xml:space="preserve">Section 4.1.1</w:t>
        </w:r>
      </w:hyperlink>
      <w:r>
        <w:t xml:space="preserve">). (c) NSUM under the three discrete adjustment-factor tiers (Unadjusted, Moderate, Conservative; ESM_4</w:t>
      </w:r>
      <w:r>
        <w:t xml:space="preserve"> </w:t>
      </w:r>
      <w:hyperlink w:anchor="tbl-preferred-estimates">
        <w:r>
          <w:rPr>
            <w:rStyle w:val="Hyperlink"/>
          </w:rPr>
          <w:t xml:space="preserve">Table 5</w:t>
        </w:r>
      </w:hyperlink>
      <w:r>
        <w:t xml:space="preserve">), presented for direct comparison with the discrete-tier NSUM literature. The substantive headline NSUM result is the continuous-</w:t>
      </w:r>
      <m:oMath>
        <m:r>
          <m:t>τ</m:t>
        </m:r>
      </m:oMath>
      <w:r>
        <w:t xml:space="preserve"> </w:t>
      </w:r>
      <w:r>
        <w:t xml:space="preserve">sweep reported in</w:t>
      </w:r>
      <w:r>
        <w:t xml:space="preserve"> </w:t>
      </w:r>
      <w:hyperlink w:anchor="sec-sensitivity">
        <w:r>
          <w:rPr>
            <w:rStyle w:val="Hyperlink"/>
          </w:rPr>
          <w:t xml:space="preserve">Section 4.5</w:t>
        </w:r>
      </w:hyperlink>
      <w:r>
        <w:t xml:space="preserve">.</w:t>
      </w:r>
    </w:p>
    <w:bookmarkEnd w:id="55"/>
    <w:bookmarkStart w:id="56" w:name="sec-sensitivity"/>
    <w:p>
      <w:pPr>
        <w:pStyle w:val="Heading2"/>
      </w:pPr>
      <w:r>
        <w:t xml:space="preserve">4.5 Sensitivity and Robustness</w:t>
      </w:r>
    </w:p>
    <w:p>
      <w:pPr>
        <w:pStyle w:val="FirstParagraph"/>
      </w:pPr>
      <w:r>
        <w:t xml:space="preserve">Three sensitivity analyses are reported in full in ESM_4. First, the continuous-</w:t>
      </w:r>
      <m:oMath>
        <m:r>
          <m:t>τ</m:t>
        </m:r>
      </m:oMath>
      <w:r>
        <w:t xml:space="preserve"> </w:t>
      </w:r>
      <w:r>
        <w:t xml:space="preserve">NSUM sweep (ESM_4</w:t>
      </w:r>
      <w:r>
        <w:t xml:space="preserve"> </w:t>
      </w:r>
      <w:hyperlink w:anchor="fig-recruitment">
        <w:r>
          <w:rPr>
            <w:rStyle w:val="Hyperlink"/>
          </w:rPr>
          <w:t xml:space="preserve">Figure 1</w:t>
        </w:r>
      </w:hyperlink>
      <w:r>
        <w:t xml:space="preserve">)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w:t>
      </w:r>
      <w:hyperlink w:anchor="sec-supporting-estimates">
        <w:r>
          <w:rPr>
            <w:rStyle w:val="Hyperlink"/>
          </w:rPr>
          <w:t xml:space="preserve">Section 4.4</w:t>
        </w:r>
      </w:hyperlink>
      <w:r>
        <w:t xml:space="preserve">) for substantive inference about how visibility assumptions affect estimates.</w:t>
      </w:r>
    </w:p>
    <w:p>
      <w:pPr>
        <w:pStyle w:val="BodyText"/>
      </w:pPr>
      <w:r>
        <w:t xml:space="preserve">Second, the MA-RDS seed-selection sensitivity (ESM_4</w:t>
      </w:r>
      <w:r>
        <w:t xml:space="preserve"> </w:t>
      </w:r>
      <w:hyperlink w:anchor="fig-rds-diagnostics">
        <w:r>
          <w:rPr>
            <w:rStyle w:val="Hyperlink"/>
          </w:rPr>
          <w:t xml:space="preserve">Figure 2</w:t>
        </w:r>
      </w:hyperlink>
      <w:r>
        <w:t xml:space="preserve">)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6"/>
    <w:bookmarkEnd w:id="57"/>
    <w:bookmarkStart w:id="64" w:name="sec-discussion"/>
    <w:p>
      <w:pPr>
        <w:pStyle w:val="Heading1"/>
      </w:pPr>
      <w:r>
        <w:t xml:space="preserve">5. Discussion</w:t>
      </w:r>
    </w:p>
    <w:bookmarkStart w:id="58" w:name="sec-summary"/>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58"/>
    <w:bookmarkStart w:id="59" w:name="sec-contributions"/>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Second, we operationalise modern slavery as a graded formative indicator framework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w:t>
      </w:r>
      <w:hyperlink w:anchor="sec-binary-results">
        <w:r>
          <w:rPr>
            <w:rStyle w:val="Hyperlink"/>
          </w:rPr>
          <w:t xml:space="preserve">Section 4.3</w:t>
        </w:r>
      </w:hyperlink>
      <w:r>
        <w:t xml:space="preserve">) and as a formative additive composite spanning all eleven ILO categories (</w:t>
      </w:r>
      <w:hyperlink w:anchor="sec-composite-results">
        <w:r>
          <w:rPr>
            <w:rStyle w:val="Hyperlink"/>
          </w:rPr>
          <w:t xml:space="preserve">Section 4.2</w:t>
        </w:r>
      </w:hyperlink>
      <w:r>
        <w:t xml:space="preserve">); (ii) applying RDS and NSUM to the same instrument, exposing the visibility gradient where the two methods diverge (</w:t>
      </w:r>
      <w:hyperlink w:anchor="sec-divergence">
        <w:r>
          <w:rPr>
            <w:rStyle w:val="Hyperlink"/>
          </w:rPr>
          <w:t xml:space="preserve">Section 5.3</w:t>
        </w:r>
      </w:hyperlink>
      <w:r>
        <w:t xml:space="preserve">);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 xml:space="preserve">Section 5.6</w:t>
        </w:r>
      </w:hyperlink>
      <w:r>
        <w:t xml:space="preserve">).</w:t>
      </w:r>
    </w:p>
    <w:p>
      <w:pPr>
        <w:pStyle w:val="BodyText"/>
      </w:pPr>
      <w:r>
        <w:t xml:space="preserve">The paper’s measurement strategy can be evaluated against five complementary validation channels. (1)</w:t>
      </w:r>
      <w:r>
        <w:t xml:space="preserve"> </w:t>
      </w:r>
      <w:r>
        <w:rPr>
          <w:i/>
          <w:iCs/>
        </w:rPr>
        <w:t xml:space="preserve">Content validity:</w:t>
      </w:r>
      <w:r>
        <w:t xml:space="preserve"> </w:t>
      </w:r>
      <w:r>
        <w:t xml:space="preserve">the indicator set is anchored in the ILO</w:t>
      </w:r>
      <w:r>
        <w:t xml:space="preserve"> </w:t>
      </w:r>
      <w:r>
        <w:t xml:space="preserve">(2012; 2017)</w:t>
      </w:r>
      <w:r>
        <w:t xml:space="preserve"> </w:t>
      </w:r>
      <w:r>
        <w:t xml:space="preserve">framework of forced labour, with the mapping from indicator to survey question documented in</w:t>
      </w:r>
      <w:r>
        <w:t xml:space="preserve"> </w:t>
      </w:r>
      <w:hyperlink w:anchor="sec-survey-instrument">
        <w:r>
          <w:rPr>
            <w:rStyle w:val="Hyperlink"/>
          </w:rPr>
          <w:t xml:space="preserve">Section 3.2</w:t>
        </w:r>
      </w:hyperlink>
      <w:r>
        <w:t xml:space="preserve"> </w:t>
      </w:r>
      <w:r>
        <w:t xml:space="preserve">(</w:t>
      </w:r>
      <w:hyperlink w:anchor="tbl-indicator-mapping">
        <w:r>
          <w:rPr>
            <w:rStyle w:val="Hyperlink"/>
          </w:rPr>
          <w:t xml:space="preserve">Table 1</w:t>
        </w:r>
      </w:hyperlink>
      <w:r>
        <w:t xml:space="preserve">) and ESM_1. (2)</w:t>
      </w:r>
      <w:r>
        <w:t xml:space="preserve"> </w:t>
      </w:r>
      <w:r>
        <w:rPr>
          <w:i/>
          <w:iCs/>
        </w:rPr>
        <w:t xml:space="preserve">Face validity:</w:t>
      </w:r>
      <w:r>
        <w:t xml:space="preserve"> </w:t>
      </w:r>
      <w:r>
        <w:t xml:space="preserve">the survey instrument was co-developed with the participating civil-society organisations (Kalayaan and the Latin American Women’s Rights Service), whose case-work practice informed item wording and indicator coverage. (3)</w:t>
      </w:r>
      <w:r>
        <w:t xml:space="preserve"> </w:t>
      </w:r>
      <w:r>
        <w:rPr>
          <w:i/>
          <w:iCs/>
        </w:rPr>
        <w:t xml:space="preserve">Convergent and diagnostic validity:</w:t>
      </w:r>
      <w:r>
        <w:t xml:space="preserve"> </w:t>
      </w:r>
      <w:r>
        <w:t xml:space="preserve">the four estimators target related-but-distinct population quantities and nonetheless reproduce the same within-method ordering of indicators across methodologically unrelated approaches (</w:t>
      </w:r>
      <w:hyperlink w:anchor="sec-sensitivity">
        <w:r>
          <w:rPr>
            <w:rStyle w:val="Hyperlink"/>
          </w:rPr>
          <w:t xml:space="preserve">Section 4.5</w:t>
        </w:r>
      </w:hyperlink>
      <w:r>
        <w:t xml:space="preserve">); the order-of-magnitude divergence in absolute level between RDS and NSUM, by contrast, has diagnostic rather than convergent value, telling us about the visibility structure of each behaviour (</w:t>
      </w:r>
      <w:hyperlink w:anchor="sec-divergence">
        <w:r>
          <w:rPr>
            <w:rStyle w:val="Hyperlink"/>
          </w:rPr>
          <w:t xml:space="preserve">Section 5.3</w:t>
        </w:r>
      </w:hyperlink>
      <w:r>
        <w:t xml:space="preserve">). (4)</w:t>
      </w:r>
      <w:r>
        <w:t xml:space="preserve"> </w:t>
      </w:r>
      <w:r>
        <w:rPr>
          <w:i/>
          <w:iCs/>
        </w:rPr>
        <w:t xml:space="preserve">Robustness:</w:t>
      </w:r>
      <w:r>
        <w:t xml:space="preserve"> </w:t>
      </w:r>
      <w:r>
        <w:t xml:space="preserve">the composite-risk ranking is essentially weight-invariant under</w:t>
      </w:r>
      <w:r>
        <w:t xml:space="preserve"> </w:t>
      </w:r>
      <m:oMath>
        <m:r>
          <m:rPr>
            <m:sty m:val="p"/>
          </m:rPr>
          <m:t>±</m:t>
        </m:r>
        <m:r>
          <m:t>50</m:t>
        </m:r>
        <m:r>
          <m:rPr>
            <m:sty m:val="p"/>
          </m:rPr>
          <m:t>%</m:t>
        </m:r>
      </m:oMath>
      <w:r>
        <w:t xml:space="preserve"> </w:t>
      </w:r>
      <w:r>
        <w:t xml:space="preserve">perturbation of the eleven sub-indicator weights (</w:t>
      </w:r>
      <w:hyperlink w:anchor="sec-weights-sensitivity">
        <w:r>
          <w:rPr>
            <w:rStyle w:val="Hyperlink"/>
          </w:rPr>
          <w:t xml:space="preserve">Section 5.5</w:t>
        </w:r>
      </w:hyperlink>
      <w:r>
        <w:t xml:space="preserve">; Spearman</w:t>
      </w:r>
      <w:r>
        <w:t xml:space="preserve"> </w:t>
      </w:r>
      <m:oMath>
        <m:r>
          <m:t>ρ</m:t>
        </m:r>
        <m:r>
          <m:rPr>
            <m:sty m:val="p"/>
          </m:rPr>
          <m:t>=</m:t>
        </m:r>
        <m:r>
          <m:t>0.992</m:t>
        </m:r>
      </m:oMath>
      <w:r>
        <w:t xml:space="preserve">), and the headline NSUM estimates are reported as a continuous function of the unknown true-positive rate</w:t>
      </w:r>
      <w:r>
        <w:t xml:space="preserve"> </w:t>
      </w:r>
      <m:oMath>
        <m:r>
          <m:t>τ</m:t>
        </m:r>
      </m:oMath>
      <w:r>
        <w:t xml:space="preserve"> </w:t>
      </w:r>
      <w:r>
        <w:t xml:space="preserve">rather than committing to a single point (</w:t>
      </w:r>
      <w:hyperlink w:anchor="sec-sensitivity">
        <w:r>
          <w:rPr>
            <w:rStyle w:val="Hyperlink"/>
          </w:rPr>
          <w:t xml:space="preserve">Section 4.5</w:t>
        </w:r>
      </w:hyperlink>
      <w:r>
        <w:t xml:space="preserve">). (5)</w:t>
      </w:r>
      <w:r>
        <w:t xml:space="preserve"> </w:t>
      </w:r>
      <w:r>
        <w:rPr>
          <w:i/>
          <w:iCs/>
        </w:rPr>
        <w:t xml:space="preserve">Limitation:</w:t>
      </w:r>
      <w:r>
        <w:t xml:space="preserve"> </w:t>
      </w:r>
      <w:r>
        <w:t xml:space="preserve">the strategy does not yet include external validation against administrative data sources (NRM referrals, employment-tribunal records); we identify this as the natural next step in the broader SDG 8.7 monitoring architecture (</w:t>
      </w:r>
      <w:hyperlink w:anchor="sec-policy">
        <w:r>
          <w:rPr>
            <w:rStyle w:val="Hyperlink"/>
          </w:rPr>
          <w:t xml:space="preserve">Section 5.6</w:t>
        </w:r>
      </w:hyperlink>
      <w:r>
        <w:t xml:space="preserve">).</w:t>
      </w:r>
    </w:p>
    <w:bookmarkEnd w:id="59"/>
    <w:bookmarkStart w:id="60" w:name="sec-divergence"/>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The apparent</w:t>
      </w:r>
      <w:r>
        <w:t xml:space="preserve"> </w:t>
      </w:r>
      <w:r>
        <w:t xml:space="preserve">“wide range”</w:t>
      </w:r>
      <w:r>
        <w:t xml:space="preserve"> </w:t>
      </w:r>
      <w:r>
        <w:t xml:space="preserve">reflects three conceptually distinct sources of dispersion, each carrying a different epistemic status; and on the only one where sample size matters, n = 85 is competitive for hidden-population designs.</w:t>
      </w:r>
    </w:p>
    <w:p>
      <w:pPr>
        <w:pStyle w:val="BodyText"/>
      </w:pPr>
      <w:r>
        <w:rPr>
          <w:i/>
          <w:iCs/>
        </w:rPr>
        <w:t xml:space="preserve">Across-indicator variation.</w:t>
      </w:r>
      <w:r>
        <w:t xml:space="preserve"> </w:t>
      </w:r>
      <w:r>
        <w:t xml:space="preserve">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are less common in this population than less severe forms of abuse (excessive hours, ILO medium). The hierarchy is interpretable, matches the ILO severity gradation, and is reproduced across methods. Collapsing this hierarchy into a single</w:t>
      </w:r>
      <w:r>
        <w:t xml:space="preserve"> </w:t>
      </w:r>
      <w:r>
        <w:t xml:space="preserve">“wide range”</w:t>
      </w:r>
      <w:r>
        <w:t xml:space="preserve"> </w:t>
      </w:r>
      <w:r>
        <w:t xml:space="preserve">headline obscures what is arguably the paper’s most policy-relevant finding: different exploitation behaviours have meaningfully different population frequencies.</w:t>
      </w:r>
    </w:p>
    <w:p>
      <w:pPr>
        <w:pStyle w:val="BodyText"/>
      </w:pPr>
      <w:r>
        <w:rPr>
          <w:i/>
          <w:iCs/>
        </w:rPr>
        <w:t xml:space="preserve">Across-method variation.</w:t>
      </w:r>
      <w:r>
        <w:t xml:space="preserve"> </w:t>
      </w:r>
      <w:r>
        <w:t xml:space="preserve">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w:t>
      </w:r>
      <w:r>
        <w:t xml:space="preserve"> </w:t>
      </w:r>
      <w:r>
        <w:rPr>
          <w:i/>
          <w:iCs/>
        </w:rPr>
        <w:t xml:space="preserve">quantifies</w:t>
      </w:r>
      <w:r>
        <w:t xml:space="preserve"> </w:t>
      </w:r>
      <w:r>
        <w:t xml:space="preserve">visibility, because the divergence also reflects differences in estimand (</w:t>
      </w:r>
      <w:hyperlink w:anchor="tbl-estimands">
        <w:r>
          <w:rPr>
            <w:rStyle w:val="Hyperlink"/>
          </w:rPr>
          <w:t xml:space="preserve">Table 3</w:t>
        </w:r>
      </w:hyperlink>
      <w:r>
        <w:t xml:space="preserve">),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ESM_4 makes explicit). Reporting RDS and NSUM side-by-side (</w:t>
      </w:r>
      <w:hyperlink w:anchor="tbl-preferred-estimates">
        <w:r>
          <w:rPr>
            <w:rStyle w:val="Hyperlink"/>
          </w:rPr>
          <w:t xml:space="preserve">Table 5</w:t>
        </w:r>
      </w:hyperlink>
      <w:r>
        <w:t xml:space="preserve">) is the paper’s design choice precisely because the gap is interpretable as diagnostic evidence rather than as a single estimate of a single quantity.</w:t>
      </w:r>
    </w:p>
    <w:p>
      <w:pPr>
        <w:pStyle w:val="BodyText"/>
      </w:pPr>
      <w:r>
        <w:rPr>
          <w:i/>
          <w:iCs/>
        </w:rPr>
        <w:t xml:space="preserve">Within-method, within-indicator sampling variation.</w:t>
      </w:r>
      <w:r>
        <w:t xml:space="preserve"> </w:t>
      </w:r>
      <w:r>
        <w:t xml:space="preserve">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w:t>
      </w:r>
      <w:r>
        <w:t xml:space="preserve"> </w:t>
      </w:r>
      <m:oMath>
        <m:r>
          <m:t>τ</m:t>
        </m:r>
      </m:oMath>
      <w:r>
        <w:t xml:space="preserve">, reported as the continuous-</w:t>
      </w:r>
      <m:oMath>
        <m:r>
          <m:t>τ</m:t>
        </m:r>
      </m:oMath>
      <w:r>
        <w:t xml:space="preserve"> </w:t>
      </w:r>
      <w:r>
        <w:t xml:space="preserve">sweep in ESM_4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ego/alter ratio 33</w:t>
      </w:r>
      <m:oMath>
        <m:r>
          <m:rPr>
            <m:sty m:val="p"/>
          </m:rPr>
          <m:t>×</m:t>
        </m:r>
      </m:oMath>
      <w:r>
        <w:t xml:space="preserve">) and smaller for more visible indicators (excessive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w:t>
      </w:r>
      <w:r>
        <w:t xml:space="preserve"> </w:t>
      </w:r>
      <w:r>
        <w:t xml:space="preserve">(Feehan &amp; Salganik, 2016; Killworth et al., 1998; Maltiel et al., 2015)</w:t>
      </w:r>
      <w:r>
        <w:t xml:space="preserve">,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 xml:space="preserve">Section 4.1.1</w:t>
        </w:r>
      </w:hyperlink>
      <w:r>
        <w:t xml:space="preserve">); a longer field period would help in future replications.</w:t>
      </w:r>
    </w:p>
    <w:bookmarkEnd w:id="60"/>
    <w:bookmarkStart w:id="61" w:name="sec-generalisability"/>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(ESM_1,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Putting these qualifications together, what does this design licence the paper to claim? The four estimators (RDS-SS, MA-RDS, MBSU Moderate NSUM, the composite risk index) each yield point estimates, but each targets a</w:t>
      </w:r>
      <w:r>
        <w:t xml:space="preserve"> </w:t>
      </w:r>
      <w:r>
        <w:rPr>
          <w:i/>
          <w:iCs/>
        </w:rPr>
        <w:t xml:space="preserve">different</w:t>
      </w:r>
      <w:r>
        <w:t xml:space="preserve"> </w:t>
      </w:r>
      <w:r>
        <w:t xml:space="preserve">population quantity (</w:t>
      </w:r>
      <w:hyperlink w:anchor="tbl-estimands">
        <w:r>
          <w:rPr>
            <w:rStyle w:val="Hyperlink"/>
          </w:rPr>
          <w:t xml:space="preserve">Table 3</w:t>
        </w:r>
      </w:hyperlink>
      <w:r>
        <w:t xml:space="preserve">): own-experience prevalence, network-visible prevalence, and severity score. No single estimate is identified</w:t>
      </w:r>
      <w:r>
        <w:t xml:space="preserve"> </w:t>
      </w:r>
      <w:r>
        <w:rPr>
          <w:i/>
          <w:iCs/>
        </w:rPr>
        <w:t xml:space="preserve">as</w:t>
      </w:r>
      <w:r>
        <w:t xml:space="preserve"> </w:t>
      </w:r>
      <w:r>
        <w:t xml:space="preserve">‘the prevalence of forced labour among UK domestic workers’</w:t>
      </w:r>
      <w:r>
        <w:t xml:space="preserve">,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w:t>
      </w:r>
      <w:r>
        <w:t xml:space="preserve"> </w:t>
      </w:r>
      <m:oMath>
        <m:r>
          <m:t>δ</m:t>
        </m:r>
        <m:r>
          <m:rPr>
            <m:sty m:val="p"/>
          </m:rPr>
          <m:t>=</m:t>
        </m:r>
        <m:r>
          <m:t>0.9</m:t>
        </m:r>
      </m:oMath>
      <w:r>
        <w:t xml:space="preserve">,</w:t>
      </w:r>
      <w:r>
        <w:t xml:space="preserve"> </w:t>
      </w:r>
      <m:oMath>
        <m:r>
          <m:t>τ</m:t>
        </m:r>
        <m:r>
          <m:rPr>
            <m:sty m:val="p"/>
          </m:rPr>
          <m:t>=</m:t>
        </m:r>
        <m:r>
          <m:t>0.85</m:t>
        </m:r>
      </m:oMath>
      <w:r>
        <w:t xml:space="preserve">, sits on the conservative side of the continuous-</w:t>
      </w:r>
      <m:oMath>
        <m:r>
          <m:t>τ</m:t>
        </m:r>
      </m:oMath>
      <w:r>
        <w:t xml:space="preserve"> </w:t>
      </w:r>
      <w:r>
        <w:t xml:space="preserve">sweep in</w:t>
      </w:r>
      <w:r>
        <w:t xml:space="preserve"> </w:t>
      </w:r>
      <w:hyperlink w:anchor="sec-sensitivity">
        <w:r>
          <w:rPr>
            <w:rStyle w:val="Hyperlink"/>
          </w:rPr>
          <w:t xml:space="preserve">Section 4.5</w:t>
        </w:r>
      </w:hyperlink>
      <w:r>
        <w:t xml:space="preserve">); (b) a credible characterisation of relative incidence (from RDS) and the indicator severity hierarchy (from cross-method robustness); and (c) a visibility diagnostic for network-mediated outreach (</w:t>
      </w:r>
      <w:hyperlink w:anchor="sec-policy">
        <w:r>
          <w:rPr>
            <w:rStyle w:val="Hyperlink"/>
          </w:rPr>
          <w:t xml:space="preserve">Section 5.6</w:t>
        </w:r>
      </w:hyperlink>
      <w:r>
        <w:t xml:space="preserve">).</w:t>
      </w:r>
    </w:p>
    <w:bookmarkEnd w:id="61"/>
    <w:bookmarkStart w:id="62" w:name="sec-weights-sensitivity"/>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w:t>
      </w:r>
      <w:r>
        <w:t xml:space="preserve"> </w:t>
      </w:r>
      <w:hyperlink w:anchor="sec-survey-instrument">
        <w:r>
          <w:rPr>
            <w:rStyle w:val="Hyperlink"/>
          </w:rPr>
          <w:t xml:space="preserve">Section 3.2</w:t>
        </w:r>
      </w:hyperlink>
      <w:r>
        <w:t xml:space="preserve"> </w:t>
      </w:r>
      <w:r>
        <w:t xml:space="preserve">and ESM_1).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ESM_4.</w:t>
      </w:r>
    </w:p>
    <w:bookmarkEnd w:id="62"/>
    <w:bookmarkStart w:id="63" w:name="sec-policy"/>
    <w:p>
      <w:pPr>
        <w:pStyle w:val="Heading2"/>
      </w:pPr>
      <w:r>
        <w:t xml:space="preserve">5.6 Policy Implications and SDG 8.7 Monitoring</w:t>
      </w:r>
    </w:p>
    <w:p>
      <w:pPr>
        <w:pStyle w:val="FirstParagraph"/>
      </w:pPr>
      <w:r>
        <w:t xml:space="preserve">The dual RDS–NSUM design and the visibility-gradient diagnostic are themselves policy-useful outputs for SDG 8.7 monitoring. Target 8.7 commits 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pPr>
        <w:pStyle w:val="BodyText"/>
      </w:pPr>
      <w:r>
        <w:t xml:space="preserve">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pPr>
        <w:pStyle w:val="BodyText"/>
      </w:pPr>
      <w:r>
        <w:t xml:space="preserve">Future work should extend the methodology to web-RDS at scale and integrate with administrative data sources (NRM referrals, immigration enforcement data subject to firewall safeguards, employment-tribunal records) for triangulation against complementary data streams.</w:t>
      </w:r>
    </w:p>
    <w:bookmarkEnd w:id="63"/>
    <w:bookmarkEnd w:id="64"/>
    <w:bookmarkStart w:id="65" w:name="sec-conclusion"/>
    <w:p>
      <w:pPr>
        <w:pStyle w:val="Heading1"/>
      </w:pPr>
      <w:r>
        <w:t xml:space="preserve">6. 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two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anchored on the ILO medium/strong severity hierarchy.</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 xml:space="preserve">Section 5.3</w:t>
        </w:r>
      </w:hyperlink>
      <w:r>
        <w:t xml:space="preserve">). The policy implication is that network-mediated outreach can credibly reach exploitation behaviours visible across ties but requires complementary designs for those that are not (</w:t>
      </w:r>
      <w:hyperlink w:anchor="sec-policy">
        <w:r>
          <w:rPr>
            <w:rStyle w:val="Hyperlink"/>
          </w:rPr>
          <w:t xml:space="preserve">Section 5.6</w:t>
        </w:r>
      </w:hyperlink>
      <w:r>
        <w:t xml:space="preserve">).</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5"/>
    <w:bookmarkStart w:id="67" w:name="sec-declarations"/>
    <w:p>
      <w:pPr>
        <w:pStyle w:val="Heading1"/>
      </w:pPr>
      <w:r>
        <w:t xml:space="preserve">7. Declarations</w:t>
      </w:r>
    </w:p>
    <w:p>
      <w:pPr>
        <w:pStyle w:val="FirstParagraph"/>
      </w:pPr>
      <w:r>
        <w:rPr>
          <w:b/>
          <w:bCs/>
        </w:rPr>
        <w:t xml:space="preserve">Funding.</w:t>
      </w:r>
      <w:r>
        <w:t xml:space="preserve"> </w:t>
      </w:r>
      <w:r>
        <w:t xml:space="preserve">The authors received no specific funding for this work.</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The data collection that underpins the analysis presented in this paper was given favourable ethical approval by the lead author’s School Research Ethics Committee in January 2023. All participants were informed about the aims of the study, provided informed consent, and were assured that participation was voluntary and confidential.</w:t>
      </w:r>
    </w:p>
    <w:p>
      <w:pPr>
        <w:pStyle w:val="BodyText"/>
      </w:pPr>
      <w:r>
        <w:rPr>
          <w:b/>
          <w:bCs/>
        </w:rPr>
        <w:t xml:space="preserve">Data availability.</w:t>
      </w:r>
      <w:r>
        <w:t xml:space="preserve"> </w:t>
      </w:r>
      <w:r>
        <w:t xml:space="preserve">Anonymised respondent-level data and all analysis code are available at the project’s Open Science Framework mirror:</w:t>
      </w:r>
      <w:r>
        <w:t xml:space="preserve"> </w:t>
      </w:r>
      <w:hyperlink r:id="rId66">
        <w:r>
          <w:rPr>
            <w:rStyle w:val="Hyperlink"/>
          </w:rPr>
          <w:t xml:space="preserve">https://osf.io/vf5yb/overview?view_only=becc2db3b49c4b258015b648867bf208</w:t>
        </w:r>
      </w:hyperlink>
      <w:r>
        <w:t xml:space="preserve">.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67"/>
    <w:bookmarkStart w:id="116" w:name="references"/>
    <w:p>
      <w:pPr>
        <w:pStyle w:val="Heading1"/>
      </w:pPr>
      <w:r>
        <w:t xml:space="preserve">References</w:t>
      </w:r>
    </w:p>
    <w:bookmarkStart w:id="115" w:name="refs"/>
    <w:bookmarkStart w:id="68" w:name="ref-bern09-broken"/>
    <w:p>
      <w:pPr>
        <w:pStyle w:val="Bibliography"/>
      </w:pPr>
      <w:r>
        <w:t xml:space="preserve">Bernhardt, A., Milkman, R. T., &amp; N. (2009).</w:t>
      </w:r>
      <w:r>
        <w:t xml:space="preserve"> </w:t>
      </w:r>
      <w:r>
        <w:rPr>
          <w:i/>
          <w:iCs/>
        </w:rPr>
        <w:t xml:space="preserve">Broken laws, unprotected workers:</w:t>
      </w:r>
      <w:r>
        <w:rPr>
          <w:i/>
          <w:iCs/>
        </w:rPr>
        <w:t xml:space="preserve"> </w:t>
      </w:r>
      <w:r>
        <w:rPr>
          <w:i/>
          <w:iCs/>
        </w:rPr>
        <w:t xml:space="preserve">Violations</w:t>
      </w:r>
      <w:r>
        <w:rPr>
          <w:i/>
          <w:iCs/>
        </w:rPr>
        <w:t xml:space="preserve"> </w:t>
      </w:r>
      <w:r>
        <w:rPr>
          <w:i/>
          <w:iCs/>
        </w:rPr>
        <w:t xml:space="preserve">of employment and labor laws in america’s cities</w:t>
      </w:r>
      <w:r>
        <w:t xml:space="preserve"> </w:t>
      </w:r>
      <w:r>
        <w:t xml:space="preserve">[UCLA IRLE Report.].</w:t>
      </w:r>
    </w:p>
    <w:bookmarkEnd w:id="68"/>
    <w:bookmarkStart w:id="69"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69"/>
    <w:bookmarkStart w:id="71" w:name="ref-gile11-improved"/>
    <w:p>
      <w:pPr>
        <w:pStyle w:val="Bibliography"/>
      </w:pPr>
      <w:r>
        <w:t xml:space="preserve">Gile, K. J. (2011). Improved</w:t>
      </w:r>
      <w:r>
        <w:t xml:space="preserve"> </w:t>
      </w:r>
      <w:r>
        <w:t xml:space="preserve">Inference</w:t>
      </w:r>
      <w:r>
        <w:t xml:space="preserve"> </w:t>
      </w:r>
      <w:r>
        <w:t xml:space="preserve">for</w:t>
      </w:r>
      <w:r>
        <w:t xml:space="preserve"> </w:t>
      </w:r>
      <w:r>
        <w:t xml:space="preserve">Respondent-Driven Sampling Data With Application</w:t>
      </w:r>
      <w:r>
        <w:t xml:space="preserve"> </w:t>
      </w:r>
      <w:r>
        <w:t xml:space="preserve">to</w:t>
      </w:r>
      <w:r>
        <w:t xml:space="preserve"> </w:t>
      </w:r>
      <w:r>
        <w:t xml:space="preserve">HIV Prevalence Estimation</w:t>
      </w:r>
      <w:r>
        <w:t xml:space="preserve">.</w:t>
      </w:r>
      <w:r>
        <w:t xml:space="preserve"> </w:t>
      </w:r>
      <w:r>
        <w:rPr>
          <w:i/>
          <w:iCs/>
        </w:rPr>
        <w:t xml:space="preserve">Journal of the American Statistical Association</w:t>
      </w:r>
      <w:r>
        <w:t xml:space="preserve">,</w:t>
      </w:r>
      <w:r>
        <w:t xml:space="preserve"> </w:t>
      </w:r>
      <w:r>
        <w:rPr>
          <w:i/>
          <w:iCs/>
        </w:rPr>
        <w:t xml:space="preserve">106</w:t>
      </w:r>
      <w:r>
        <w:t xml:space="preserve">(493), 135–146.</w:t>
      </w:r>
      <w:r>
        <w:t xml:space="preserve"> </w:t>
      </w:r>
      <w:hyperlink r:id="rId70">
        <w:r>
          <w:rPr>
            <w:rStyle w:val="Hyperlink"/>
          </w:rPr>
          <w:t xml:space="preserve">https://doi.org/10.1198/jasa.2011.ap09475</w:t>
        </w:r>
      </w:hyperlink>
    </w:p>
    <w:bookmarkEnd w:id="71"/>
    <w:bookmarkStart w:id="73" w:name="ref-gile18-methods"/>
    <w:p>
      <w:pPr>
        <w:pStyle w:val="Bibliography"/>
      </w:pPr>
      <w:r>
        <w:t xml:space="preserve">Gile, K. J., Beaudry, I. S., Handcock, M. S., &amp; Ott, M. Q. (2018). Methods for inference from respondent-driven sampling data.</w:t>
      </w:r>
      <w:r>
        <w:t xml:space="preserve"> </w:t>
      </w:r>
      <w:r>
        <w:rPr>
          <w:i/>
          <w:iCs/>
        </w:rPr>
        <w:t xml:space="preserve">Annual Review of Statistics and Its Application</w:t>
      </w:r>
      <w:r>
        <w:t xml:space="preserve">,</w:t>
      </w:r>
      <w:r>
        <w:t xml:space="preserve"> </w:t>
      </w:r>
      <w:r>
        <w:rPr>
          <w:i/>
          <w:iCs/>
        </w:rPr>
        <w:t xml:space="preserve">5</w:t>
      </w:r>
      <w:r>
        <w:t xml:space="preserve">(1), 65–93.</w:t>
      </w:r>
      <w:r>
        <w:t xml:space="preserve"> </w:t>
      </w:r>
      <w:hyperlink r:id="rId72">
        <w:r>
          <w:rPr>
            <w:rStyle w:val="Hyperlink"/>
          </w:rPr>
          <w:t xml:space="preserve">https://doi.org/10.1146/annurev-statistics-031017-100704</w:t>
        </w:r>
      </w:hyperlink>
    </w:p>
    <w:bookmarkEnd w:id="73"/>
    <w:bookmarkStart w:id="74" w:name="ref-gile10-respondentdriven"/>
    <w:p>
      <w:pPr>
        <w:pStyle w:val="Bibliography"/>
      </w:pPr>
      <w:r>
        <w:t xml:space="preserve">Gile, K. J., &amp; Handcock, M. S. (2010). Respondent-</w:t>
      </w:r>
      <w:r>
        <w:t xml:space="preserve">Driven Sampling</w:t>
      </w:r>
      <w:r>
        <w:t xml:space="preserve">:</w:t>
      </w:r>
      <w:r>
        <w:t xml:space="preserve"> </w:t>
      </w:r>
      <w:r>
        <w:t xml:space="preserve">An Assessment</w:t>
      </w:r>
      <w:r>
        <w:t xml:space="preserve"> </w:t>
      </w:r>
      <w:r>
        <w:t xml:space="preserve">of</w:t>
      </w:r>
      <w:r>
        <w:t xml:space="preserve"> </w:t>
      </w:r>
      <w:r>
        <w:t xml:space="preserve">Current Methodology</w:t>
      </w:r>
      <w:r>
        <w:t xml:space="preserve">.</w:t>
      </w:r>
      <w:r>
        <w:t xml:space="preserve"> </w:t>
      </w:r>
      <w:r>
        <w:rPr>
          <w:i/>
          <w:iCs/>
        </w:rPr>
        <w:t xml:space="preserve">Sociological Methodology</w:t>
      </w:r>
      <w:r>
        <w:t xml:space="preserve">,</w:t>
      </w:r>
      <w:r>
        <w:t xml:space="preserve"> </w:t>
      </w:r>
      <w:r>
        <w:rPr>
          <w:i/>
          <w:iCs/>
        </w:rPr>
        <w:t xml:space="preserve">40</w:t>
      </w:r>
      <w:r>
        <w:t xml:space="preserve">, 285–327.</w:t>
      </w:r>
    </w:p>
    <w:bookmarkEnd w:id="74"/>
    <w:bookmarkStart w:id="76" w:name="ref-gile15-network"/>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75">
        <w:r>
          <w:rPr>
            <w:rStyle w:val="Hyperlink"/>
          </w:rPr>
          <w:t xml:space="preserve">https://doi.org/10.1111/rssa.12091</w:t>
        </w:r>
      </w:hyperlink>
    </w:p>
    <w:bookmarkEnd w:id="76"/>
    <w:bookmarkStart w:id="78" w:name="ref-goel10-assessing"/>
    <w:p>
      <w:pPr>
        <w:pStyle w:val="Bibliography"/>
      </w:pPr>
      <w:r>
        <w:t xml:space="preserve">Goel, S., &amp; Salganik, M. J. (2010). Assessing respondent-driven sampling.</w:t>
      </w:r>
      <w:r>
        <w:t xml:space="preserve"> </w:t>
      </w:r>
      <w:r>
        <w:rPr>
          <w:i/>
          <w:iCs/>
        </w:rPr>
        <w:t xml:space="preserve">Proceedings of the National Academy of Sciences</w:t>
      </w:r>
      <w:r>
        <w:t xml:space="preserve">,</w:t>
      </w:r>
      <w:r>
        <w:t xml:space="preserve"> </w:t>
      </w:r>
      <w:r>
        <w:rPr>
          <w:i/>
          <w:iCs/>
        </w:rPr>
        <w:t xml:space="preserve">107</w:t>
      </w:r>
      <w:r>
        <w:t xml:space="preserve">(15), 6743–6747.</w:t>
      </w:r>
      <w:r>
        <w:t xml:space="preserve"> </w:t>
      </w:r>
      <w:hyperlink r:id="rId77">
        <w:r>
          <w:rPr>
            <w:rStyle w:val="Hyperlink"/>
          </w:rPr>
          <w:t xml:space="preserve">https://doi.org/10.1073/pnas.1000261107</w:t>
        </w:r>
      </w:hyperlink>
    </w:p>
    <w:bookmarkEnd w:id="78"/>
    <w:bookmarkStart w:id="80" w:name="ref-hand14-estimating"/>
    <w:p>
      <w:pPr>
        <w:pStyle w:val="Bibliography"/>
      </w:pPr>
      <w:r>
        <w:t xml:space="preserve">Handcock, M. S., Gile, K. J., &amp; Mar, C. M. (2014). Estimating hidden population size using</w:t>
      </w:r>
      <w:r>
        <w:t xml:space="preserve"> </w:t>
      </w:r>
      <w:r>
        <w:t xml:space="preserve">Respondent-Driven Sampling</w:t>
      </w:r>
      <w:r>
        <w:t xml:space="preserve"> </w:t>
      </w:r>
      <w:r>
        <w:t xml:space="preserve">data.</w:t>
      </w:r>
      <w:r>
        <w:t xml:space="preserve"> </w:t>
      </w:r>
      <w:r>
        <w:rPr>
          <w:i/>
          <w:iCs/>
        </w:rPr>
        <w:t xml:space="preserve">Electronic Journal of Statistics</w:t>
      </w:r>
      <w:r>
        <w:t xml:space="preserve">,</w:t>
      </w:r>
      <w:r>
        <w:t xml:space="preserve"> </w:t>
      </w:r>
      <w:r>
        <w:rPr>
          <w:i/>
          <w:iCs/>
        </w:rPr>
        <w:t xml:space="preserve">8</w:t>
      </w:r>
      <w:r>
        <w:t xml:space="preserve">(1), 1491–1521.</w:t>
      </w:r>
      <w:r>
        <w:t xml:space="preserve"> </w:t>
      </w:r>
      <w:hyperlink r:id="rId79">
        <w:r>
          <w:rPr>
            <w:rStyle w:val="Hyperlink"/>
          </w:rPr>
          <w:t xml:space="preserve">https://doi.org/10.1214/14-EJS923</w:t>
        </w:r>
      </w:hyperlink>
    </w:p>
    <w:bookmarkEnd w:id="80"/>
    <w:bookmarkStart w:id="82" w:name="ref-heck97-respondentdriven"/>
    <w:p>
      <w:pPr>
        <w:pStyle w:val="Bibliography"/>
      </w:pPr>
      <w:r>
        <w:t xml:space="preserve">Heckathorn, D. D. (1997). Respondent-driven sampling:</w:t>
      </w:r>
      <w:r>
        <w:t xml:space="preserve"> </w:t>
      </w:r>
      <w:r>
        <w:t xml:space="preserve">A</w:t>
      </w:r>
      <w:r>
        <w:t xml:space="preserve"> </w:t>
      </w:r>
      <w:r>
        <w:t xml:space="preserve">new approach to the study of hidden populations.</w:t>
      </w:r>
      <w:r>
        <w:t xml:space="preserve"> </w:t>
      </w:r>
      <w:r>
        <w:rPr>
          <w:i/>
          <w:iCs/>
        </w:rPr>
        <w:t xml:space="preserve">Social Problems</w:t>
      </w:r>
      <w:r>
        <w:t xml:space="preserve">,</w:t>
      </w:r>
      <w:r>
        <w:t xml:space="preserve"> </w:t>
      </w:r>
      <w:r>
        <w:rPr>
          <w:i/>
          <w:iCs/>
        </w:rPr>
        <w:t xml:space="preserve">44</w:t>
      </w:r>
      <w:r>
        <w:t xml:space="preserve">(2), 174–199.</w:t>
      </w:r>
      <w:r>
        <w:t xml:space="preserve"> </w:t>
      </w:r>
      <w:hyperlink r:id="rId81">
        <w:r>
          <w:rPr>
            <w:rStyle w:val="Hyperlink"/>
          </w:rPr>
          <w:t xml:space="preserve">https://doi.org/10.2307/3096941</w:t>
        </w:r>
      </w:hyperlink>
    </w:p>
    <w:bookmarkEnd w:id="82"/>
    <w:bookmarkStart w:id="83" w:name="ref-heck11-comment"/>
    <w:p>
      <w:pPr>
        <w:pStyle w:val="Bibliography"/>
      </w:pPr>
      <w:r>
        <w:t xml:space="preserve">Heckathorn, D. D. (2011). Comment:</w:t>
      </w:r>
      <w:r>
        <w:t xml:space="preserve"> </w:t>
      </w:r>
      <w:r>
        <w:t xml:space="preserve">Snowball</w:t>
      </w:r>
      <w:r>
        <w:t xml:space="preserve"> </w:t>
      </w:r>
      <w:r>
        <w:t xml:space="preserve">versus respondent-driven sampling.</w:t>
      </w:r>
      <w:r>
        <w:t xml:space="preserve"> </w:t>
      </w:r>
      <w:r>
        <w:rPr>
          <w:i/>
          <w:iCs/>
        </w:rPr>
        <w:t xml:space="preserve">Sociological Methodology</w:t>
      </w:r>
      <w:r>
        <w:t xml:space="preserve">,</w:t>
      </w:r>
      <w:r>
        <w:t xml:space="preserve"> </w:t>
      </w:r>
      <w:r>
        <w:rPr>
          <w:i/>
          <w:iCs/>
        </w:rPr>
        <w:t xml:space="preserve">41</w:t>
      </w:r>
      <w:r>
        <w:t xml:space="preserve">(1), 355–366.</w:t>
      </w:r>
    </w:p>
    <w:bookmarkEnd w:id="83"/>
    <w:bookmarkStart w:id="84" w:name="ref-hick25-human"/>
    <w:p>
      <w:pPr>
        <w:pStyle w:val="Bibliography"/>
      </w:pPr>
      <w:r>
        <w:t xml:space="preserve">Hickman, S., Lopez-Jauffret, C., Fahy, &amp; Masick, V. (2025).</w:t>
      </w:r>
      <w:r>
        <w:t xml:space="preserve"> </w:t>
      </w:r>
      <w:r>
        <w:rPr>
          <w:i/>
          <w:iCs/>
        </w:rPr>
        <w:t xml:space="preserve">Human</w:t>
      </w:r>
      <w:r>
        <w:rPr>
          <w:i/>
          <w:iCs/>
        </w:rPr>
        <w:t xml:space="preserve"> </w:t>
      </w:r>
      <w:r>
        <w:rPr>
          <w:i/>
          <w:iCs/>
        </w:rPr>
        <w:t xml:space="preserve">Trafficking Prevalence Estimation Feasibility Study</w:t>
      </w:r>
      <w:r>
        <w:t xml:space="preserve"> </w:t>
      </w:r>
      <w:r>
        <w:t xml:space="preserve">(This Project Was Supported by Cooperative Agreement No. 2019-85 CX-K002 NCJ 309951). Bureau of Justice Statistics.</w:t>
      </w:r>
    </w:p>
    <w:bookmarkEnd w:id="84"/>
    <w:bookmarkStart w:id="86"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5">
        <w:r>
          <w:rPr>
            <w:rStyle w:val="Hyperlink"/>
          </w:rPr>
          <w:t xml:space="preserve">https://www.ilo.org/publications/ilo-indicators-forced-labour</w:t>
        </w:r>
      </w:hyperlink>
    </w:p>
    <w:bookmarkEnd w:id="86"/>
    <w:bookmarkStart w:id="88" w:name="X4ffa2d6c1ea127ab2e45300f94330b7356d213f"/>
    <w:p>
      <w:pPr>
        <w:pStyle w:val="Bibliography"/>
      </w:pPr>
      <w:r>
        <w:t xml:space="preserve">International Labour Organization, &amp; Walk Free Foundation. (2017).</w:t>
      </w:r>
      <w:r>
        <w:t xml:space="preserve"> </w:t>
      </w:r>
      <w:r>
        <w:rPr>
          <w:i/>
          <w:iCs/>
        </w:rPr>
        <w:t xml:space="preserve">Global estimates of modern slavery: Forced labour and forced marriage</w:t>
      </w:r>
      <w:r>
        <w:t xml:space="preserve">.</w:t>
      </w:r>
      <w:r>
        <w:t xml:space="preserve"> </w:t>
      </w:r>
      <w:hyperlink r:id="rId87">
        <w:r>
          <w:rPr>
            <w:rStyle w:val="Hyperlink"/>
          </w:rPr>
          <w:t xml:space="preserve">https://assets.publishing.service.gov.uk/government/uploads/system/uploads/attachment_data/file/649906/Transparency_in_Supply_Chains_A_Practical_Guide_2017.pdf</w:t>
        </w:r>
      </w:hyperlink>
    </w:p>
    <w:bookmarkEnd w:id="88"/>
    <w:bookmarkStart w:id="89" w:name="ref-ist20-prevalence"/>
    <w:p>
      <w:pPr>
        <w:pStyle w:val="Bibliography"/>
      </w:pPr>
      <w:r>
        <w:t xml:space="preserve">IST Research, &amp; University of California, Los Angeles. (2020).</w:t>
      </w:r>
      <w:r>
        <w:t xml:space="preserve"> </w:t>
      </w:r>
      <w:r>
        <w:rPr>
          <w:i/>
          <w:iCs/>
        </w:rPr>
        <w:t xml:space="preserve">Estimating the prevalence of child sex trafficking in</w:t>
      </w:r>
      <w:r>
        <w:rPr>
          <w:i/>
          <w:iCs/>
        </w:rPr>
        <w:t xml:space="preserve"> </w:t>
      </w:r>
      <w:r>
        <w:rPr>
          <w:i/>
          <w:iCs/>
        </w:rPr>
        <w:t xml:space="preserve">Maharashtra</w:t>
      </w:r>
      <w:r>
        <w:rPr>
          <w:i/>
          <w:iCs/>
        </w:rPr>
        <w:t xml:space="preserve">,</w:t>
      </w:r>
      <w:r>
        <w:rPr>
          <w:i/>
          <w:iCs/>
        </w:rPr>
        <w:t xml:space="preserve"> </w:t>
      </w:r>
      <w:r>
        <w:rPr>
          <w:i/>
          <w:iCs/>
        </w:rPr>
        <w:t xml:space="preserve">India</w:t>
      </w:r>
      <w:r>
        <w:t xml:space="preserve"> </w:t>
      </w:r>
      <w:r>
        <w:t xml:space="preserve">[Technical Report]. Global Fund to End Modern Slavery.</w:t>
      </w:r>
    </w:p>
    <w:bookmarkEnd w:id="89"/>
    <w:bookmarkStart w:id="90" w:name="ref-jord20-overcoming"/>
    <w:p>
      <w:pPr>
        <w:pStyle w:val="Bibliography"/>
      </w:pPr>
      <w:r>
        <w:t xml:space="preserve">Jordan, L., Chui, C. H. K., Larmar, S., &amp; O’Leary, P. (2020). Overcoming methodological challenges in prevalence studies in developing contexts with vulnerable children.</w:t>
      </w:r>
      <w:r>
        <w:t xml:space="preserve"> </w:t>
      </w:r>
      <w:r>
        <w:rPr>
          <w:i/>
          <w:iCs/>
        </w:rPr>
        <w:t xml:space="preserve">International Social Work</w:t>
      </w:r>
      <w:r>
        <w:t xml:space="preserve">,</w:t>
      </w:r>
      <w:r>
        <w:t xml:space="preserve"> </w:t>
      </w:r>
      <w:r>
        <w:rPr>
          <w:i/>
          <w:iCs/>
        </w:rPr>
        <w:t xml:space="preserve">63</w:t>
      </w:r>
      <w:r>
        <w:t xml:space="preserve">(3), 371–385.</w:t>
      </w:r>
    </w:p>
    <w:bookmarkEnd w:id="90"/>
    <w:bookmarkStart w:id="91" w:name="ref-kala08-new"/>
    <w:p>
      <w:pPr>
        <w:pStyle w:val="Bibliography"/>
      </w:pPr>
      <w:r>
        <w:t xml:space="preserve">Kalayaan. (2008).</w:t>
      </w:r>
      <w:r>
        <w:t xml:space="preserve"> </w:t>
      </w:r>
      <w:r>
        <w:rPr>
          <w:i/>
          <w:iCs/>
        </w:rPr>
        <w:t xml:space="preserve">The new bonded labour?</w:t>
      </w:r>
    </w:p>
    <w:bookmarkEnd w:id="91"/>
    <w:bookmarkStart w:id="93" w:name="ref-kill98-social"/>
    <w:p>
      <w:pPr>
        <w:pStyle w:val="Bibliography"/>
      </w:pPr>
      <w:r>
        <w:t xml:space="preserve">Killworth, P. D., Johnsen, E. C., McCarty, C., Shelley, G. A., &amp; Bernard, H. R. (1998). A social network approach to estimating seroprevalence in the</w:t>
      </w:r>
      <w:r>
        <w:t xml:space="preserve"> </w:t>
      </w:r>
      <w:r>
        <w:t xml:space="preserve">United States</w:t>
      </w:r>
      <w:r>
        <w:t xml:space="preserve">.</w:t>
      </w:r>
      <w:r>
        <w:t xml:space="preserve"> </w:t>
      </w:r>
      <w:r>
        <w:rPr>
          <w:i/>
          <w:iCs/>
        </w:rPr>
        <w:t xml:space="preserve">Social Networks</w:t>
      </w:r>
      <w:r>
        <w:t xml:space="preserve">,</w:t>
      </w:r>
      <w:r>
        <w:t xml:space="preserve"> </w:t>
      </w:r>
      <w:r>
        <w:rPr>
          <w:i/>
          <w:iCs/>
        </w:rPr>
        <w:t xml:space="preserve">20</w:t>
      </w:r>
      <w:r>
        <w:t xml:space="preserve">(1), 23–50.</w:t>
      </w:r>
      <w:r>
        <w:t xml:space="preserve"> </w:t>
      </w:r>
      <w:hyperlink r:id="rId92">
        <w:r>
          <w:rPr>
            <w:rStyle w:val="Hyperlink"/>
          </w:rPr>
          <w:t xml:space="preserve">https://doi.org/10.1016/S0378-8733(96)00305-X</w:t>
        </w:r>
      </w:hyperlink>
    </w:p>
    <w:bookmarkEnd w:id="93"/>
    <w:bookmarkStart w:id="95" w:name="ref-malt15-estimating"/>
    <w:p>
      <w:pPr>
        <w:pStyle w:val="Bibliography"/>
      </w:pPr>
      <w:r>
        <w:t xml:space="preserve">Maltiel, R., Raftery, A. E., McCormick, T. H., &amp; Baraff, A. J. (2015). Estimating population size using the network scale up method.</w:t>
      </w:r>
      <w:r>
        <w:t xml:space="preserve"> </w:t>
      </w:r>
      <w:r>
        <w:rPr>
          <w:i/>
          <w:iCs/>
        </w:rPr>
        <w:t xml:space="preserve">The Annals of Applied Statistics</w:t>
      </w:r>
      <w:r>
        <w:t xml:space="preserve">,</w:t>
      </w:r>
      <w:r>
        <w:t xml:space="preserve"> </w:t>
      </w:r>
      <w:r>
        <w:rPr>
          <w:i/>
          <w:iCs/>
        </w:rPr>
        <w:t xml:space="preserve">9</w:t>
      </w:r>
      <w:r>
        <w:t xml:space="preserve">(3), 1247–1277.</w:t>
      </w:r>
      <w:r>
        <w:t xml:space="preserve"> </w:t>
      </w:r>
      <w:hyperlink r:id="rId94">
        <w:r>
          <w:rPr>
            <w:rStyle w:val="Hyperlink"/>
          </w:rPr>
          <w:t xml:space="preserve">https://doi.org/10.1214/15-AOAS827</w:t>
        </w:r>
      </w:hyperlink>
    </w:p>
    <w:bookmarkEnd w:id="95"/>
    <w:bookmarkStart w:id="96" w:name="ref-mant16-modern"/>
    <w:p>
      <w:pPr>
        <w:pStyle w:val="Bibliography"/>
      </w:pPr>
      <w:r>
        <w:t xml:space="preserve">Mantouvalou, V. (2016). Modern slavery?</w:t>
      </w:r>
      <w:r>
        <w:t xml:space="preserve"> </w:t>
      </w:r>
      <w:r>
        <w:t xml:space="preserve">The UK</w:t>
      </w:r>
      <w:r>
        <w:t xml:space="preserve"> </w:t>
      </w:r>
      <w:r>
        <w:t xml:space="preserve">visa system and the exploitation of migrant domestic workers. In</w:t>
      </w:r>
      <w:r>
        <w:t xml:space="preserve"> </w:t>
      </w:r>
      <w:r>
        <w:rPr>
          <w:i/>
          <w:iCs/>
        </w:rPr>
        <w:t xml:space="preserve">British politics and policy at</w:t>
      </w:r>
      <w:r>
        <w:rPr>
          <w:i/>
          <w:iCs/>
        </w:rPr>
        <w:t xml:space="preserve"> </w:t>
      </w:r>
      <w:r>
        <w:rPr>
          <w:i/>
          <w:iCs/>
        </w:rPr>
        <w:t xml:space="preserve">LSE</w:t>
      </w:r>
      <w:r>
        <w:t xml:space="preserve">.</w:t>
      </w:r>
    </w:p>
    <w:bookmarkEnd w:id="96"/>
    <w:bookmarkStart w:id="98" w:name="ref-mccr12-evaluation"/>
    <w:p>
      <w:pPr>
        <w:pStyle w:val="Bibliography"/>
      </w:pPr>
      <w:r>
        <w:t xml:space="preserve">McCreesh, N., Frost, S. D. W., Seeley, J., Katongole, J., Tarsh, M. N., Ndunguse, R., Jichi, F., Lunel, N. L., Maher, D., Johnston, L. G., Sonnenberg, P., Copas, A. J., Hayes, R. J., &amp; White, R. G. (2012). Evaluation of respondent-driven sampling.</w:t>
      </w:r>
      <w:r>
        <w:t xml:space="preserve"> </w:t>
      </w:r>
      <w:r>
        <w:rPr>
          <w:i/>
          <w:iCs/>
        </w:rPr>
        <w:t xml:space="preserve">Epidemiology</w:t>
      </w:r>
      <w:r>
        <w:t xml:space="preserve">,</w:t>
      </w:r>
      <w:r>
        <w:t xml:space="preserve"> </w:t>
      </w:r>
      <w:r>
        <w:rPr>
          <w:i/>
          <w:iCs/>
        </w:rPr>
        <w:t xml:space="preserve">23</w:t>
      </w:r>
      <w:r>
        <w:t xml:space="preserve">(1), 138–147.</w:t>
      </w:r>
      <w:r>
        <w:t xml:space="preserve"> </w:t>
      </w:r>
      <w:hyperlink r:id="rId97">
        <w:r>
          <w:rPr>
            <w:rStyle w:val="Hyperlink"/>
          </w:rPr>
          <w:t xml:space="preserve">https://doi.org/10.1097/EDE.0b013e31823ac17c</w:t>
        </w:r>
      </w:hyperlink>
    </w:p>
    <w:bookmarkEnd w:id="98"/>
    <w:bookmarkStart w:id="100" w:name="ref-romero_blueprint_2025"/>
    <w:p>
      <w:pPr>
        <w:pStyle w:val="Bibliography"/>
      </w:pPr>
      <w:r>
        <w:t xml:space="preserve">Romero, A., &amp; Fisher, O. (2025).</w:t>
      </w:r>
      <w:r>
        <w:t xml:space="preserve"> </w:t>
      </w:r>
      <w:r>
        <w:rPr>
          <w:i/>
          <w:iCs/>
        </w:rPr>
        <w:t xml:space="preserve">Blueprint for safer and fairer migration for low-paid work</w:t>
      </w:r>
      <w:r>
        <w:t xml:space="preserve">. Focus on Labour Exploitation; Focus on Labour Exploitation.</w:t>
      </w:r>
      <w:r>
        <w:t xml:space="preserve"> </w:t>
      </w:r>
      <w:hyperlink r:id="rId99">
        <w:r>
          <w:rPr>
            <w:rStyle w:val="Hyperlink"/>
          </w:rPr>
          <w:t xml:space="preserve">https://labourexploitation.org/app/uploads/2025/06/Flex-Report-Blueprint-for-safer-and-fairer-migration-for-low-paid-work_final_30_June-.pdf</w:t>
        </w:r>
      </w:hyperlink>
    </w:p>
    <w:bookmarkEnd w:id="100"/>
    <w:bookmarkStart w:id="101" w:name="ref-salg04-sampling"/>
    <w:p>
      <w:pPr>
        <w:pStyle w:val="Bibliography"/>
      </w:pPr>
      <w:r>
        <w:t xml:space="preserve">Salganik, M. J., &amp; Heckathorn, D. D. (2004). Sampling and</w:t>
      </w:r>
      <w:r>
        <w:t xml:space="preserve"> </w:t>
      </w:r>
      <w:r>
        <w:t xml:space="preserve">Estimation</w:t>
      </w:r>
      <w:r>
        <w:t xml:space="preserve"> </w:t>
      </w:r>
      <w:r>
        <w:t xml:space="preserve">in</w:t>
      </w:r>
      <w:r>
        <w:t xml:space="preserve"> </w:t>
      </w:r>
      <w:r>
        <w:t xml:space="preserve">Hidden Populations Using Respondent-Driven Sampling</w:t>
      </w:r>
      <w:r>
        <w:t xml:space="preserve">.</w:t>
      </w:r>
      <w:r>
        <w:t xml:space="preserve"> </w:t>
      </w:r>
      <w:r>
        <w:rPr>
          <w:i/>
          <w:iCs/>
        </w:rPr>
        <w:t xml:space="preserve">Sociological Methodology</w:t>
      </w:r>
      <w:r>
        <w:t xml:space="preserve">,</w:t>
      </w:r>
      <w:r>
        <w:t xml:space="preserve"> </w:t>
      </w:r>
      <w:r>
        <w:rPr>
          <w:i/>
          <w:iCs/>
        </w:rPr>
        <w:t xml:space="preserve">34</w:t>
      </w:r>
      <w:r>
        <w:t xml:space="preserve">, 193–239.</w:t>
      </w:r>
    </w:p>
    <w:bookmarkEnd w:id="101"/>
    <w:bookmarkStart w:id="102" w:name="ref-schw12-prevalence"/>
    <w:p>
      <w:pPr>
        <w:pStyle w:val="Bibliography"/>
      </w:pPr>
      <w:r>
        <w:t xml:space="preserve">Schwitters, A., Swaminathan, M., &amp; Serwadda, D. (2012). Prevalence of rape and client-initiated gender-based violence among female sex workers:</w:t>
      </w:r>
      <w:r>
        <w:t xml:space="preserve"> </w:t>
      </w:r>
      <w:r>
        <w:t xml:space="preserve">Kampala</w:t>
      </w:r>
      <w:r>
        <w:t xml:space="preserve">, uganda.</w:t>
      </w:r>
      <w:r>
        <w:t xml:space="preserve"> </w:t>
      </w:r>
      <w:r>
        <w:rPr>
          <w:i/>
          <w:iCs/>
        </w:rPr>
        <w:t xml:space="preserve">AIDS Behaviour</w:t>
      </w:r>
      <w:r>
        <w:t xml:space="preserve">,</w:t>
      </w:r>
      <w:r>
        <w:t xml:space="preserve"> </w:t>
      </w:r>
      <w:r>
        <w:rPr>
          <w:i/>
          <w:iCs/>
        </w:rPr>
        <w:t xml:space="preserve">19</w:t>
      </w:r>
      <w:r>
        <w:t xml:space="preserve">, 68–76.</w:t>
      </w:r>
    </w:p>
    <w:bookmarkEnd w:id="102"/>
    <w:bookmarkStart w:id="103" w:name="ref-serv23-closed"/>
    <w:p>
      <w:pPr>
        <w:pStyle w:val="Bibliography"/>
      </w:pPr>
      <w:r>
        <w:t xml:space="preserve">Service, L. A. W. R. (2023).</w:t>
      </w:r>
      <w:r>
        <w:t xml:space="preserve"> </w:t>
      </w:r>
      <w:r>
        <w:rPr>
          <w:i/>
          <w:iCs/>
        </w:rPr>
        <w:t xml:space="preserve">Behind closed doors:</w:t>
      </w:r>
      <w:r>
        <w:rPr>
          <w:i/>
          <w:iCs/>
        </w:rPr>
        <w:t xml:space="preserve"> </w:t>
      </w:r>
      <w:r>
        <w:rPr>
          <w:i/>
          <w:iCs/>
        </w:rPr>
        <w:t xml:space="preserve">Experiences</w:t>
      </w:r>
      <w:r>
        <w:rPr>
          <w:i/>
          <w:iCs/>
        </w:rPr>
        <w:t xml:space="preserve"> </w:t>
      </w:r>
      <w:r>
        <w:rPr>
          <w:i/>
          <w:iCs/>
        </w:rPr>
        <w:t xml:space="preserve">of</w:t>
      </w:r>
      <w:r>
        <w:rPr>
          <w:i/>
          <w:iCs/>
        </w:rPr>
        <w:t xml:space="preserve"> </w:t>
      </w:r>
      <w:r>
        <w:rPr>
          <w:i/>
          <w:iCs/>
        </w:rPr>
        <w:t xml:space="preserve">Latin American</w:t>
      </w:r>
      <w:r>
        <w:rPr>
          <w:i/>
          <w:iCs/>
        </w:rPr>
        <w:t xml:space="preserve"> </w:t>
      </w:r>
      <w:r>
        <w:rPr>
          <w:i/>
          <w:iCs/>
        </w:rPr>
        <w:t xml:space="preserve">domestic workers in the</w:t>
      </w:r>
      <w:r>
        <w:rPr>
          <w:i/>
          <w:iCs/>
        </w:rPr>
        <w:t xml:space="preserve"> </w:t>
      </w:r>
      <w:r>
        <w:rPr>
          <w:i/>
          <w:iCs/>
        </w:rPr>
        <w:t xml:space="preserve">UK</w:t>
      </w:r>
      <w:r>
        <w:t xml:space="preserve">.</w:t>
      </w:r>
    </w:p>
    <w:bookmarkEnd w:id="103"/>
    <w:bookmarkStart w:id="104" w:name="ref-thompson_new_2020"/>
    <w:p>
      <w:pPr>
        <w:pStyle w:val="Bibliography"/>
      </w:pPr>
      <w:r>
        <w:t xml:space="preserve">Thompson, S. (2020).</w:t>
      </w:r>
      <w:r>
        <w:t xml:space="preserve"> </w:t>
      </w:r>
      <w:r>
        <w:rPr>
          <w:i/>
          <w:iCs/>
        </w:rPr>
        <w:t xml:space="preserve">New estimates for network sampling</w:t>
      </w:r>
      <w:r>
        <w:t xml:space="preserve">.</w:t>
      </w:r>
    </w:p>
    <w:bookmarkEnd w:id="104"/>
    <w:bookmarkStart w:id="106" w:name="ref-vinc17-estimating"/>
    <w:p>
      <w:pPr>
        <w:pStyle w:val="Bibliography"/>
      </w:pPr>
      <w:r>
        <w:t xml:space="preserve">Vincent, K., &amp; Thompson, S. (2017). Estimating population size with link-tracing sampling.</w:t>
      </w:r>
      <w:r>
        <w:t xml:space="preserve"> </w:t>
      </w:r>
      <w:r>
        <w:rPr>
          <w:i/>
          <w:iCs/>
        </w:rPr>
        <w:t xml:space="preserve">Journal of the American Statistical Association</w:t>
      </w:r>
      <w:r>
        <w:t xml:space="preserve">,</w:t>
      </w:r>
      <w:r>
        <w:t xml:space="preserve"> </w:t>
      </w:r>
      <w:r>
        <w:rPr>
          <w:i/>
          <w:iCs/>
        </w:rPr>
        <w:t xml:space="preserve">112</w:t>
      </w:r>
      <w:r>
        <w:t xml:space="preserve">(519), 1286–1295.</w:t>
      </w:r>
      <w:r>
        <w:t xml:space="preserve"> </w:t>
      </w:r>
      <w:hyperlink r:id="rId105">
        <w:r>
          <w:rPr>
            <w:rStyle w:val="Hyperlink"/>
          </w:rPr>
          <w:t xml:space="preserve">https://doi.org/10.1080/01621459.2016.1212712</w:t>
        </w:r>
      </w:hyperlink>
    </w:p>
    <w:bookmarkEnd w:id="106"/>
    <w:bookmarkStart w:id="107" w:name="ref-volz08-probability"/>
    <w:p>
      <w:pPr>
        <w:pStyle w:val="Bibliography"/>
      </w:pPr>
      <w:r>
        <w:t xml:space="preserve">Volz, E., &amp; Heckathorn, D. D. (2008). Probability</w:t>
      </w:r>
      <w:r>
        <w:t xml:space="preserve"> </w:t>
      </w:r>
      <w:r>
        <w:t xml:space="preserve">Based Estimation Theory</w:t>
      </w:r>
      <w:r>
        <w:t xml:space="preserve"> </w:t>
      </w:r>
      <w:r>
        <w:t xml:space="preserve">for</w:t>
      </w:r>
      <w:r>
        <w:t xml:space="preserve"> </w:t>
      </w:r>
      <w:r>
        <w:t xml:space="preserve">Respondent Driven Sampling</w:t>
      </w:r>
      <w:r>
        <w:t xml:space="preserve">.</w:t>
      </w:r>
      <w:r>
        <w:t xml:space="preserve"> </w:t>
      </w:r>
      <w:r>
        <w:rPr>
          <w:i/>
          <w:iCs/>
        </w:rPr>
        <w:t xml:space="preserve">Journal of Official Statistics</w:t>
      </w:r>
      <w:r>
        <w:t xml:space="preserve">,</w:t>
      </w:r>
      <w:r>
        <w:t xml:space="preserve"> </w:t>
      </w:r>
      <w:r>
        <w:rPr>
          <w:i/>
          <w:iCs/>
        </w:rPr>
        <w:t xml:space="preserve">24</w:t>
      </w:r>
      <w:r>
        <w:t xml:space="preserve">(1), 79.</w:t>
      </w:r>
    </w:p>
    <w:bookmarkEnd w:id="107"/>
    <w:bookmarkStart w:id="108" w:name="ref-wejn08-webbased"/>
    <w:p>
      <w:pPr>
        <w:pStyle w:val="Bibliography"/>
      </w:pPr>
      <w:r>
        <w:t xml:space="preserve">Wejnert, C., &amp; Heckathorn, D. D. (2008). Web-based network sampling: Efficiency and efficacy of respondent-driven sampling for online research.</w:t>
      </w:r>
      <w:r>
        <w:t xml:space="preserve"> </w:t>
      </w:r>
      <w:r>
        <w:rPr>
          <w:i/>
          <w:iCs/>
        </w:rPr>
        <w:t xml:space="preserve">Sociological Methods &amp; Research</w:t>
      </w:r>
      <w:r>
        <w:t xml:space="preserve">,</w:t>
      </w:r>
      <w:r>
        <w:t xml:space="preserve"> </w:t>
      </w:r>
      <w:r>
        <w:rPr>
          <w:i/>
          <w:iCs/>
        </w:rPr>
        <w:t xml:space="preserve">37</w:t>
      </w:r>
      <w:r>
        <w:t xml:space="preserve">(1), 105–134.</w:t>
      </w:r>
    </w:p>
    <w:bookmarkEnd w:id="108"/>
    <w:bookmarkStart w:id="110" w:name="ref-yauc22-neighborhood"/>
    <w:p>
      <w:pPr>
        <w:pStyle w:val="Bibliography"/>
      </w:pPr>
      <w:r>
        <w:t xml:space="preserve">Yauck, M., Moodie, E. E. M., Apelian, H., Fourmigue, A., Grace, D., Hart, T. A., Lambert, G., &amp; Cox, J. (2022). Neighborhood</w:t>
      </w:r>
      <w:r>
        <w:t xml:space="preserve"> </w:t>
      </w:r>
      <w:r>
        <w:t xml:space="preserve">Bootstrap</w:t>
      </w:r>
      <w:r>
        <w:t xml:space="preserve"> </w:t>
      </w:r>
      <w:r>
        <w:t xml:space="preserve">for</w:t>
      </w:r>
      <w:r>
        <w:t xml:space="preserve"> </w:t>
      </w:r>
      <w:r>
        <w:t xml:space="preserve">Respondent-Driven Sampling</w:t>
      </w:r>
      <w:r>
        <w:t xml:space="preserve">.</w:t>
      </w:r>
      <w:r>
        <w:t xml:space="preserve"> </w:t>
      </w:r>
      <w:r>
        <w:rPr>
          <w:i/>
          <w:iCs/>
        </w:rPr>
        <w:t xml:space="preserve">Journal of Survey Statistics and Methodology</w:t>
      </w:r>
      <w:r>
        <w:t xml:space="preserve">,</w:t>
      </w:r>
      <w:r>
        <w:t xml:space="preserve"> </w:t>
      </w:r>
      <w:r>
        <w:rPr>
          <w:i/>
          <w:iCs/>
        </w:rPr>
        <w:t xml:space="preserve">10</w:t>
      </w:r>
      <w:r>
        <w:t xml:space="preserve">(2), 419–438.</w:t>
      </w:r>
      <w:r>
        <w:t xml:space="preserve"> </w:t>
      </w:r>
      <w:hyperlink r:id="rId109">
        <w:r>
          <w:rPr>
            <w:rStyle w:val="Hyperlink"/>
          </w:rPr>
          <w:t xml:space="preserve">https://doi.org/10.1093/jssam/smab057</w:t>
        </w:r>
      </w:hyperlink>
    </w:p>
    <w:bookmarkEnd w:id="110"/>
    <w:bookmarkStart w:id="111" w:name="ref-yilm23-exploring"/>
    <w:p>
      <w:pPr>
        <w:pStyle w:val="Bibliography"/>
      </w:pPr>
      <w:r>
        <w:t xml:space="preserve">Yilmaz, S., &amp; Emberson, C. (2023). Exploring the nature of labour exploitation among domestic workers in the</w:t>
      </w:r>
      <w:r>
        <w:t xml:space="preserve"> </w:t>
      </w:r>
      <w:r>
        <w:t xml:space="preserve">UK</w:t>
      </w:r>
      <w:r>
        <w:t xml:space="preserve">.</w:t>
      </w:r>
      <w:r>
        <w:t xml:space="preserve"> </w:t>
      </w:r>
      <w:r>
        <w:rPr>
          <w:i/>
          <w:iCs/>
        </w:rPr>
        <w:t xml:space="preserve">Rights Lab, University of Nottingham</w:t>
      </w:r>
      <w:r>
        <w:t xml:space="preserve">.</w:t>
      </w:r>
    </w:p>
    <w:bookmarkEnd w:id="111"/>
    <w:bookmarkStart w:id="113" w:name="ref-zhang_measuring_2012"/>
    <w:p>
      <w:pPr>
        <w:pStyle w:val="Bibliography"/>
      </w:pPr>
      <w:r>
        <w:t xml:space="preserve">Zhang, S. X. (2012). Measuring labour trafficking: A research note.</w:t>
      </w:r>
      <w:r>
        <w:t xml:space="preserve"> </w:t>
      </w:r>
      <w:r>
        <w:rPr>
          <w:i/>
          <w:iCs/>
        </w:rPr>
        <w:t xml:space="preserve">Crime, Law and Social Change</w:t>
      </w:r>
      <w:r>
        <w:t xml:space="preserve">,</w:t>
      </w:r>
      <w:r>
        <w:t xml:space="preserve"> </w:t>
      </w:r>
      <w:r>
        <w:rPr>
          <w:i/>
          <w:iCs/>
        </w:rPr>
        <w:t xml:space="preserve">58</w:t>
      </w:r>
      <w:r>
        <w:t xml:space="preserve">(4), 469–482.</w:t>
      </w:r>
      <w:r>
        <w:t xml:space="preserve"> </w:t>
      </w:r>
      <w:hyperlink r:id="rId112">
        <w:r>
          <w:rPr>
            <w:rStyle w:val="Hyperlink"/>
          </w:rPr>
          <w:t xml:space="preserve">https://doi.org/10.1007/s10611-012-9363-y</w:t>
        </w:r>
      </w:hyperlink>
    </w:p>
    <w:bookmarkEnd w:id="113"/>
    <w:bookmarkStart w:id="114" w:name="ref-zhan19-victims"/>
    <w:p>
      <w:pPr>
        <w:pStyle w:val="Bibliography"/>
      </w:pPr>
      <w:r>
        <w:t xml:space="preserve">Zhang, S. X., Dank, M., Vincent, K., Narayanan, P., Bharadwaj, S., &amp; Balasubramaniam, S. M. (2019). Victims without a voice:</w:t>
      </w:r>
      <w:r>
        <w:t xml:space="preserve"> </w:t>
      </w:r>
      <w:r>
        <w:t xml:space="preserve">Measuring</w:t>
      </w:r>
      <w:r>
        <w:t xml:space="preserve"> </w:t>
      </w:r>
      <w:r>
        <w:t xml:space="preserve">worst forms of child labor in the</w:t>
      </w:r>
      <w:r>
        <w:t xml:space="preserve"> </w:t>
      </w:r>
      <w:r>
        <w:t xml:space="preserve">Indian State</w:t>
      </w:r>
      <w:r>
        <w:t xml:space="preserve"> </w:t>
      </w:r>
      <w:r>
        <w:t xml:space="preserve">of</w:t>
      </w:r>
      <w:r>
        <w:t xml:space="preserve"> </w:t>
      </w:r>
      <w:r>
        <w:t xml:space="preserve">Bihar</w:t>
      </w:r>
      <w:r>
        <w:t xml:space="preserve">.</w:t>
      </w:r>
      <w:r>
        <w:t xml:space="preserve"> </w:t>
      </w:r>
      <w:r>
        <w:rPr>
          <w:i/>
          <w:iCs/>
        </w:rPr>
        <w:t xml:space="preserve">Victims &amp; Offenders</w:t>
      </w:r>
      <w:r>
        <w:t xml:space="preserve">,</w:t>
      </w:r>
      <w:r>
        <w:t xml:space="preserve"> </w:t>
      </w:r>
      <w:r>
        <w:rPr>
          <w:i/>
          <w:iCs/>
        </w:rPr>
        <w:t xml:space="preserve">14</w:t>
      </w:r>
      <w:r>
        <w:t xml:space="preserve">(7), 832–858.</w:t>
      </w:r>
    </w:p>
    <w:bookmarkEnd w:id="114"/>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hyperlink" Id="rId87" Target="https://assets.publishing.service.gov.uk/government/uploads/system/uploads/attachment_data/file/649906/Transparency_in_Supply_Chains_A_Practical_Guide_2017.pdf" TargetMode="External" /><Relationship Type="http://schemas.openxmlformats.org/officeDocument/2006/relationships/hyperlink" Id="rId112" Target="https://doi.org/10.1007/s10611-012-9363-y" TargetMode="External" /><Relationship Type="http://schemas.openxmlformats.org/officeDocument/2006/relationships/hyperlink" Id="rId92" Target="https://doi.org/10.1016/S0378-8733(96)00305-X" TargetMode="External" /><Relationship Type="http://schemas.openxmlformats.org/officeDocument/2006/relationships/hyperlink" Id="rId77" Target="https://doi.org/10.1073/pnas.1000261107" TargetMode="External" /><Relationship Type="http://schemas.openxmlformats.org/officeDocument/2006/relationships/hyperlink" Id="rId105" Target="https://doi.org/10.1080/01621459.2016.1212712" TargetMode="External" /><Relationship Type="http://schemas.openxmlformats.org/officeDocument/2006/relationships/hyperlink" Id="rId109" Target="https://doi.org/10.1093/jssam/smab057" TargetMode="External" /><Relationship Type="http://schemas.openxmlformats.org/officeDocument/2006/relationships/hyperlink" Id="rId97" Target="https://doi.org/10.1097/EDE.0b013e31823ac17c" TargetMode="External" /><Relationship Type="http://schemas.openxmlformats.org/officeDocument/2006/relationships/hyperlink" Id="rId75" Target="https://doi.org/10.1111/rssa.12091" TargetMode="External" /><Relationship Type="http://schemas.openxmlformats.org/officeDocument/2006/relationships/hyperlink" Id="rId72" Target="https://doi.org/10.1146/annurev-statistics-031017-100704" TargetMode="External" /><Relationship Type="http://schemas.openxmlformats.org/officeDocument/2006/relationships/hyperlink" Id="rId70" Target="https://doi.org/10.1198/jasa.2011.ap09475" TargetMode="External" /><Relationship Type="http://schemas.openxmlformats.org/officeDocument/2006/relationships/hyperlink" Id="rId79" Target="https://doi.org/10.1214/14-EJS923" TargetMode="External" /><Relationship Type="http://schemas.openxmlformats.org/officeDocument/2006/relationships/hyperlink" Id="rId94" Target="https://doi.org/10.1214/15-AOAS827" TargetMode="External" /><Relationship Type="http://schemas.openxmlformats.org/officeDocument/2006/relationships/hyperlink" Id="rId81" Target="https://doi.org/10.2307/3096941" TargetMode="External" /><Relationship Type="http://schemas.openxmlformats.org/officeDocument/2006/relationships/hyperlink" Id="rId99" Target="https://labourexploitation.org/app/uploads/2025/06/Flex-Report-Blueprint-for-safer-and-fairer-migration-for-low-paid-work_final_30_June-.pdf" TargetMode="External" /><Relationship Type="http://schemas.openxmlformats.org/officeDocument/2006/relationships/hyperlink" Id="rId66" Target="https://osf.io/vf5yb/overview?view_only=becc2db3b49c4b258015b648867bf208" TargetMode="External" /><Relationship Type="http://schemas.openxmlformats.org/officeDocument/2006/relationships/hyperlink" Id="rId85"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87" Target="https://assets.publishing.service.gov.uk/government/uploads/system/uploads/attachment_data/file/649906/Transparency_in_Supply_Chains_A_Practical_Guide_2017.pdf" TargetMode="External" /><Relationship Type="http://schemas.openxmlformats.org/officeDocument/2006/relationships/hyperlink" Id="rId112" Target="https://doi.org/10.1007/s10611-012-9363-y" TargetMode="External" /><Relationship Type="http://schemas.openxmlformats.org/officeDocument/2006/relationships/hyperlink" Id="rId92" Target="https://doi.org/10.1016/S0378-8733(96)00305-X" TargetMode="External" /><Relationship Type="http://schemas.openxmlformats.org/officeDocument/2006/relationships/hyperlink" Id="rId77" Target="https://doi.org/10.1073/pnas.1000261107" TargetMode="External" /><Relationship Type="http://schemas.openxmlformats.org/officeDocument/2006/relationships/hyperlink" Id="rId105" Target="https://doi.org/10.1080/01621459.2016.1212712" TargetMode="External" /><Relationship Type="http://schemas.openxmlformats.org/officeDocument/2006/relationships/hyperlink" Id="rId109" Target="https://doi.org/10.1093/jssam/smab057" TargetMode="External" /><Relationship Type="http://schemas.openxmlformats.org/officeDocument/2006/relationships/hyperlink" Id="rId97" Target="https://doi.org/10.1097/EDE.0b013e31823ac17c" TargetMode="External" /><Relationship Type="http://schemas.openxmlformats.org/officeDocument/2006/relationships/hyperlink" Id="rId75" Target="https://doi.org/10.1111/rssa.12091" TargetMode="External" /><Relationship Type="http://schemas.openxmlformats.org/officeDocument/2006/relationships/hyperlink" Id="rId72" Target="https://doi.org/10.1146/annurev-statistics-031017-100704" TargetMode="External" /><Relationship Type="http://schemas.openxmlformats.org/officeDocument/2006/relationships/hyperlink" Id="rId70" Target="https://doi.org/10.1198/jasa.2011.ap09475" TargetMode="External" /><Relationship Type="http://schemas.openxmlformats.org/officeDocument/2006/relationships/hyperlink" Id="rId79" Target="https://doi.org/10.1214/14-EJS923" TargetMode="External" /><Relationship Type="http://schemas.openxmlformats.org/officeDocument/2006/relationships/hyperlink" Id="rId94" Target="https://doi.org/10.1214/15-AOAS827" TargetMode="External" /><Relationship Type="http://schemas.openxmlformats.org/officeDocument/2006/relationships/hyperlink" Id="rId81" Target="https://doi.org/10.2307/3096941" TargetMode="External" /><Relationship Type="http://schemas.openxmlformats.org/officeDocument/2006/relationships/hyperlink" Id="rId99" Target="https://labourexploitation.org/app/uploads/2025/06/Flex-Report-Blueprint-for-safer-and-fairer-migration-for-low-paid-work_final_30_June-.pdf" TargetMode="External" /><Relationship Type="http://schemas.openxmlformats.org/officeDocument/2006/relationships/hyperlink" Id="rId66" Target="https://osf.io/vf5yb/overview?view_only=becc2db3b49c4b258015b648867bf208" TargetMode="External" /><Relationship Type="http://schemas.openxmlformats.org/officeDocument/2006/relationships/hyperlink" Id="rId85"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
  <dcterms:created xsi:type="dcterms:W3CDTF">2026-06-29T14:02:04Z</dcterms:created>
  <dcterms:modified xsi:type="dcterms:W3CDTF">2026-06-29T14:02:04Z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y fmtid="{D5CDD505-2E9C-101B-9397-08002B2CF9AE}" pid="3"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prevelance of different forms of laour exploitation are robust across a number of paramters. The paper contributes a replicable measurement design for hidden-population social indicators relevant to SDG 8.7 monitoring.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../references/apa.csl</vt:lpwstr>
  </property>
  <property fmtid="{D5CDD505-2E9C-101B-9397-08002B2CF9AE}" pid="12" name="date">
    <vt:lpwstr>26 June 2026</vt:lpwstr>
  </property>
  <property fmtid="{D5CDD505-2E9C-101B-9397-08002B2CF9AE}" pid="13" name="date-format">
    <vt:lpwstr>DD MMMM YYYY</vt:lpwstr>
  </property>
  <property fmtid="{D5CDD505-2E9C-101B-9397-08002B2CF9AE}" pid="14" name="fig-cap-location">
    <vt:lpwstr>bottom</vt:lpwstr>
  </property>
  <property fmtid="{D5CDD505-2E9C-101B-9397-08002B2CF9AE}" pid="15" name="fontsize">
    <vt:lpwstr>12pt</vt:lpwstr>
  </property>
  <property fmtid="{D5CDD505-2E9C-101B-9397-08002B2CF9AE}" pid="16" name="geometry">
    <vt:lpwstr>margin=1in</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1.15</vt:lpwstr>
  </property>
  <property fmtid="{D5CDD505-2E9C-101B-9397-08002B2CF9AE}" pid="22" name="tbl-cap-location">
    <vt:lpwstr>top</vt:lpwstr>
  </property>
  <property fmtid="{D5CDD505-2E9C-101B-9397-08002B2CF9AE}" pid="23" name="toc-title">
    <vt:lpwstr>Table of contents</vt:lpwstr>
  </property>
</Properties>
</file>