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 xml:space="preserve">Working with civil society organisations representing hard-to-reach workers, we demonstrate a transdisciplinary quantitative approach to the construction of a risk index and alternative estimators of labour exploitation prevalence. Using data from a survey of domestic workers based in the United Kingdom (UK), we use statistical techniques, including Respondent Driven Sampling (RDS) methods RDS-I and RDS-SS and Network Scale Up (NSUM) methods, to produce binary and composite indices of labour exploitation risk and estimators of labour exploitation prevalence. These estimators show significant differences in population level exploitation, while the labour exploitation risk index shows a reverse correlation between the increasing seriousness of exploitation and the number of exploitation cases reported. Such estimates and indices have a key role to play as member-led organisations lobby to address these inequalities and work to resist exploitative employment practices. Urgent policy attention is needed if structural vulnerabilities among transnational migrant workers are to be removed.  </w:t>
      </w:r>
      <w:r>
        <w:rPr>
          <w:b/>
          <w:color w:val="2171B5"/>
        </w:rP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develops and applies a measurement approach that combines respondent-driven sampling (RDS) for ego-level estimation with the network scale-up method (NSUM) for alter-level estimation, allowing the two methods to triangulate prevalence among hidden populations whose true network structure is not directly observable. We apply the approach to UK domestic workers, the hardest realistic case in a developed-economy setting, using a matched-instrument design that produces RDS and NSUM estimates of five comparable ILO-aligned indicators of forced labour. We report per-indicator estimates with bootstrap and Bayesian uncertainty intervals, evaluate sensitivity to the visibility-adjustment factor, and discuss what the divergence between RDS and NSUM estimates implies for quality-of-life monitoring among hidden populations.</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rPr>
          <w:b/>
          <w:color w:val="2171B5"/>
        </w:rPr>
        <w:t>[NEW PARAGRAPH ADDED] 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4706007" cy="2943636"/>
            <wp:docPr id="6" name="Picture 6"/>
            <wp:cNvGraphicFramePr>
              <a:graphicFrameLocks noChangeAspect="1"/>
            </wp:cNvGraphicFramePr>
            <a:graphic>
              <a:graphicData uri="http://schemas.openxmlformats.org/drawingml/2006/picture">
                <pic:pic>
                  <pic:nvPicPr>
                    <pic:cNvPr id="0" name="tmpzzq408xz.png"/>
                    <pic:cNvPicPr/>
                  </pic:nvPicPr>
                  <pic:blipFill>
                    <a:blip r:embed="rId16"/>
                    <a:stretch>
                      <a:fillRect/>
                    </a:stretch>
                  </pic:blipFill>
                  <pic:spPr>
                    <a:xfrm>
                      <a:off x="0" y="0"/>
                      <a:ext cx="4706007" cy="2943636"/>
                    </a:xfrm>
                    <a:prstGeom prst="rect"/>
                  </pic:spPr>
                </pic:pic>
              </a:graphicData>
            </a:graphic>
          </wp:inline>
        </w:drawing>
      </w:r>
    </w:p>
    <w:p>
      <w:pPr>
        <w:jc w:val="center"/>
      </w:pPr>
      <w:r>
        <w:rPr>
          <w:sz w:val="20"/>
          <w:i/>
        </w:rPr>
        <w:t xml:space="preserve">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4744112" cy="2152950"/>
            <wp:docPr id="4" name="Picture 4"/>
            <wp:cNvGraphicFramePr>
              <a:graphicFrameLocks noChangeAspect="1"/>
            </wp:cNvGraphicFramePr>
            <a:graphic>
              <a:graphicData uri="http://schemas.openxmlformats.org/drawingml/2006/picture">
                <pic:pic>
                  <pic:nvPicPr>
                    <pic:cNvPr id="0" name="tmpic9r4g79.png"/>
                    <pic:cNvPicPr/>
                  </pic:nvPicPr>
                  <pic:blipFill>
                    <a:blip r:embed="rId14"/>
                    <a:stretch>
                      <a:fillRect/>
                    </a:stretch>
                  </pic:blipFill>
                  <pic:spPr>
                    <a:xfrm>
                      <a:off x="0" y="0"/>
                      <a:ext cx="4744112" cy="2152950"/>
                    </a:xfrm>
                    <a:prstGeom prst="rect"/>
                  </pic:spPr>
                </pic:pic>
              </a:graphicData>
            </a:graphic>
          </wp:inline>
        </w:drawing>
      </w:r>
    </w:p>
    <w:p>
      <w:pPr>
        <w:jc w:val="center"/>
      </w:pPr>
      <w:r>
        <w:rPr>
          <w:sz w:val="20"/>
          <w:i/>
        </w:rPr>
        <w:t xml:space="preserve">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029200" cy="3393765"/>
            <wp:docPr id="3" name="Picture 3"/>
            <wp:cNvGraphicFramePr>
              <a:graphicFrameLocks noChangeAspect="1"/>
            </wp:cNvGraphicFramePr>
            <a:graphic>
              <a:graphicData uri="http://schemas.openxmlformats.org/drawingml/2006/picture">
                <pic:pic>
                  <pic:nvPicPr>
                    <pic:cNvPr id="0" name="tmpbx16fvom.png"/>
                    <pic:cNvPicPr/>
                  </pic:nvPicPr>
                  <pic:blipFill>
                    <a:blip r:embed="rId13"/>
                    <a:stretch>
                      <a:fillRect/>
                    </a:stretch>
                  </pic:blipFill>
                  <pic:spPr>
                    <a:xfrm>
                      <a:off x="0" y="0"/>
                      <a:ext cx="5029200" cy="3393765"/>
                    </a:xfrm>
                    <a:prstGeom prst="rect"/>
                  </pic:spPr>
                </pic:pic>
              </a:graphicData>
            </a:graphic>
          </wp:inline>
        </w:drawing>
      </w:r>
    </w:p>
    <w:p>
      <w:pPr>
        <w:jc w:val="center"/>
      </w:pPr>
      <w:r>
        <w:rPr>
          <w:sz w:val="20"/>
          <w:i/>
        </w:rPr>
        <w:t xml:space="preserve">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029200" cy="2948473"/>
            <wp:docPr id="2" name="Picture 2"/>
            <wp:cNvGraphicFramePr>
              <a:graphicFrameLocks noChangeAspect="1"/>
            </wp:cNvGraphicFramePr>
            <a:graphic>
              <a:graphicData uri="http://schemas.openxmlformats.org/drawingml/2006/picture">
                <pic:pic>
                  <pic:nvPicPr>
                    <pic:cNvPr id="0" name="tmp6nrpnsef.png"/>
                    <pic:cNvPicPr/>
                  </pic:nvPicPr>
                  <pic:blipFill>
                    <a:blip r:embed="rId12"/>
                    <a:stretch>
                      <a:fillRect/>
                    </a:stretch>
                  </pic:blipFill>
                  <pic:spPr>
                    <a:xfrm>
                      <a:off x="0" y="0"/>
                      <a:ext cx="5029200" cy="2948473"/>
                    </a:xfrm>
                    <a:prstGeom prst="rect"/>
                  </pic:spPr>
                </pic:pic>
              </a:graphicData>
            </a:graphic>
          </wp:inline>
        </w:drawing>
      </w:r>
    </w:p>
    <w:p>
      <w:pPr>
        <w:jc w:val="center"/>
      </w:pPr>
      <w:r>
        <w:rPr>
          <w:sz w:val="20"/>
          <w:i/>
        </w:rPr>
        <w:t xml:space="preserve">Figure 4 Forest Plot of RDS Estimates: Comparison of RDS-I and RDS-SS prevalence estimates for binary exploitation indicators (N=980,000). Error bars represent 95% bootstrap confidence intervals.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029200" cy="3147527"/>
            <wp:docPr id="1" name="Picture 1"/>
            <wp:cNvGraphicFramePr>
              <a:graphicFrameLocks noChangeAspect="1"/>
            </wp:cNvGraphicFramePr>
            <a:graphic>
              <a:graphicData uri="http://schemas.openxmlformats.org/drawingml/2006/picture">
                <pic:pic>
                  <pic:nvPicPr>
                    <pic:cNvPr id="0" name="tmpy24lnkh6.png"/>
                    <pic:cNvPicPr/>
                  </pic:nvPicPr>
                  <pic:blipFill>
                    <a:blip r:embed="rId11"/>
                    <a:stretch>
                      <a:fillRect/>
                    </a:stretch>
                  </pic:blipFill>
                  <pic:spPr>
                    <a:xfrm>
                      <a:off x="0" y="0"/>
                      <a:ext cx="5029200" cy="3147527"/>
                    </a:xfrm>
                    <a:prstGeom prst="rect"/>
                  </pic:spPr>
                </pic:pic>
              </a:graphicData>
            </a:graphic>
          </wp:inline>
        </w:drawing>
      </w:r>
    </w:p>
    <w:p>
      <w:pPr>
        <w:jc w:val="center"/>
      </w:pPr>
      <w:r>
        <w:rPr>
          <w:sz w:val="20"/>
          <w:i/>
        </w:rPr>
        <w:t xml:space="preserve">Figure 5 Forest Plot of RDS Estimates: Comparison of RDS-I and RDS-SS prevalence estimates for binary exploitation indicators (N=980,000). Error bars represent 95% bootstrap confidence intervals.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rPr>
          <w:strike/>
          <w:color w:val="C0392B"/>
        </w:rPr>
        <w:t xml:space="preserve">This transdisciplinary study makes several methodological contributions to the estimation of prevalence in hidden and hard-to-reach populations: </w:t>
      </w:r>
      <w:r>
        <w:rPr>
          <w:b/>
          <w:color w:val="2171B5"/>
        </w:rPr>
        <w:t>This paper makes three contributions to the social-indicators literature. First, it develops a dual ego/alter survey instrument that yields directly comparable RDS and NSUM estimates of five ILO-aligned labour-exploitation indicators, addressing a long-standing measurement gap noted by the ILO (2017, 2022) in which RDS-derived estimates rely on respondent self-report whereas NSUM-derived estimates rely on respondents' reports about others. Second, it implements a three-step bootstrap inference procedure for NSUM estimates of multiple indicators in a hidden population, propagating uncertainty from network-size estimation, alter-count estimation and visibility-adjustment in a single re-sampling scheme. Third, it shows how the divergence between RDS and NSUM estimates can be read diagnostically — as evidence about the visibility of different exploitation behaviours within the workers' personal networks — rather than as a single 'best' point estimate, and proposes a continuous risk index that integrates the five indicators into a single quality-of-life-relevant social indicator for hidden vulnerable populations. The UK domestic-worker case demonstrates the approach in the hardest realistic setting;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