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strike/>
          <w:color w:val="C0392B"/>
        </w:rPr>
        <w:t xml:space="preserve">We used the International Labour Organization’s (I.L.O., 2012) ‘Indicators of Forced Labour’ to identify the potential for severe labour exploitation and as a basis for the quantification of our labour exploitation and abuse risk index. The ILO identify eleven indicators designed to help understand how forced labour arises and how it affects victims. These indicators include: abuse of vulnerability; deception; restriction of movement; isolation; physical and sexual violence; intimidation and threats; retention of identity documents; withholding of wages; debt bondage; abusive working and living conditions and excessive overtime. According to the ILO, the presence of a single indicator in any given situation may in some cases imply the existence of forced labour. However, it also suggests that in other cases it may be necessary to look for several indications which, taken together, may point to a case of forced labour. We seek to refine this statement through the construction of a composite index by which means a degree of risk related to the likelihood of a domestic worker experiencing this most severe form of exploitation may be distinguished from the likely occurrence of less severe, though similarly illegal, forms of labour abuse. </w:t>
      </w:r>
      <w:r>
        <w:rPr>
          <w:b/>
          <w:color w:val="2171B5"/>
        </w:rPr>
        <w:t>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organised around the ILO's own operational distinction (ILO 2012, 2017) between 'medium' indicators (multiple required to indicate forced labour: excessive working hours, pay-related issues, limited access to help) and 'strong' indicators (any one alone sufficient to indicate forced labour: threats and abuse, document and passport withholding).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