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rPr>
          <w:b/>
          <w:color w:val="2171B5"/>
        </w:rP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rPr>
          <w:b/>
          <w:color w:val="2171B5"/>
        </w:rP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rPr>
          <w:b/>
          <w:color w:val="2171B5"/>
        </w:rP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rPr>
          <w:strike/>
          <w:color w:val="C0392B"/>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sensitivity analysis across multiple parameter values: δ ∈ {0.8, 0.9, 1.0} and τ ∈ {0.7, 0.85, 1.0}, where δ=1.0 and τ=1.0 represent the unadjusted baseline scenario.   </w:t>
      </w:r>
      <w:r>
        <w:rPr>
          <w:b/>
          <w:color w:val="2171B5"/>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color w:val="2171B5"/>
        </w:rPr>
        <w:t>[NEW SECTION] 3.6</w:t>
        <w:tab/>
        <w:t>Choice of population size and the invariance of prevalence</w:t>
      </w:r>
    </w:p>
    <w:p>
      <w:r>
        <w:rPr>
          <w:b/>
          <w:color w:val="2171B5"/>
        </w:rP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rPr>
          <w:b/>
          <w:color w:val="2171B5"/>
        </w:rP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rPr>
          <w:b/>
          <w:color w:val="2171B5"/>
        </w:rP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rPr>
          <w:b/>
          <w:color w:val="2171B5"/>
        </w:rP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rPr>
          <w:strike/>
          <w:color w:val="C0392B"/>
        </w:rPr>
        <w:t>3.6</w:t>
        <w:tab/>
        <w:t xml:space="preserve">Bootstrap and Sensitivity Procedures </w:t>
      </w:r>
      <w:r>
        <w:rPr>
          <w:b/>
          <w:color w:val="2171B5"/>
        </w:rP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rPr>
          <w:strike/>
          <w:color w:val="C0392B"/>
        </w:rPr>
        <w:t xml:space="preserve">To appropriately characterise uncertainty in NSUM estimates, we developed a novel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r>
        <w:rPr>
          <w:b/>
          <w:color w:val="2171B5"/>
        </w:rP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Pr>
          <w:strike/>
          <w:color w:val="C0392B"/>
        </w:rPr>
        <w:t xml:space="preserve">3.7 Use of AI </w:t>
      </w:r>
      <w:r>
        <w:rPr>
          <w:b/>
          <w:color w:val="2171B5"/>
        </w:rP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strike/>
          <w:color w:val="C0392B"/>
        </w:rPr>
        <w:t xml:space="preserve">Large Language Models (LLMs) were used for brainstorming the organization of the paper and some textual editing. Code co-pilot (Claude Code) was used to test and debug R scripts employed in the statistical analysis. No generative models were used to generate or simulate data. </w:t>
      </w:r>
      <w:r>
        <w:rPr>
          <w:b/>
          <w:color w:val="2171B5"/>
        </w:rP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indicators in the same survey with the same respondents. The two methods rest on different inferential foundations: RDS uses ego-based reports (the respondent's own experience of exploitation) while NSUM uses alter-based reports (the respondent's observations of people they know). Most published applications use one method or the other; combining both within a single matched-instrument survey lets us triangulate prevalence on the same set of respondents, and where the two estimators diverge, we obtain diagnostic evidence about the visibility of different exploitation behaviours within workers' personal networks. To our knowledge this is the first study to apply both methods to a single matched-indicator instrument in a developed-economy setting. Second, we operationalise modern slavery as a graded hierarchy of indicators rather than a binary condition. The five ILO-aligned indicators we measure are organised around the ILO's own operational distinction (ILO 2012, 2017) between 'medium' indicators (multiple required to indicate forced labour: excessive working hours, pay-related issues, limited access to help) and 'strong' indicators (any one alone sufficient to indicate forced labour: threats and abuse, document and passport withholding). This hierarchy lets a single survey instrument capture exploitation across the full spectrum of severity, supports a continuous risk index for analyses that need one, and aligns with the synthetic-indicator literature that treats severity as a latent construct constituted by graded markers of varying salience (Mazziotta and Pareto 2013; Diamantopoulos and Siguaw 2006; Maggino 2017; Bartram et al. 2024). The UK domestic-worker case demonstrates the approach on the hardest realistic case for measurement;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