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7777777"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labour exploitation among domestic workers in the United Kingdom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3055EFC5" w14:textId="77777777" w:rsidR="42137F93" w:rsidRDefault="000B5D2E" w:rsidP="752265D2">
      <w:pPr>
        <w:spacing w:line="480" w:lineRule="auto"/>
        <w:rPr>
          <w:rFonts w:ascii="var(--bs-body-font-family)" w:hAnsi="var(--bs-body-font-family)" w:hint="eastAsia"/>
          <w:lang w:val="en-US"/>
        </w:rPr>
      </w:pPr>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6BDC1901" w14:textId="77777777" w:rsidR="42137F93" w:rsidRDefault="42137F93" w:rsidP="752265D2">
      <w:pPr>
        <w:spacing w:line="480" w:lineRule="auto"/>
        <w:rPr>
          <w:rStyle w:val="Strong"/>
          <w:lang w:val="en-US"/>
        </w:rPr>
      </w:pPr>
      <w:r w:rsidRPr="752265D2">
        <w:rPr>
          <w:rStyle w:val="Strong"/>
          <w:lang w:val="en-US"/>
        </w:rPr>
        <w:lastRenderedPageBreak/>
        <w:t>Key words</w:t>
      </w:r>
    </w:p>
    <w:p w14:paraId="75B81D4B" w14:textId="77777777"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labour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3348AFAC" w14:textId="77777777" w:rsidR="752265D2" w:rsidRDefault="752265D2" w:rsidP="752265D2">
      <w:pPr>
        <w:rPr>
          <w:rFonts w:eastAsia="Times New Roman"/>
          <w:b/>
          <w:bCs/>
          <w:lang w:val="en-US"/>
        </w:rPr>
      </w:pPr>
    </w:p>
    <w:p w14:paraId="068822D8"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29FA58D5">
      <w:pPr>
        <w:spacing w:line="480" w:lineRule="auto"/>
        <w:divId w:val="2143187879"/>
        <w:rPr>
          <w:rFonts w:ascii="var(--bs-body-font-family)" w:hAnsi="var(--bs-body-font-family)" w:hint="eastAsia"/>
          <w:lang w:val="en-US"/>
        </w:rPr>
      </w:pPr>
      <w:r>
        <w:t xml:space="preserve">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w:t>
      </w:r>
      <w:r>
        <w:lastRenderedPageBreak/>
        <w:t>diverge, diagnostic inference about which exploitation behaviours are visible within personal networks and which are not.</w:t>
      </w:r>
    </w:p>
    <w:p w14:paraId="6BD38547" w14:textId="77777777" w:rsidR="002171EC" w:rsidRPr="0041001D" w:rsidRDefault="00F009ED" w:rsidP="29FA58D5">
      <w:pPr>
        <w:spacing w:line="480" w:lineRule="auto"/>
        <w:divId w:val="2143187879"/>
        <w:rPr>
          <w:rFonts w:ascii="var(--bs-body-font-family)" w:hAnsi="var(--bs-body-font-family)" w:hint="eastAsia"/>
          <w:lang w:val="en-US"/>
        </w:rPr>
      </w:pPr>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29FA58D5">
      <w:pPr>
        <w:spacing w:line="480" w:lineRule="auto"/>
        <w:divId w:val="2143187879"/>
        <w:rPr>
          <w:rFonts w:ascii="var(--bs-body-font-family)" w:hAnsi="var(--bs-body-font-family)" w:hint="eastAsia"/>
          <w:lang w:val="en-US"/>
        </w:rPr>
      </w:pPr>
      <w:r>
        <w:t xml:space="preserve">The International Labour Organization's eleven indicators of forced labour (ILO 2012, 2017) provide the canonical operational framework for measuring modern slavery. The ILO </w:t>
      </w:r>
      <w:r>
        <w:lastRenderedPageBreak/>
        <w:t>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t>
      </w:r>
      <w:r>
        <w:lastRenderedPageBreak/>
        <w:t>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In our study, we conceptualise the risk of labour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We conceive severe forms of labour exploitation such as forced labour as one end of a spectrum ranging from illegal employment practices that constitute labour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of this personal risk permits a degree of risk to be assigned to various clusters of forced labour</w:t>
      </w:r>
      <w:r w:rsidR="00577DEA" w:rsidRPr="752265D2">
        <w:rPr>
          <w:rFonts w:ascii="var(--bs-body-font-family)" w:hAnsi="var(--bs-body-font-family)"/>
          <w:lang w:val="en-US"/>
        </w:rPr>
        <w:t xml:space="preserve"> </w:t>
      </w:r>
      <w:r w:rsidRPr="752265D2">
        <w:rPr>
          <w:rFonts w:ascii="var(--bs-body-font-family)" w:hAnsi="var(--bs-body-font-family)"/>
          <w:lang w:val="en-US"/>
        </w:rPr>
        <w:t>indicators with the more indicators present, the stronger the likelihood that the working conditions may be considered exploitative. Along with this novel conceptualization of labour</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These indicators allowed us to operationalise</w:t>
      </w:r>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Case Setting: Labour Exploitation Risk Among Transnational Migrant Domestic Workers In The UK</w:t>
      </w:r>
    </w:p>
    <w:p w14:paraId="37FADEA4" w14:textId="77777777"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Manoudi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w:t>
      </w:r>
      <w:r w:rsidRPr="23ADB1D8">
        <w:rPr>
          <w:rFonts w:ascii="var(--bs-body-font-family)" w:hAnsi="var(--bs-body-font-family)"/>
          <w:lang w:val="en-US"/>
        </w:rPr>
        <w:lastRenderedPageBreak/>
        <w:t xml:space="preserve">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organisation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specialised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from minor breaches of employment and health and safety law, to physical and sexual violence, slavery, forced labour and trafficking.</w:t>
      </w:r>
    </w:p>
    <w:p w14:paraId="51F57F37" w14:textId="77777777"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That these conditions may persist is evidenced by a report from another civil society organisation,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labour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orked with civil society organis</w:t>
      </w:r>
      <w:r w:rsidR="00130146" w:rsidRPr="752265D2">
        <w:rPr>
          <w:rFonts w:ascii="var(--bs-body-font-family)" w:hAnsi="var(--bs-body-font-family)"/>
          <w:lang w:val="en-US"/>
        </w:rPr>
        <w:t>a</w:t>
      </w:r>
      <w:r w:rsidR="00F63673" w:rsidRPr="752265D2">
        <w:rPr>
          <w:rFonts w:ascii="var(--bs-body-font-family)" w:hAnsi="var(--bs-body-font-family)"/>
          <w:lang w:val="en-US"/>
        </w:rPr>
        <w:t>tions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xml:space="preserve">.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w:t>
      </w:r>
      <w:r w:rsidRPr="23ADB1D8">
        <w:rPr>
          <w:rFonts w:ascii="var(--bs-body-font-family)" w:hAnsi="var(--bs-body-font-family)"/>
          <w:lang w:val="en-US"/>
        </w:rPr>
        <w:lastRenderedPageBreak/>
        <w:t>Each participant reports their network degree (the number of eligible contacts they know), which is used to adjust for selection bias—especially the oversampling of high-degree individuals.</w:t>
      </w:r>
    </w:p>
    <w:p w14:paraId="0187405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labour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labour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labour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77777777"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organisations. One was an exclusively online community of transnational domestic workers working in the UK, the second represented UK domestic workers of Filipino origin, and the third drew its membership from the Latin American community </w:t>
      </w:r>
      <w:r w:rsidR="003B681D" w:rsidRPr="23ADB1D8">
        <w:rPr>
          <w:rFonts w:ascii="var(--bs-body-font-family)" w:hAnsi="var(--bs-body-font-family)"/>
          <w:lang w:val="en-US"/>
        </w:rPr>
        <w:lastRenderedPageBreak/>
        <w:t>of domestic workers, also in the UK. Representatives from these organisations,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Singer and Bossarte</w:t>
      </w:r>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Brunovskis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r w:rsidRPr="23ADB1D8">
        <w:rPr>
          <w:rStyle w:val="citation"/>
          <w:rFonts w:ascii="var(--bs-body-font-family)" w:hAnsi="var(--bs-body-font-family)"/>
          <w:lang w:val="en-US"/>
        </w:rPr>
        <w:t xml:space="preserve">Laguilles,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w:t>
      </w:r>
      <w:r w:rsidRPr="23ADB1D8">
        <w:rPr>
          <w:rFonts w:ascii="var(--bs-body-font-family)" w:hAnsi="var(--bs-body-font-family)"/>
          <w:lang w:val="en-US"/>
        </w:rPr>
        <w:lastRenderedPageBreak/>
        <w:t xml:space="preserve">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To minimise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survey instrument was designed to capture both egocentric (ego-based) and altercentric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labour exploitation, including severe forms of exploitation such as forced labour, were constructed from existing exploitation typologies, notably the ILO’s Indicators of Forced Labour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w:t>
      </w:r>
      <w:r>
        <w:rPr>
          <w:rFonts w:ascii="var(--bs-body-font-family)" w:hAnsi="var(--bs-body-font-family)"/>
          <w:lang w:val="en"/>
        </w:rPr>
        <w:lastRenderedPageBreak/>
        <w:t>continuous risk index designed to capture gradations of vulnerability across the full sample.</w:t>
      </w:r>
    </w:p>
    <w:p w14:paraId="7A4015DE"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neighbourhood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Of the 97 initial respondents, 90 identified themselves as transnational migrants. Forty-five percent regarded themselves as self-employed, 39% identified themselves as employees, and 16% categorised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5D358636" w14:textId="77777777" w:rsidR="00AA7A35" w:rsidRDefault="003B681D" w:rsidP="00E669D5">
      <w:pPr>
        <w:spacing w:line="480" w:lineRule="auto"/>
        <w:rPr>
          <w:rFonts w:ascii="var(--bs-body-font-family)" w:eastAsia="Times New Roman" w:hAnsi="var(--bs-body-font-family)"/>
          <w:lang w:val="en"/>
        </w:rPr>
      </w:pPr>
      <w:r>
        <w:rPr>
          <w:i/>
          <w:color w:val="999999"/>
          <w:sz w:val="18"/>
        </w:rPr>
        <w:t>[Figure 1 inserted below]</w:t>
      </w:r>
    </w:p>
    <w:p w14:paraId="696ABF4C" w14:textId="77777777" w:rsidR="00476257" w:rsidRDefault="00000000">
      <w:pPr>
        <w:jc w:val="center"/>
      </w:pPr>
      <w:r>
        <w:rPr>
          <w:noProof/>
        </w:rPr>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14F5E710" w14:textId="77777777" w:rsidR="00AA7A35" w:rsidRDefault="005E6F0A" w:rsidP="00E669D5">
      <w:pPr>
        <w:spacing w:line="480" w:lineRule="auto"/>
        <w:rPr>
          <w:rFonts w:ascii="var(--bs-body-font-family)" w:eastAsia="Times New Roman" w:hAnsi="var(--bs-body-font-family)"/>
          <w:lang w:val="en"/>
        </w:rPr>
      </w:pPr>
      <w:r>
        <w:rPr>
          <w:i/>
          <w:color w:val="999999"/>
          <w:sz w:val="18"/>
        </w:rPr>
        <w:t>[Table 1 inserted below]</w:t>
      </w:r>
    </w:p>
    <w:p w14:paraId="38AE1C0B" w14:textId="77777777" w:rsidR="00476257" w:rsidRDefault="00000000">
      <w:pPr>
        <w:jc w:val="center"/>
      </w:pPr>
      <w:r>
        <w:rPr>
          <w:noProof/>
        </w:rPr>
        <w:lastRenderedPageBreak/>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analysed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7C8935C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xml:space="preserve">. Given our small sample (85 respondents) and non-negligible sampling fraction, RDS-SS serves as our primary estimator for binary outcomes because it accounts for finite population </w:t>
      </w:r>
      <w:r w:rsidRPr="23ADB1D8">
        <w:rPr>
          <w:rFonts w:ascii="var(--bs-body-font-family)" w:hAnsi="var(--bs-body-font-family)"/>
          <w:lang w:val="en-US"/>
        </w:rPr>
        <w:lastRenderedPageBreak/>
        <w:t>effects. RDS-I, which performs poorly in small samples and is highly sensitive to seed dependence, is retained as a historical benchmark.</w:t>
      </w:r>
    </w:p>
    <w:p w14:paraId="751D10A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w:t>
      </w:r>
      <w:r>
        <w:lastRenderedPageBreak/>
        <w:t>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61BDFE6D" w14:textId="77777777"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w:t>
      </w:r>
      <w:r w:rsidRPr="23ADB1D8">
        <w:rPr>
          <w:rFonts w:ascii="var(--bs-body-font-family)" w:hAnsi="var(--bs-body-font-family)"/>
          <w:lang w:val="en-US"/>
        </w:rPr>
        <w:lastRenderedPageBreak/>
        <w:t>respondents. RDS estimators explicitly correct for this by weighting observations according to network degree and recruitment path.</w:t>
      </w:r>
    </w:p>
    <w:p w14:paraId="44085CD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t>3.6</w:t>
      </w:r>
      <w:r>
        <w:rPr>
          <w:b/>
        </w:rPr>
        <w:tab/>
        <w:t>Choice of population size and the invariance of prevalence</w:t>
      </w:r>
    </w:p>
    <w:p w14:paraId="25065C06" w14:textId="77777777" w:rsidR="00476257" w:rsidRDefault="00000000">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14:paraId="5CCAC349" w14:textId="77777777" w:rsidR="00476257" w:rsidRDefault="00000000">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77777777" w:rsidR="00476257" w:rsidRDefault="00000000">
      <w:r>
        <w:t xml:space="preserve">Why, then, are different N values used in different parts of the analysis? RDS and NSUM headline estimates use N = 980,000, the EU baseline estimate for UK domestic workers; this is the value most readers will expect to see and against which any absolute-count reporting </w:t>
      </w:r>
      <w:r>
        <w:lastRenderedPageBreak/>
        <w:t>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669D5">
      <w:pPr>
        <w:pStyle w:val="NormalWeb"/>
        <w:spacing w:line="480" w:lineRule="auto"/>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9952E53" w14:textId="77777777"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1B1F1A12" w14:textId="77777777" w:rsidR="005A3473" w:rsidRDefault="1E9D9EBD" w:rsidP="00E669D5">
      <w:pPr>
        <w:pStyle w:val="NormalWeb"/>
        <w:spacing w:line="480" w:lineRule="auto"/>
        <w:divId w:val="1975518704"/>
        <w:rPr>
          <w:rFonts w:ascii="var(--bs-body-font-family)" w:hAnsi="var(--bs-body-font-family)" w:hint="eastAsia"/>
          <w:lang w:val="en-US"/>
        </w:rPr>
      </w:pPr>
      <w:r>
        <w:t>3.8 Use of AI</w:t>
      </w:r>
    </w:p>
    <w:p w14:paraId="1337D7F1" w14:textId="77777777" w:rsidR="00EB72B9" w:rsidRDefault="00EB72B9" w:rsidP="00E669D5">
      <w:pPr>
        <w:pStyle w:val="NormalWeb"/>
        <w:spacing w:line="480" w:lineRule="auto"/>
        <w:divId w:val="1975518704"/>
        <w:rPr>
          <w:rFonts w:ascii="var(--bs-body-font-family)" w:hAnsi="var(--bs-body-font-family)" w:hint="eastAsia"/>
          <w:lang w:val="en-US"/>
        </w:rPr>
      </w:pPr>
      <w:r>
        <w:lastRenderedPageBreak/>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60640341" w14:textId="77777777"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7DDB21F" w14:textId="77777777" w:rsidR="00476257" w:rsidRDefault="00000000">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24B46EAC"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w:t>
      </w:r>
      <w:r w:rsidRPr="23ADB1D8">
        <w:rPr>
          <w:rFonts w:ascii="var(--bs-body-font-family)" w:hAnsi="var(--bs-body-font-family)"/>
          <w:lang w:val="en-US"/>
        </w:rPr>
        <w:lastRenderedPageBreak/>
        <w:t>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t>4.2</w:t>
      </w:r>
      <w:r>
        <w:tab/>
        <w:t>Continuous Risk Index: RDS-SS Estimates</w:t>
      </w:r>
    </w:p>
    <w:p w14:paraId="49100A5F" w14:textId="77777777" w:rsidR="00AA7A35" w:rsidRDefault="003B681D" w:rsidP="00E669D5">
      <w:pPr>
        <w:pStyle w:val="NormalWeb"/>
        <w:spacing w:line="480" w:lineRule="auto"/>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2614F083" w14:textId="77777777" w:rsidR="00AA7A35" w:rsidRDefault="003B681D" w:rsidP="00E669D5">
      <w:pPr>
        <w:spacing w:line="480" w:lineRule="auto"/>
        <w:rPr>
          <w:rFonts w:ascii="var(--bs-body-font-family)" w:eastAsia="Times New Roman" w:hAnsi="var(--bs-body-font-family)"/>
          <w:lang w:val="en"/>
        </w:rPr>
      </w:pPr>
      <w:r>
        <w:rPr>
          <w:i/>
          <w:color w:val="999999"/>
          <w:sz w:val="18"/>
        </w:rPr>
        <w:t>[Figure 2 inserted below]</w:t>
      </w:r>
    </w:p>
    <w:p w14:paraId="0C5BA510" w14:textId="77777777" w:rsidR="00476257" w:rsidRDefault="00000000">
      <w:pPr>
        <w:jc w:val="center"/>
      </w:pPr>
      <w:r>
        <w:rPr>
          <w:noProof/>
        </w:rPr>
        <w:lastRenderedPageBreak/>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77777777" w:rsidR="00AA7A35" w:rsidRDefault="003B681D" w:rsidP="00E669D5">
      <w:pPr>
        <w:pStyle w:val="NormalWeb"/>
        <w:spacing w:line="480" w:lineRule="auto"/>
        <w:divId w:val="1975518704"/>
        <w:rPr>
          <w:rFonts w:ascii="var(--bs-body-font-family)" w:hAnsi="var(--bs-body-font-family)" w:hint="eastAsia"/>
          <w:lang w:val="en-US"/>
        </w:rPr>
      </w:pPr>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365258DC" w14:textId="77777777" w:rsidR="00AA7A35" w:rsidRDefault="003B681D" w:rsidP="00E669D5">
      <w:pPr>
        <w:pStyle w:val="NormalWeb"/>
        <w:spacing w:line="480" w:lineRule="auto"/>
        <w:divId w:val="1975518704"/>
        <w:rPr>
          <w:rFonts w:ascii="var(--bs-body-font-family)" w:hAnsi="var(--bs-body-font-family)" w:hint="eastAsia"/>
          <w:lang w:val="en-US"/>
        </w:rPr>
      </w:pPr>
      <w:r>
        <w:t xml:space="preserve">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w:t>
      </w:r>
      <w:r>
        <w:lastRenderedPageBreak/>
        <w:t>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4E0C7FD0" w14:textId="77777777" w:rsidR="008435B2" w:rsidRDefault="00143806" w:rsidP="00E669D5">
      <w:pPr>
        <w:pStyle w:val="NormalWeb"/>
        <w:spacing w:line="480" w:lineRule="auto"/>
        <w:divId w:val="1975518704"/>
        <w:rPr>
          <w:rFonts w:ascii="var(--bs-body-font-family)" w:hAnsi="var(--bs-body-font-family)" w:hint="eastAsia"/>
          <w:lang w:val="en-US"/>
        </w:rPr>
      </w:pPr>
      <w:r>
        <w:rPr>
          <w:i/>
          <w:color w:val="999999"/>
          <w:sz w:val="18"/>
        </w:rPr>
        <w:t>[Figure 3 inserted below]</w:t>
      </w:r>
    </w:p>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46534DC" w14:textId="77777777" w:rsidR="00476257" w:rsidRDefault="00000000">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79A9ACB1" w14:textId="77777777"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
        <w:t>For each of the five binary indicators, three additional families of estimates are reported in the appendices for transparency and robustness.</w:t>
      </w:r>
    </w:p>
    <w:p w14:paraId="737A2D48" w14:textId="77777777" w:rsidR="00476257" w:rsidRDefault="00000000">
      <w:r>
        <w:lastRenderedPageBreak/>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14:paraId="312817D2" w14:textId="77777777" w:rsidR="00476257" w:rsidRDefault="00000000">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14:paraId="6A26A615" w14:textId="77777777" w:rsidR="00476257" w:rsidRDefault="00000000">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0EC7F711" w14:textId="77777777" w:rsidR="007811A3" w:rsidRDefault="007811A3" w:rsidP="00E669D5">
      <w:pPr>
        <w:spacing w:line="480" w:lineRule="auto"/>
        <w:rPr>
          <w:rFonts w:ascii="var(--bs-body-font-family)" w:eastAsia="Times New Roman" w:hAnsi="var(--bs-body-font-family)"/>
          <w:lang w:val="en"/>
        </w:rPr>
      </w:pPr>
      <w:r>
        <w:rPr>
          <w:i/>
          <w:color w:val="999999"/>
          <w:sz w:val="18"/>
        </w:rPr>
        <w:t>[Table 2 inserted below]</w:t>
      </w: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000000"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000000" w:rsidRPr="002D7196" w:rsidRDefault="00000000" w:rsidP="002D7196">
            <w:pPr>
              <w:rPr>
                <w:rFonts w:asciiTheme="majorHAnsi" w:hAnsiTheme="majorHAnsi"/>
              </w:rPr>
            </w:pPr>
            <w:r w:rsidRPr="002D7196">
              <w:rPr>
                <w:rFonts w:asciiTheme="majorHAnsi" w:hAnsiTheme="majorHAnsi"/>
                <w:b/>
                <w:bCs/>
              </w:rPr>
              <w:t>Population Prevalence (95% CrI)</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000000"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000000"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000000"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000000"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000000"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000000"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000000"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000000"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000000"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000000"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000000"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000000"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000000"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000000"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1BBB9151" w14:textId="77777777" w:rsidR="00812970" w:rsidRDefault="007811A3" w:rsidP="00E669D5">
      <w:pPr>
        <w:spacing w:line="480" w:lineRule="auto"/>
        <w:rPr>
          <w:rFonts w:ascii="var(--bs-body-font-family)" w:eastAsia="Times New Roman" w:hAnsi="var(--bs-body-font-family)"/>
          <w:noProof/>
          <w:lang w:val="en"/>
        </w:rPr>
      </w:pPr>
      <w:r>
        <w:rPr>
          <w:i/>
          <w:color w:val="999999"/>
          <w:sz w:val="18"/>
        </w:rPr>
        <w:t>[Figure 4 inserted below]</w:t>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6F240963" w14:textId="77777777" w:rsidR="00811BB7" w:rsidRDefault="00811BB7" w:rsidP="00E669D5">
      <w:pPr>
        <w:pStyle w:val="NormalWeb"/>
        <w:spacing w:line="480" w:lineRule="auto"/>
        <w:divId w:val="1975518704"/>
        <w:rPr>
          <w:rFonts w:ascii="var(--bs-body-font-family)" w:hAnsi="var(--bs-body-font-family)" w:hint="eastAsia"/>
          <w:lang w:val="en"/>
        </w:rPr>
      </w:pPr>
      <w:r>
        <w:rPr>
          <w:i/>
          <w:color w:val="999999"/>
          <w:sz w:val="18"/>
        </w:rPr>
        <w:t>[Table 3 inserted below]</w:t>
      </w: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000000"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000000"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000000"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000000"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000000"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000000"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000000"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000000"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000000"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000000"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000000"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000000"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000000"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000000"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000000"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000000"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000000"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000000"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000000"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000000" w:rsidRDefault="00000000"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000000" w:rsidRDefault="00000000" w:rsidP="3F6B0310">
            <w:pPr>
              <w:jc w:val="right"/>
              <w:rPr>
                <w:rFonts w:asciiTheme="minorHAnsi" w:hAnsiTheme="minorHAnsi" w:cstheme="minorBidi"/>
                <w:sz w:val="20"/>
                <w:szCs w:val="20"/>
              </w:rPr>
            </w:pPr>
          </w:p>
        </w:tc>
      </w:tr>
    </w:tbl>
    <w:p w14:paraId="507D3376" w14:textId="77777777" w:rsidR="00476257" w:rsidRDefault="00476257"/>
    <w:p w14:paraId="6E2C2582" w14:textId="77777777" w:rsidR="004E568D" w:rsidRDefault="004E568D" w:rsidP="00E669D5">
      <w:pPr>
        <w:spacing w:line="480" w:lineRule="auto"/>
        <w:divId w:val="1975518704"/>
        <w:rPr>
          <w:rFonts w:ascii="var(--bs-body-font-family)" w:eastAsia="Times New Roman" w:hAnsi="var(--bs-body-font-family)"/>
          <w:lang w:val="en"/>
        </w:rPr>
      </w:pPr>
      <w:r>
        <w:rPr>
          <w:i/>
          <w:color w:val="999999"/>
          <w:sz w:val="18"/>
        </w:rPr>
        <w:t>[Figure 5 inserted below]</w:t>
      </w:r>
    </w:p>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6F1E25C8" w14:textId="77777777" w:rsidR="00811BB7" w:rsidRDefault="00811BB7" w:rsidP="001840FB">
      <w:pPr>
        <w:spacing w:line="480" w:lineRule="auto"/>
        <w:rPr>
          <w:rFonts w:ascii="var(--bs-body-font-family)" w:eastAsia="Times New Roman" w:hAnsi="var(--bs-body-font-family)"/>
          <w:lang w:val="en"/>
        </w:rPr>
      </w:pPr>
      <w:r>
        <w:rPr>
          <w:i/>
          <w:color w:val="999999"/>
          <w:sz w:val="18"/>
        </w:rPr>
        <w:t>[Table 4 inserted below]</w:t>
      </w: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000000"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000000"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000000"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000000"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000000"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000000"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6F8C6A3A"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66A8565" w14:textId="77777777" w:rsidR="00000000"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000000"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000000"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000000"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000000"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000000"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000000"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000000"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000000"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000000"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000000"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000000"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000000"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000000"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000000"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000000"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000000"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000000"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000000"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000000"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000000"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000000"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000000"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000000"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000000"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000000"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000000"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000000"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000000"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000000"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000000"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0746CC9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165EFC" w14:textId="77777777" w:rsidR="00000000"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000000"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000000"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000000"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000000"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000000"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000000"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000000"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000000"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000000"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000000"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000000"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000000"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000000"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000000"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000000"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000000"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000000"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000000"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000000"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000000"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000000"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000000"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000000"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000000"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000000"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000000"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000000"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000000"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000000"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000000"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43E1DD6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2B77A76" w14:textId="77777777" w:rsidR="00000000"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000000"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000000"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000000"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000000"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000000"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000000"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000000"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000000"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000000"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000000"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000000"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000000"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000000"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000000"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000000"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000000"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000000"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000000"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000000"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000000"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000000"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000000"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000000"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000000"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000000"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000000"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000000"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000000"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000000"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000000"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000000"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000000" w:rsidRDefault="00000000"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000000" w:rsidRDefault="00000000"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000000" w:rsidRDefault="00000000"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000000" w:rsidRDefault="00000000"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000000" w:rsidRDefault="00000000"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0951BC3A" w14:textId="77777777" w:rsidR="00476257" w:rsidRDefault="00000000">
      <w:pPr>
        <w:pStyle w:val="NormalWeb"/>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0D0264A8" w14:textId="77777777" w:rsidR="00476257" w:rsidRDefault="00000000">
      <w:pPr>
        <w:pStyle w:val="NormalWeb"/>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pPr>
        <w:pStyle w:val="NormalWeb"/>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pPr>
        <w:pStyle w:val="NormalWeb"/>
      </w:pPr>
      <w:r>
        <w:t>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pPr>
        <w:pStyle w:val="NormalWeb"/>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pPr>
        <w:pStyle w:val="NormalWeb"/>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9589ABF" w14:textId="77777777" w:rsidR="00476257" w:rsidRDefault="00000000">
      <w:pPr>
        <w:pStyle w:val="NormalWeb"/>
      </w:pPr>
      <w:r>
        <w:t>Two related concerns raised by reviewers of earlier versions of this paper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17355DF7" w14:textId="77777777" w:rsidR="00476257" w:rsidRDefault="00000000">
      <w:pPr>
        <w:pStyle w:val="NormalWeb"/>
      </w:pPr>
      <w:r>
        <w:t>The “wide range” concern conflates three distinct sources of dispersion in the reported numbers. We should not treat them as a single undifferentiated band of uncertainty.</w:t>
      </w:r>
    </w:p>
    <w:p w14:paraId="756298A1" w14:textId="77777777" w:rsidR="00476257" w:rsidRDefault="00000000">
      <w:pPr>
        <w:pStyle w:val="NormalWeb"/>
      </w:pP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pPr>
        <w:pStyle w:val="NormalWeb"/>
      </w:pPr>
      <w:r>
        <w:t>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two answer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pPr>
        <w:pStyle w:val="NormalWeb"/>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pPr>
        <w:pStyle w:val="NormalWeb"/>
      </w:pPr>
      <w:r>
        <w:t>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Salganik (2016) and the subsequent transmission-bias literature (Maltiel et al. 2015, Killworth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pPr>
        <w:pStyle w:val="NormalWeb"/>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3E952FA5" w14:textId="77777777" w:rsidR="00476257" w:rsidRDefault="00000000">
      <w:pPr>
        <w:pStyle w:val="NormalWeb"/>
      </w:pPr>
      <w:r>
        <w:t>Reviewers have asked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pPr>
        <w:pStyle w:val="NormalWeb"/>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pPr>
        <w:pStyle w:val="NormalWeb"/>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pPr>
        <w:pStyle w:val="NormalWeb"/>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1E4DC799" w14:textId="77777777" w:rsidR="00476257" w:rsidRDefault="00000000">
      <w:pPr>
        <w:pStyle w:val="NormalWeb"/>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pPr>
        <w:pStyle w:val="NormalWeb"/>
      </w:pPr>
      <w:r>
        <w:t>To address this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pPr>
        <w:pStyle w:val="NormalWeb"/>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4CDEDB44" w14:textId="77777777" w:rsidR="00476257" w:rsidRDefault="00000000">
      <w:pPr>
        <w:pStyle w:val="NormalWeb"/>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pPr>
        <w:pStyle w:val="NormalWeb"/>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pPr>
        <w:pStyle w:val="NormalWeb"/>
      </w:pPr>
      <w:r>
        <w:t>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14:paraId="38F70474" w14:textId="77777777" w:rsidR="00476257" w:rsidRDefault="00000000">
      <w:pPr>
        <w:pStyle w:val="NormalWeb"/>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pPr>
        <w:pStyle w:val="NormalWeb"/>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pPr>
        <w:pStyle w:val="NormalWeb"/>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pPr>
        <w:pStyle w:val="NormalWeb"/>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pPr>
        <w:pStyle w:val="NormalWeb"/>
      </w:pPr>
      <w:r>
        <w:t>Future work in this programme of research should extend the methodology to web-RDS implementations capable of reaching larger and more dispersed samples, and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E669D5">
      <w:pPr>
        <w:pStyle w:val="NormalWeb"/>
        <w:spacing w:line="480" w:lineRule="auto"/>
        <w:divId w:val="1975518704"/>
        <w:rPr>
          <w:rFonts w:ascii="var(--bs-body-font-family)" w:hAnsi="var(--bs-body-font-family)" w:hint="eastAsia"/>
          <w:lang w:val="en-US"/>
        </w:rPr>
      </w:pPr>
      <w:r>
        <w:t>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estimators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pPr>
        <w:pStyle w:val="NormalWeb"/>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pPr>
        <w:pStyle w:val="NormalWeb"/>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rsidRPr="00D569AC">
        <w:t>Figure 5 Forest Plot of RDS Estimates: Comparison of RDS-I and RDS-SS prevalence estimates for binary exploitation indicators (N=980,000). Error bars represent 95% bootstrap confidence intervals. Source: Authors’ Own Work</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Table 3 RDS Estimates of Binary Exploitation Indicators: Comparison of RDS-I and RDS-SS estimators with neighbourhood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38560D" w14:textId="77777777" w:rsidR="00013953" w:rsidRDefault="00013953" w:rsidP="001227A7">
      <w:r>
        <w:separator/>
      </w:r>
    </w:p>
  </w:endnote>
  <w:endnote w:type="continuationSeparator" w:id="0">
    <w:p w14:paraId="4C58BE6A" w14:textId="77777777" w:rsidR="00013953" w:rsidRDefault="00013953"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0A0FCC" w14:textId="77777777" w:rsidR="00013953" w:rsidRDefault="00013953" w:rsidP="001227A7">
      <w:r>
        <w:separator/>
      </w:r>
    </w:p>
  </w:footnote>
  <w:footnote w:type="continuationSeparator" w:id="0">
    <w:p w14:paraId="3D3F1D09" w14:textId="77777777" w:rsidR="00013953" w:rsidRDefault="00013953"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22623</Words>
  <Characters>128952</Characters>
  <Application>Microsoft Office Word</Application>
  <DocSecurity>0</DocSecurity>
  <Lines>1074</Lines>
  <Paragraphs>302</Paragraphs>
  <ScaleCrop>false</ScaleCrop>
  <Company/>
  <LinksUpToDate>false</LinksUpToDate>
  <CharactersWithSpaces>151273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5</cp:revision>
  <dcterms:created xsi:type="dcterms:W3CDTF">2026-01-26T16:40:00Z</dcterms:created>
  <dcterms:modified xsi:type="dcterms:W3CDTF">2026-06-22T18:06:00Z</dcterms:modified>
</cp:coreProperties>
</file>