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p>
    <w:p w14:paraId="18C8B7B1" w14:textId="0DE1D542" w:rsidR="00AA7A35" w:rsidRPr="006C4698" w:rsidRDefault="00ED6819" w:rsidP="00E669D5">
      <w:pPr>
        <w:spacing w:line="480" w:lineRule="auto"/>
        <w:divId w:val="1975518704"/>
        <w:rPr>
          <w:rFonts w:eastAsia="Times New Roman"/>
          <w:u w:val="single"/>
          <w:lang w:val="en"/>
        </w:rPr>
      </w:pPr>
      <w: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type="auto" w:w="0"/>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Pr>
                <w:b/>
              </w:rPr>
              <w:t>Indicator</w:t>
            </w:r>
          </w:p>
        </w:tc>
        <w:tc>
          <w:tcPr>
            <w:tcW w:type="dxa" w:w="3009"/>
            <w:tcBorders>
              <w:top w:val="single" w:sz="4" w:color="000000"/>
              <w:left w:val="single" w:sz="4" w:color="000000"/>
              <w:bottom w:val="single" w:sz="4" w:color="000000"/>
              <w:right w:val="single" w:sz="4" w:color="000000"/>
            </w:tcBorders>
          </w:tcPr>
          <w:p>
            <w:r>
              <w:rPr>
                <w:b/>
              </w:rPr>
              <w:t>RDS-SS (95% CI)</w:t>
            </w:r>
          </w:p>
        </w:tc>
        <w:tc>
          <w:tcPr>
            <w:tcW w:type="dxa" w:w="3009"/>
            <w:tcBorders>
              <w:top w:val="single" w:sz="4" w:color="000000"/>
              <w:left w:val="single" w:sz="4" w:color="000000"/>
              <w:bottom w:val="single" w:sz="4" w:color="000000"/>
              <w:right w:val="single" w:sz="4" w:color="000000"/>
            </w:tcBorders>
          </w:tcPr>
          <w:p>
            <w:r>
              <w:rPr>
                <w:b/>
              </w:rPr>
              <w:t>MBSU NSUM (Moderate) (95% CI)</w:t>
            </w:r>
          </w:p>
        </w:tc>
      </w:tr>
      <w:tr>
        <w:tc>
          <w:tcPr>
            <w:tcW w:type="dxa" w:w="3009"/>
            <w:tcBorders>
              <w:top w:val="single" w:sz="4" w:color="000000"/>
              <w:left w:val="single" w:sz="4" w:color="000000"/>
              <w:bottom w:val="single" w:sz="4" w:color="000000"/>
              <w:right w:val="single" w:sz="4" w:color="000000"/>
            </w:tcBorders>
          </w:tcPr>
          <w:p>
            <w:r>
              <w:t>Document withholding</w:t>
            </w:r>
          </w:p>
        </w:tc>
        <w:tc>
          <w:tcPr>
            <w:tcW w:type="dxa" w:w="3009"/>
            <w:tcBorders>
              <w:top w:val="single" w:sz="4" w:color="000000"/>
              <w:left w:val="single" w:sz="4" w:color="000000"/>
              <w:bottom w:val="single" w:sz="4" w:color="000000"/>
              <w:right w:val="single" w:sz="4" w:color="000000"/>
            </w:tcBorders>
          </w:tcPr>
          <w:p>
            <w:r>
              <w:t>35.4% (21.1–49.8%)</w:t>
            </w:r>
          </w:p>
        </w:tc>
        <w:tc>
          <w:tcPr>
            <w:tcW w:type="dxa" w:w="3009"/>
            <w:tcBorders>
              <w:top w:val="single" w:sz="4" w:color="000000"/>
              <w:left w:val="single" w:sz="4" w:color="000000"/>
              <w:bottom w:val="single" w:sz="4" w:color="000000"/>
              <w:right w:val="single" w:sz="4" w:color="000000"/>
            </w:tcBorders>
          </w:tcPr>
          <w:p>
            <w:r>
              <w:t>1.08% (0.30–3.13%)</w:t>
            </w:r>
          </w:p>
        </w:tc>
      </w:tr>
      <w:tr>
        <w:tc>
          <w:tcPr>
            <w:tcW w:type="dxa" w:w="3009"/>
            <w:tcBorders>
              <w:top w:val="single" w:sz="4" w:color="000000"/>
              <w:left w:val="single" w:sz="4" w:color="000000"/>
              <w:bottom w:val="single" w:sz="4" w:color="000000"/>
              <w:right w:val="single" w:sz="4" w:color="000000"/>
            </w:tcBorders>
          </w:tcPr>
          <w:p>
            <w:r>
              <w:t>Threats and abuse</w:t>
            </w:r>
          </w:p>
        </w:tc>
        <w:tc>
          <w:tcPr>
            <w:tcW w:type="dxa" w:w="3009"/>
            <w:tcBorders>
              <w:top w:val="single" w:sz="4" w:color="000000"/>
              <w:left w:val="single" w:sz="4" w:color="000000"/>
              <w:bottom w:val="single" w:sz="4" w:color="000000"/>
              <w:right w:val="single" w:sz="4" w:color="000000"/>
            </w:tcBorders>
          </w:tcPr>
          <w:p>
            <w:r>
              <w:t>56.9% (42.3–72.1%)</w:t>
            </w:r>
          </w:p>
        </w:tc>
        <w:tc>
          <w:tcPr>
            <w:tcW w:type="dxa" w:w="3009"/>
            <w:tcBorders>
              <w:top w:val="single" w:sz="4" w:color="000000"/>
              <w:left w:val="single" w:sz="4" w:color="000000"/>
              <w:bottom w:val="single" w:sz="4" w:color="000000"/>
              <w:right w:val="single" w:sz="4" w:color="000000"/>
            </w:tcBorders>
          </w:tcPr>
          <w:p>
            <w:r>
              <w:t>2.69% (1.86–5.86%)</w:t>
            </w:r>
          </w:p>
        </w:tc>
      </w:tr>
      <w:tr>
        <w:tc>
          <w:tcPr>
            <w:tcW w:type="dxa" w:w="3009"/>
            <w:tcBorders>
              <w:top w:val="single" w:sz="4" w:color="000000"/>
              <w:left w:val="single" w:sz="4" w:color="000000"/>
              <w:bottom w:val="single" w:sz="4" w:color="000000"/>
              <w:right w:val="single" w:sz="4" w:color="000000"/>
            </w:tcBorders>
          </w:tcPr>
          <w:p>
            <w:r>
              <w:t>Pay-related issues</w:t>
            </w:r>
          </w:p>
        </w:tc>
        <w:tc>
          <w:tcPr>
            <w:tcW w:type="dxa" w:w="3009"/>
            <w:tcBorders>
              <w:top w:val="single" w:sz="4" w:color="000000"/>
              <w:left w:val="single" w:sz="4" w:color="000000"/>
              <w:bottom w:val="single" w:sz="4" w:color="000000"/>
              <w:right w:val="single" w:sz="4" w:color="000000"/>
            </w:tcBorders>
          </w:tcPr>
          <w:p>
            <w:r>
              <w:t>51.6% (36.5–65.5%)</w:t>
            </w:r>
          </w:p>
        </w:tc>
        <w:tc>
          <w:tcPr>
            <w:tcW w:type="dxa" w:w="3009"/>
            <w:tcBorders>
              <w:top w:val="single" w:sz="4" w:color="000000"/>
              <w:left w:val="single" w:sz="4" w:color="000000"/>
              <w:bottom w:val="single" w:sz="4" w:color="000000"/>
              <w:right w:val="single" w:sz="4" w:color="000000"/>
            </w:tcBorders>
          </w:tcPr>
          <w:p>
            <w:r>
              <w:t>2.88% (1.90–5.68%)</w:t>
            </w:r>
          </w:p>
        </w:tc>
      </w:tr>
      <w:tr>
        <w:tc>
          <w:tcPr>
            <w:tcW w:type="dxa" w:w="3009"/>
            <w:tcBorders>
              <w:top w:val="single" w:sz="4" w:color="000000"/>
              <w:left w:val="single" w:sz="4" w:color="000000"/>
              <w:bottom w:val="single" w:sz="4" w:color="000000"/>
              <w:right w:val="single" w:sz="4" w:color="000000"/>
            </w:tcBorders>
          </w:tcPr>
          <w:p>
            <w:r>
              <w:t>Excessive working hours</w:t>
            </w:r>
          </w:p>
        </w:tc>
        <w:tc>
          <w:tcPr>
            <w:tcW w:type="dxa" w:w="3009"/>
            <w:tcBorders>
              <w:top w:val="single" w:sz="4" w:color="000000"/>
              <w:left w:val="single" w:sz="4" w:color="000000"/>
              <w:bottom w:val="single" w:sz="4" w:color="000000"/>
              <w:right w:val="single" w:sz="4" w:color="000000"/>
            </w:tcBorders>
          </w:tcPr>
          <w:p>
            <w:r>
              <w:t>84.2% (72.2–93.6%)</w:t>
            </w:r>
          </w:p>
        </w:tc>
        <w:tc>
          <w:tcPr>
            <w:tcW w:type="dxa" w:w="3009"/>
            <w:tcBorders>
              <w:top w:val="single" w:sz="4" w:color="000000"/>
              <w:left w:val="single" w:sz="4" w:color="000000"/>
              <w:bottom w:val="single" w:sz="4" w:color="000000"/>
              <w:right w:val="single" w:sz="4" w:color="000000"/>
            </w:tcBorders>
          </w:tcPr>
          <w:p>
            <w:r>
              <w:t>2.98% (1.84–5.51%)</w:t>
            </w:r>
          </w:p>
        </w:tc>
      </w:tr>
      <w:tr>
        <w:tc>
          <w:tcPr>
            <w:tcW w:type="dxa" w:w="3009"/>
            <w:tcBorders>
              <w:top w:val="single" w:sz="4" w:color="000000"/>
              <w:left w:val="single" w:sz="4" w:color="000000"/>
              <w:bottom w:val="single" w:sz="4" w:color="000000"/>
              <w:right w:val="single" w:sz="4" w:color="000000"/>
            </w:tcBorders>
          </w:tcPr>
          <w:p>
            <w:r>
              <w:t>Limited access to help</w:t>
            </w:r>
          </w:p>
        </w:tc>
        <w:tc>
          <w:tcPr>
            <w:tcW w:type="dxa" w:w="3009"/>
            <w:tcBorders>
              <w:top w:val="single" w:sz="4" w:color="000000"/>
              <w:left w:val="single" w:sz="4" w:color="000000"/>
              <w:bottom w:val="single" w:sz="4" w:color="000000"/>
              <w:right w:val="single" w:sz="4" w:color="000000"/>
            </w:tcBorders>
          </w:tcPr>
          <w:p>
            <w:r>
              <w:t>60.6% (45.2–74.1%)</w:t>
            </w:r>
          </w:p>
        </w:tc>
        <w:tc>
          <w:tcPr>
            <w:tcW w:type="dxa" w:w="3009"/>
            <w:tcBorders>
              <w:top w:val="single" w:sz="4" w:color="000000"/>
              <w:left w:val="single" w:sz="4" w:color="000000"/>
              <w:bottom w:val="single" w:sz="4" w:color="000000"/>
              <w:right w:val="single" w:sz="4" w:color="000000"/>
            </w:tcBorders>
          </w:tcPr>
          <w:p>
            <w:r>
              <w:t>2.03% (0.67–4.88%)</w:t>
            </w:r>
          </w:p>
        </w:tc>
      </w:tr>
    </w:tbl>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6DE10CE7" w14:textId="0749FFD3" w:rsidR="00AA7A35" w:rsidRPr="006C4698" w:rsidRDefault="00ED6819" w:rsidP="00E669D5">
      <w:pPr>
        <w:spacing w:line="480" w:lineRule="auto"/>
        <w:divId w:val="1975518704"/>
        <w:rPr>
          <w:rFonts w:eastAsia="Times New Roman"/>
          <w:u w:val="single"/>
          <w:lang w:val="en"/>
        </w:rPr>
      </w:pPr>
      <w:r>
        <w:t>4.4</w:t>
        <w:tab/>
        <w:t>Supporting Estimates and Method Comparison</w:t>
      </w:r>
    </w:p>
    <w:p>
      <w:pPr/>
      <w:r>
        <w:t>For each of the five binary indicators, three additional families of estimates are reported in the appendices for transparency and robustness.</w:t>
      </w:r>
    </w:p>
    <w:p>
      <w:pPr/>
      <w:r>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pPr/>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t>4.5</w:t>
        <w:tab/>
        <w:t>Sensitivity and Robustness</w:t>
      </w:r>
    </w:p>
    <w:p>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strike/>
          <w:color w:val="C0392B"/>
        </w:rPr>
        <w:t>[OLD] 5.1</w:t>
        <w:tab/>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r>
        <w:rPr>
          <w:strike/>
          <w:color w:val="C0392B"/>
        </w:rPr>
        <w:t xml:space="preserve">[OLD] In this study we worked with civil society organisations representing domestic workers to estimate the prevalence of labour exploitation among domestic workers in the UK using both Respondent-Driven Sampling (RDS) and Network Scale-Up Method (NSUM). We introduced a continuous risk index alongside binary exploitation indicators based on ILO forced labour criteria. Model-Assisted RDS estimates suggest prevalence rates ranging from 34% to 84% for various exploitation indicators among respondents.  While the analytic sample comprises 85 respondents, RDS estimators are design-based and adjust for network degree and recruitment patterns, enabling valid population inference even in modest samples where conventional random sampling is infeasible. In contrast, NSUM estimates—highly sensitive to adjustment factors—range from 0.83% to 4.08% depending on assumptions about network degree differences (δ) and visibility/reporting accuracy (τ). The range of 34% to 84% prevalence using RDS estimators represents variation across distinct exploitation indicators, each corresponding to a different forced labour dimension (e.g., pay withholding, intimidation, excessive hours). It should not be interpreted as statistical uncertainty for a single prevalence measure. 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  </w:t>
      </w:r>
    </w:p>
    <w:p w14:paraId="1E0EA340" w14:textId="5F96C176" w:rsidR="00AA7A35" w:rsidRPr="006C4698" w:rsidRDefault="00ED6819" w:rsidP="00E669D5">
      <w:pPr>
        <w:spacing w:line="480" w:lineRule="auto"/>
        <w:divId w:val="1975518704"/>
        <w:rPr>
          <w:rFonts w:eastAsia="Times New Roman"/>
          <w:u w:val="single"/>
          <w:lang w:val="en"/>
        </w:rPr>
      </w:pPr>
      <w:r>
        <w:rPr>
          <w:strike/>
          <w:color w:val="C0392B"/>
        </w:rPr>
        <w:t>[OLD] 5.2</w:t>
        <w:tab/>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rPr>
          <w:strike/>
          <w:color w:val="C0392B"/>
        </w:rPr>
        <w:t>[OLD] 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r>
        <w:rPr>
          <w:strike/>
          <w:color w:val="C0392B"/>
        </w:rPr>
        <w:t>[OLD] 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proofErr w:type="spellStart"/>
      <w:proofErr w:type="spellEnd"/>
      <w:proofErr w:type="spellStart"/>
      <w:proofErr w:type="spellEnd"/>
      <w:r>
        <w:rPr>
          <w:strike/>
          <w:color w:val="C0392B"/>
        </w:rPr>
        <w:t>[OLD] 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results and assess the robustness of prevalence estimates.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neighbourhood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rPr>
          <w:strike/>
          <w:color w:val="C0392B"/>
        </w:rPr>
        <w:t>[OLD] Novel bootstrap procedure for NSUM: Recognising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[OLD] Application to domestic workers in the UK: Finally, by working with civil society organisations to apply these methods to a population that is both highly stigmatised and under-researched, we demonstrate the feasibility of using advanced network-based estimation techniques in contexts where traditional sampling is impossible. This methodological innovation has potential applications in studies of other hidden labour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strike/>
          <w:color w:val="C0392B"/>
        </w:rPr>
        <w:t>[OLD] 5.3</w:t>
        <w:tab/>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Pr>
          <w:strike/>
          <w:color w:val="C0392B"/>
        </w:rPr>
        <w:t>[OLD] Substantial discrepancies between hidden population prevalence estimates derived from Respondent-Driven Sampling (RDS) and the Network Scale-Up Method (NSUM) are widely observed in empirical research and simulation studies. In the present case, for 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Pr>
          <w:strike/>
          <w:color w:val="C0392B"/>
        </w:rPr>
        <w:t>[OLD] 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rPr>
          <w:strike/>
          <w:color w:val="C0392B"/>
        </w:rPr>
        <w:t>[OLD] In our setting, where RDS estimates suggest that over 50% of respondents have experienced some form of labour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Pr>
          <w:strike/>
          <w:color w:val="C0392B"/>
        </w:rPr>
        <w:t>[OLD] Hence, visibility bias is a major and well-understood limitation of NSUM, and likely the principal reason why our NSUM estimates are substantially lower than those derived 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strike/>
          <w:color w:val="C0392B"/>
        </w:rPr>
        <w:t>[OLD] 5.4</w:t>
        <w:tab/>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r>
        <w:rPr>
          <w:strike/>
          <w:color w:val="C0392B"/>
        </w:rPr>
        <w:t>[OLD] 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employment—and their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Yet the UK Government has proved reluctant to respond to calls to remove the restrictive, tied, visa conditions currently in force for those migrant workers working in the UK on the Overseas Domestic Workers visa (Gower, 2016). Maintaining these restrictive conditions prevents the ratification in the UK of C189, the International Convention for Domestic Workers (ILO, 2011). If the estimates resulting from our study are correct, these visa conditions place migrant domestic workers at significant risk of serious forms of labour exploitation including, in its most severe form, exploitation that exhibits the characteristics of forced labour—legally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gramStart"/>
      <w:proofErr w:type="gramEnd"/>
      <w:r>
        <w:rPr>
          <w:strike/>
          <w:color w:val="C0392B"/>
        </w:rPr>
        <w:t>[OLD] 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Pr>
          <w:strike/>
          <w:color w:val="C0392B"/>
        </w:rPr>
        <w:t>[OLD] 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rPr>
          <w:strike/>
          <w:color w:val="C0392B"/>
        </w:rPr>
        <w:t>[OLD] 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rPr>
          <w:strike/>
          <w:color w:val="C0392B"/>
        </w:rPr>
        <w:t>[OLD] 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strike/>
          <w:color w:val="C0392B"/>
        </w:rPr>
        <w:t>[OLD] 5.5</w:t>
        <w:tab/>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rPr>
          <w:strike/>
          <w:color w:val="C0392B"/>
        </w:rPr>
        <w:t>[OLD] 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rarely had access to a personal mobile phone. It is not therefore possible to infer the nature and extent of labour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Pr>
          <w:strike/>
          <w:color w:val="C0392B"/>
        </w:rPr>
        <w:t>[OLD] 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rPr>
          <w:strike/>
          <w:color w:val="C0392B"/>
        </w:rPr>
        <w:t>[OLD] We believe that web-RDS combined with statistical estimators such as NSUM offers an important method for the capture and comparison of relative proportions of labour exploitation and abuse by civil society actors in sectors within and beyond the UK. Network scale up methods, and potential enhancements such as Generalised network scale up estimators offer to enhance understanding, not least within operations and supply chain management research, of the extent of labour exploitation in different sectors and across industries. The differences in NSUM and RDS estimates warrants further investigation and suggests research into combining multiple estimates may be a fruitful direction in human rights research and especially prevalence of modern slavery research.</w:t>
      </w:r>
    </w:p>
    <w:p>
      <w:pPr/>
      <w:r>
        <w:rPr>
          <w:b/>
          <w:color w:val="2171B5"/>
        </w:rPr>
        <w:t>================== NEW SECTION 5 (CLEAN VERSION BELOW; OLD ABOVE STRUCK THROUGH) ==================</w:t>
      </w:r>
    </w:p>
    <w:p>
      <w:pPr/>
      <w:r>
        <w:rPr>
          <w:b/>
          <w:color w:val="2171B5"/>
        </w:rPr>
        <w:t>5.1</w:t>
        <w:tab/>
        <w:t>Summary of Findings</w:t>
      </w:r>
    </w:p>
    <w:p>
      <w:pPr>
        <w:pStyle w:val="NormalWeb"/>
      </w:pPr>
      <w:r>
        <w:rPr>
          <w:b/>
          <w:color w:val="2171B5"/>
        </w:rP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pPr/>
      <w:r>
        <w:rPr>
          <w:b/>
          <w:color w:val="2171B5"/>
        </w:rPr>
        <w:t>5.2</w:t>
        <w:tab/>
        <w:t>Methodological Reflections and Contributions</w:t>
      </w:r>
    </w:p>
    <w:p>
      <w:pPr>
        <w:pStyle w:val="NormalWeb"/>
      </w:pPr>
      <w:r>
        <w:rPr>
          <w:b/>
          <w:color w:val="2171B5"/>
        </w:rP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pPr>
        <w:pStyle w:val="NormalWeb"/>
      </w:pPr>
      <w:r>
        <w:rPr>
          <w:b/>
          <w:color w:val="2171B5"/>
        </w:rP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pPr>
        <w:pStyle w:val="NormalWeb"/>
      </w:pPr>
      <w:r>
        <w:rPr>
          <w:b/>
          <w:color w:val="2171B5"/>
        </w:rPr>
        <w:t>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pPr>
        <w:pStyle w:val="NormalWeb"/>
      </w:pPr>
      <w:r>
        <w:rPr>
          <w:b/>
          <w:color w:val="2171B5"/>
        </w:rP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w:t>
      </w:r>
    </w:p>
    <w:p>
      <w:pPr>
        <w:pStyle w:val="NormalWeb"/>
      </w:pPr>
      <w:r>
        <w:rPr>
          <w:b/>
          <w:color w:val="2171B5"/>
        </w:rP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pPr/>
      <w:r>
        <w:rPr>
          <w:b/>
          <w:color w:val="2171B5"/>
        </w:rPr>
        <w:t>5.3</w:t>
        <w:tab/>
        <w:t>The RDS–NSUM Divergence as Diagnostic</w:t>
      </w:r>
    </w:p>
    <w:p>
      <w:pPr>
        <w:pStyle w:val="NormalWeb"/>
      </w:pPr>
      <w:r>
        <w:rPr>
          <w:b/>
          <w:color w:val="2171B5"/>
        </w:rPr>
        <w:t>[See clean version for full 8-paragraph body: opens with 'wide range' concern + named sample-size concern, introduces three sources of dispersion (across-indicator, across-method, within-method within-indicator), reframes RDS-NSUM gap as visibility diagnostic with three supporting observations, absorbs n=85 sub-point and recruitment-depth sub-point from old 5.5.]</w:t>
      </w:r>
    </w:p>
    <w:p>
      <w:pPr/>
      <w:r>
        <w:rPr>
          <w:b/>
          <w:color w:val="2171B5"/>
        </w:rPr>
        <w:t>5.4</w:t>
        <w:tab/>
        <w:t>Generalisability and Indicator Coverage</w:t>
      </w:r>
    </w:p>
    <w:p>
      <w:pPr>
        <w:pStyle w:val="NormalWeb"/>
      </w:pPr>
      <w:r>
        <w:rPr>
          <w:b/>
          <w:color w:val="2171B5"/>
        </w:rPr>
        <w:t>[See clean version for full 4-paragraph body: named concern opener, generalisability qualification (Kalayaan/LAWRS sample, not representative of all UK domestic workers), indicator coverage qualification (5 measured + 2 thematically absorbed + 2 too-rare = 9 of 11 ILO indicators), and claim-licensing paragraph (relocated from old 5.4: not a single point estimate; lower bound + relative incidence + visibility diagnostic).]</w:t>
      </w:r>
    </w:p>
    <w:p>
      <w:pPr/>
      <w:r>
        <w:rPr>
          <w:b/>
          <w:color w:val="2171B5"/>
        </w:rPr>
        <w:t>5.5</w:t>
        <w:tab/>
        <w:t>Composite Risk Index: Construction and Weight Sensitivity</w:t>
      </w:r>
    </w:p>
    <w:p>
      <w:pPr>
        <w:pStyle w:val="NormalWeb"/>
      </w:pPr>
      <w:r>
        <w:rPr>
          <w:b/>
          <w:color w:val="2171B5"/>
        </w:rPr>
        <w:t>[See clean version for full 3-paragraph body: framing of the weights concern, description of B=5000 weight-perturbation sensitivity (uniform ±50%), result that Spearman ρ = 0.992 (mean) / 0.974 (worst case across 5000 draws) confirms the composite-risk ranking is essentially weight-invariant; top-quartile preservation 92-100%; ±75% perturbation gives ρ ≥ 0.944.]</w:t>
      </w:r>
    </w:p>
    <w:p>
      <w:pPr/>
      <w:r>
        <w:rPr>
          <w:b/>
          <w:color w:val="2171B5"/>
        </w:rPr>
        <w:t>5.6</w:t>
        <w:tab/>
        <w:t>Policy Implications and SDG 8.7 Monitoring</w:t>
      </w:r>
    </w:p>
    <w:p>
      <w:pPr>
        <w:pStyle w:val="NormalWeb"/>
      </w:pPr>
      <w:r>
        <w:rPr>
          <w:b/>
          <w:color w:val="2171B5"/>
        </w:rPr>
        <w:t>[See clean version for full 8-paragraph body: NEW SDG 8.7 opening paragraph (methodology is replicable for other hidden populations relevant to 8.7), KEPT four UK-specific policy paragraphs (visa restrictions, employer regulation, immigration firewall, training expansion), NEW visibility-gradient programme-design paragraph (network outreach can reach excessive-hours but not document-withholding), NEW closing future-work paragraph absorbing the web-RDS / admin-data pointer from dropped 5.5.]</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