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26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prevelance of different forms of laour exploitation are robust across a number of paramters.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International Labour Organization &amp; Walk Free Foundation, 2017)</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w:t>
      </w:r>
      <w:r>
        <w:t xml:space="preserve"> </w:t>
      </w:r>
      <w:r>
        <w:t xml:space="preserve">(International Labour Organization, 2012; International Labour Organization &amp; Walk Free Foundation, 2017)</w:t>
      </w:r>
      <w:r>
        <w:t xml:space="preserve"> </w:t>
      </w:r>
      <w:r>
        <w:t xml:space="preserve">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International Labour Organization &amp; Walk Free Foundation, 2017)</w:t>
      </w:r>
      <w:r>
        <w:t xml:space="preserve"> </w:t>
      </w:r>
      <w:r>
        <w:t xml:space="preserve">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ESM_1</w:t>
      </w:r>
      <w:r>
        <w:t xml:space="preserve"> </w:t>
      </w:r>
      <w:hyperlink w:anchor="tbl-indicator-mapping">
        <w:r>
          <w:rPr>
            <w:rStyle w:val="Hyperlink"/>
          </w:rPr>
          <w:t xml:space="preserve">Table 1</w:t>
        </w:r>
      </w:hyperlink>
      <w:r>
        <w:t xml:space="preserve">,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ESM_1</w:t>
      </w:r>
      <w:r>
        <w:t xml:space="preserve"> </w:t>
      </w:r>
      <w:hyperlink w:anchor="tbl-indicator-mapping">
        <w:r>
          <w:rPr>
            <w:rStyle w:val="Hyperlink"/>
          </w:rPr>
          <w:t xml:space="preserve">Table 1</w:t>
        </w:r>
      </w:hyperlink>
      <w:r>
        <w:t xml:space="preserve"> </w:t>
      </w:r>
      <w:r>
        <w:t xml:space="preserve">for per-category weights). It is constructed as a formative additive composite: an individual is exposed to exploitation if any of the indicators is present, and the indicators are constitutive rather than reflective of an underlying severity. Polarity is uniform across categories. Weights are anchored on the ILO medium/strong severity gradation — strong-indicator categories receive larger sub-weights than medium-indicator categories — and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ESM_1 for full construction).</w:t>
      </w:r>
    </w:p>
    <w:bookmarkEnd w:id="21"/>
    <w:bookmarkEnd w:id="22"/>
    <w:bookmarkStart w:id="38"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w:t>
      </w:r>
      <w:r>
        <w:t xml:space="preserve">.</w:t>
      </w:r>
      <w:r>
        <w:t xml:space="preserve"> </w:t>
      </w:r>
      <w:r>
        <w:t xml:space="preserve">The eleven ILO indicators of forced labour</w:t>
      </w:r>
      <w:r>
        <w:t xml:space="preserve"> </w:t>
      </w:r>
      <w:r>
        <w:t xml:space="preserve">(International Labour Organization, 2012; International Labour Organization &amp; Walk Free Foundation, 2017)</w:t>
      </w:r>
      <w:r>
        <w:t xml:space="preserve"> </w:t>
      </w:r>
      <w:r>
        <w:t xml:space="preserve">provide the operational framework for our measurement strategy.</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w:t>
            </w:r>
            <w:r>
              <w:t xml:space="preserve"> </w:t>
            </w:r>
            <w:hyperlink w:anchor="tbl-indicator-mapping">
              <w:r>
                <w:rPr>
                  <w:rStyle w:val="Hyperlink"/>
                </w:rPr>
                <w:t xml:space="preserve">Table 1</w:t>
              </w:r>
            </w:hyperlink>
            <w:r>
              <w:t xml:space="preserve">. Source: Authors’ construction following ILO (2012, 2017).</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5"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ESM_4).</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3"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3"/>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4"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4"/>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(ESM_4</w:t>
      </w:r>
      <w:r>
        <w:t xml:space="preserve"> </w:t>
      </w:r>
      <w:hyperlink w:anchor="fig-recruitment">
        <w:r>
          <w:rPr>
            <w:rStyle w:val="Hyperlink"/>
          </w:rPr>
          <w:t xml:space="preserve">Figure 1</w:t>
        </w:r>
      </w:hyperlink>
      <w:r>
        <w:t xml:space="preserve">).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5"/>
    <w:bookmarkStart w:id="36"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6"/>
    <w:bookmarkStart w:id="37"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Online Resource ESM_4.</w:t>
      </w:r>
    </w:p>
    <w:bookmarkEnd w:id="37"/>
    <w:bookmarkEnd w:id="38"/>
    <w:bookmarkStart w:id="59"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ESM_4</w:t>
      </w:r>
      <w:r>
        <w:t xml:space="preserve"> </w:t>
      </w:r>
      <w:hyperlink w:anchor="fig-recruitment">
        <w:r>
          <w:rPr>
            <w:rStyle w:val="Hyperlink"/>
          </w:rPr>
          <w:t xml:space="preserve">Figure 1</w:t>
        </w:r>
      </w:hyperlink>
      <w:r>
        <w:t xml:space="preserve">);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ESM_4.</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5"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4"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9"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ESM_4 (convergence plots per indicator)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rds-diagnostics"/>
          <w:p>
            <w:pPr>
              <w:pStyle w:val="Compact"/>
              <w:jc w:val="center"/>
            </w:pPr>
            <w:r>
              <w:drawing>
                <wp:inline>
                  <wp:extent cx="5334000" cy="1557645"/>
                  <wp:effectExtent b="0" l="0" r="0" t="0"/>
                  <wp:docPr descr="" title="" id="41" name="Picture"/>
                  <a:graphic>
                    <a:graphicData uri="http://schemas.openxmlformats.org/drawingml/2006/picture">
                      <pic:pic>
                        <pic:nvPicPr>
                          <pic:cNvPr descr="figures/rds_diagnostics.png" id="42" name="Picture"/>
                          <pic:cNvPicPr>
                            <a:picLocks noChangeArrowheads="1" noChangeAspect="1"/>
                          </pic:cNvPicPr>
                        </pic:nvPicPr>
                        <pic:blipFill>
                          <a:blip r:embed="rId40"/>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3"/>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4"/>
    <w:bookmarkEnd w:id="45"/>
    <w:bookmarkStart w:id="50"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ESM_1,</w:t>
      </w:r>
      <w:r>
        <w:t xml:space="preserve"> </w:t>
      </w:r>
      <w:hyperlink w:anchor="tbl-indicator-mapping">
        <w:r>
          <w:rPr>
            <w:rStyle w:val="Hyperlink"/>
          </w:rPr>
          <w:t xml:space="preserve">Table 1</w:t>
        </w:r>
      </w:hyperlink>
      <w:r>
        <w:t xml:space="preserve">).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rds-diagnostics">
        <w:r>
          <w:rPr>
            <w:rStyle w:val="Hyperlink"/>
          </w:rPr>
          <w:t xml:space="preserve">Figure 2</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9" w:name="fig-composite"/>
          <w:p>
            <w:pPr>
              <w:pStyle w:val="Compact"/>
              <w:jc w:val="center"/>
            </w:pPr>
            <w:r>
              <w:drawing>
                <wp:inline>
                  <wp:extent cx="5334000" cy="2370666"/>
                  <wp:effectExtent b="0" l="0" r="0" t="0"/>
                  <wp:docPr descr="" title="" id="47" name="Picture"/>
                  <a:graphic>
                    <a:graphicData uri="http://schemas.openxmlformats.org/drawingml/2006/picture">
                      <pic:pic>
                        <pic:nvPicPr>
                          <pic:cNvPr descr="figures/image3.png" id="48" name="Picture"/>
                          <pic:cNvPicPr>
                            <a:picLocks noChangeArrowheads="1" noChangeAspect="1"/>
                          </pic:cNvPicPr>
                        </pic:nvPicPr>
                        <pic:blipFill>
                          <a:blip r:embed="rId4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9"/>
        </w:tc>
      </w:tr>
    </w:tbl>
    <w:bookmarkEnd w:id="50"/>
    <w:bookmarkStart w:id="56"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ESM_4 Figure B.1 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0" w:lastRow="0" w:firstColumn="0" w:lastColumn="0" w:noHBand="0" w:noVBand="0" w:val="0000"/>
      </w:tblPr>
      <w:tblGrid>
        <w:gridCol w:w="7920"/>
      </w:tblGrid>
      <w:tr>
        <w:tc>
          <w:tcPr/>
          <w:bookmarkStart w:id="51"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binary"/>
          <w:p>
            <w:pPr>
              <w:pStyle w:val="Compact"/>
              <w:jc w:val="center"/>
            </w:pPr>
            <w:r>
              <w:drawing>
                <wp:inline>
                  <wp:extent cx="5334000" cy="3333750"/>
                  <wp:effectExtent b="0" l="0" r="0" t="0"/>
                  <wp:docPr descr="" title="" id="53" name="Picture"/>
                  <a:graphic>
                    <a:graphicData uri="http://schemas.openxmlformats.org/drawingml/2006/picture">
                      <pic:pic>
                        <pic:nvPicPr>
                          <pic:cNvPr descr="figures/image4.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5"/>
        </w:tc>
      </w:tr>
    </w:tbl>
    <w:bookmarkEnd w:id="56"/>
    <w:bookmarkStart w:id="57" w:name="sec-supporting-estimates"/>
    <w:p>
      <w:pPr>
        <w:pStyle w:val="Heading2"/>
      </w:pPr>
      <w:r>
        <w:t xml:space="preserve">4.4 Supporting Estimates and Method Comparison</w:t>
      </w:r>
    </w:p>
    <w:p>
      <w:pPr>
        <w:pStyle w:val="FirstParagraph"/>
      </w:pPr>
      <w:r>
        <w:t xml:space="preserve">Three additional families of estimates are reported in full in ESM_4 Section B (Supporting Estimates and Method Comparison) for transparency and robustness: (a) The five relevant Bayesian Model-Assisted estimates (MA-RDS) posterior means in ESM_4 Table 3 range from 34.1% for document withholding to 84.0% for excessive working hours, and reproduce the RDS-SS ordering in Table 5. (b) Direct comparison of RDS-I and RDS-SS estimators for each indicator with per-method bootstrap 95% CIs (ESM_4</w:t>
      </w:r>
      <w:r>
        <w:t xml:space="preserve"> </w:t>
      </w:r>
      <w:hyperlink w:anchor="tbl-rds-diagnostics">
        <w:r>
          <w:rPr>
            <w:rStyle w:val="Hyperlink"/>
          </w:rPr>
          <w:t xml:space="preserve">Table 4</w:t>
        </w:r>
      </w:hyperlink>
      <w:r>
        <w:t xml:space="preserve">);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ESM_4</w:t>
      </w:r>
      <w:r>
        <w:t xml:space="preserve"> </w:t>
      </w:r>
      <w:hyperlink w:anchor="tbl-preferred-estimates">
        <w:r>
          <w:rPr>
            <w:rStyle w:val="Hyperlink"/>
          </w:rPr>
          <w:t xml:space="preserve">Table 5</w:t>
        </w:r>
      </w:hyperlink>
      <w:r>
        <w:t xml:space="preserve">),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7"/>
    <w:bookmarkStart w:id="58" w:name="sec-sensitivity"/>
    <w:p>
      <w:pPr>
        <w:pStyle w:val="Heading2"/>
      </w:pPr>
      <w:r>
        <w:t xml:space="preserve">4.5 Sensitivity and Robustness</w:t>
      </w:r>
    </w:p>
    <w:p>
      <w:pPr>
        <w:pStyle w:val="FirstParagraph"/>
      </w:pPr>
      <w:r>
        <w:t xml:space="preserve">Three sensitivity analyses are reported in full in ESM_4. First, the continuous-</w:t>
      </w:r>
      <m:oMath>
        <m:r>
          <m:t>τ</m:t>
        </m:r>
      </m:oMath>
      <w:r>
        <w:t xml:space="preserve"> </w:t>
      </w:r>
      <w:r>
        <w:t xml:space="preserve">NSUM sweep (ESM_4</w:t>
      </w:r>
      <w:r>
        <w:t xml:space="preserve"> </w:t>
      </w:r>
      <w:hyperlink w:anchor="fig-recruitment">
        <w:r>
          <w:rPr>
            <w:rStyle w:val="Hyperlink"/>
          </w:rPr>
          <w:t xml:space="preserve">Figure 1</w:t>
        </w:r>
      </w:hyperlink>
      <w:r>
        <w:t xml:space="preserve">)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(ESM_4</w:t>
      </w:r>
      <w:r>
        <w:t xml:space="preserve"> </w:t>
      </w:r>
      <w:hyperlink w:anchor="fig-rds-diagnostics">
        <w:r>
          <w:rPr>
            <w:rStyle w:val="Hyperlink"/>
          </w:rPr>
          <w:t xml:space="preserve">Figure 2</w:t>
        </w:r>
      </w:hyperlink>
      <w:r>
        <w:t xml:space="preserve">)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8"/>
    <w:bookmarkEnd w:id="59"/>
    <w:bookmarkStart w:id="66" w:name="sec-discussion"/>
    <w:p>
      <w:pPr>
        <w:pStyle w:val="Heading1"/>
      </w:pPr>
      <w:r>
        <w:t xml:space="preserve">5. Discussion</w:t>
      </w:r>
    </w:p>
    <w:bookmarkStart w:id="60"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0"/>
    <w:bookmarkStart w:id="61"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2017)</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ESM_1. (2)</w:t>
      </w:r>
      <w:r>
        <w:t xml:space="preserve"> </w:t>
      </w:r>
      <w:r>
        <w:rPr>
          <w:i/>
          <w:iCs/>
        </w:rPr>
        <w:t xml:space="preserve">Face validity:</w:t>
      </w:r>
      <w:r>
        <w:t xml:space="preserve"> </w:t>
      </w:r>
      <w:r>
        <w:t xml:space="preserve">the survey instrument was co-developed with the participating civil-society organisations (Kalayaan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61"/>
    <w:bookmarkStart w:id="62"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 Collapsing this hierarchy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ESM_4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2"/>
    <w:bookmarkStart w:id="63"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3"/>
    <w:bookmarkStart w:id="64"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64"/>
    <w:bookmarkStart w:id="65"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5"/>
    <w:bookmarkEnd w:id="66"/>
    <w:bookmarkStart w:id="67"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7"/>
    <w:bookmarkStart w:id="69" w:name="sec-declarations"/>
    <w:p>
      <w:pPr>
        <w:pStyle w:val="Heading1"/>
      </w:pPr>
      <w:r>
        <w:t xml:space="preserve">7. 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8">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8" w:name="references"/>
    <w:p>
      <w:pPr>
        <w:pStyle w:val="Heading1"/>
      </w:pPr>
      <w:r>
        <w:t xml:space="preserve">References</w:t>
      </w:r>
    </w:p>
    <w:bookmarkStart w:id="117"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X4ffa2d6c1ea127ab2e45300f94330b7356d213f"/>
    <w:p>
      <w:pPr>
        <w:pStyle w:val="Bibliography"/>
      </w:pPr>
      <w:r>
        <w:t xml:space="preserve">International Labour Organization, &amp; Walk Free Foundation. (2017).</w:t>
      </w:r>
      <w:r>
        <w:t xml:space="preserve"> </w:t>
      </w:r>
      <w:r>
        <w:rPr>
          <w:i/>
          <w:iCs/>
        </w:rPr>
        <w:t xml:space="preserve">Global estimates of modern slavery: Forced labour and forced marriage</w:t>
      </w:r>
      <w:r>
        <w:t xml:space="preserve">.</w:t>
      </w:r>
      <w:r>
        <w:t xml:space="preserve"> </w:t>
      </w:r>
      <w:hyperlink r:id="rId89">
        <w:r>
          <w:rPr>
            <w:rStyle w:val="Hyperlink"/>
          </w:rPr>
          <w:t xml:space="preserve">https://assets.publishing.service.gov.uk/government/uploads/system/uploads/attachment_data/file/649906/Transparency_in_Supply_Chains_A_Practical_Guide_2017.pdf</w:t>
        </w:r>
      </w:hyperlink>
    </w:p>
    <w:bookmarkEnd w:id="90"/>
    <w:bookmarkStart w:id="91"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1"/>
    <w:bookmarkStart w:id="92"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2"/>
    <w:bookmarkStart w:id="93" w:name="ref-kala08-new"/>
    <w:p>
      <w:pPr>
        <w:pStyle w:val="Bibliography"/>
      </w:pPr>
      <w:r>
        <w:t xml:space="preserve">Kalayaan. (2008).</w:t>
      </w:r>
      <w:r>
        <w:t xml:space="preserve"> </w:t>
      </w:r>
      <w:r>
        <w:rPr>
          <w:i/>
          <w:iCs/>
        </w:rPr>
        <w:t xml:space="preserve">The new bonded labour?</w:t>
      </w:r>
    </w:p>
    <w:bookmarkEnd w:id="93"/>
    <w:bookmarkStart w:id="95"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4">
        <w:r>
          <w:rPr>
            <w:rStyle w:val="Hyperlink"/>
          </w:rPr>
          <w:t xml:space="preserve">https://doi.org/10.1016/S0378-8733(96)00305-X</w:t>
        </w:r>
      </w:hyperlink>
    </w:p>
    <w:bookmarkEnd w:id="95"/>
    <w:bookmarkStart w:id="97"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6">
        <w:r>
          <w:rPr>
            <w:rStyle w:val="Hyperlink"/>
          </w:rPr>
          <w:t xml:space="preserve">https://doi.org/10.1214/15-AOAS827</w:t>
        </w:r>
      </w:hyperlink>
    </w:p>
    <w:bookmarkEnd w:id="97"/>
    <w:bookmarkStart w:id="98"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8"/>
    <w:bookmarkStart w:id="100"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99">
        <w:r>
          <w:rPr>
            <w:rStyle w:val="Hyperlink"/>
          </w:rPr>
          <w:t xml:space="preserve">https://doi.org/10.1097/EDE.0b013e31823ac17c</w:t>
        </w:r>
      </w:hyperlink>
    </w:p>
    <w:bookmarkEnd w:id="100"/>
    <w:bookmarkStart w:id="102"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1">
        <w:r>
          <w:rPr>
            <w:rStyle w:val="Hyperlink"/>
          </w:rPr>
          <w:t xml:space="preserve">https://labourexploitation.org/app/uploads/2025/06/Flex-Report-Blueprint-for-safer-and-fairer-migration-for-low-paid-work_final_30_June-.pdf</w:t>
        </w:r>
      </w:hyperlink>
    </w:p>
    <w:bookmarkEnd w:id="102"/>
    <w:bookmarkStart w:id="103"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3"/>
    <w:bookmarkStart w:id="104"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4"/>
    <w:bookmarkStart w:id="105"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5"/>
    <w:bookmarkStart w:id="106" w:name="ref-thompson_new_2020"/>
    <w:p>
      <w:pPr>
        <w:pStyle w:val="Bibliography"/>
      </w:pPr>
      <w:r>
        <w:t xml:space="preserve">Thompson, S. (2020).</w:t>
      </w:r>
      <w:r>
        <w:t xml:space="preserve"> </w:t>
      </w:r>
      <w:r>
        <w:rPr>
          <w:i/>
          <w:iCs/>
        </w:rPr>
        <w:t xml:space="preserve">New estimates for network sampling</w:t>
      </w:r>
      <w:r>
        <w:t xml:space="preserve">.</w:t>
      </w:r>
    </w:p>
    <w:bookmarkEnd w:id="106"/>
    <w:bookmarkStart w:id="108"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7">
        <w:r>
          <w:rPr>
            <w:rStyle w:val="Hyperlink"/>
          </w:rPr>
          <w:t xml:space="preserve">https://doi.org/10.1080/01621459.2016.1212712</w:t>
        </w:r>
      </w:hyperlink>
    </w:p>
    <w:bookmarkEnd w:id="108"/>
    <w:bookmarkStart w:id="109"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09"/>
    <w:bookmarkStart w:id="110"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0"/>
    <w:bookmarkStart w:id="112"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1">
        <w:r>
          <w:rPr>
            <w:rStyle w:val="Hyperlink"/>
          </w:rPr>
          <w:t xml:space="preserve">https://doi.org/10.1093/jssam/smab057</w:t>
        </w:r>
      </w:hyperlink>
    </w:p>
    <w:bookmarkEnd w:id="112"/>
    <w:bookmarkStart w:id="113"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3"/>
    <w:bookmarkStart w:id="115"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4">
        <w:r>
          <w:rPr>
            <w:rStyle w:val="Hyperlink"/>
          </w:rPr>
          <w:t xml:space="preserve">https://doi.org/10.1007/s10611-012-9363-y</w:t>
        </w:r>
      </w:hyperlink>
    </w:p>
    <w:bookmarkEnd w:id="115"/>
    <w:bookmarkStart w:id="116"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hyperlink" Id="rId89" Target="https://assets.publishing.service.gov.uk/government/uploads/system/uploads/attachment_data/file/649906/Transparency_in_Supply_Chains_A_Practical_Guide_2017.pdf" TargetMode="External" /><Relationship Type="http://schemas.openxmlformats.org/officeDocument/2006/relationships/hyperlink" Id="rId114" Target="https://doi.org/10.1007/s10611-012-9363-y" TargetMode="External" /><Relationship Type="http://schemas.openxmlformats.org/officeDocument/2006/relationships/hyperlink" Id="rId94"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7" Target="https://doi.org/10.1080/01621459.2016.1212712" TargetMode="External" /><Relationship Type="http://schemas.openxmlformats.org/officeDocument/2006/relationships/hyperlink" Id="rId111" Target="https://doi.org/10.1093/jssam/smab057" TargetMode="External" /><Relationship Type="http://schemas.openxmlformats.org/officeDocument/2006/relationships/hyperlink" Id="rId99"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6"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1"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89" Target="https://assets.publishing.service.gov.uk/government/uploads/system/uploads/attachment_data/file/649906/Transparency_in_Supply_Chains_A_Practical_Guide_2017.pdf" TargetMode="External" /><Relationship Type="http://schemas.openxmlformats.org/officeDocument/2006/relationships/hyperlink" Id="rId114" Target="https://doi.org/10.1007/s10611-012-9363-y" TargetMode="External" /><Relationship Type="http://schemas.openxmlformats.org/officeDocument/2006/relationships/hyperlink" Id="rId94"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7" Target="https://doi.org/10.1080/01621459.2016.1212712" TargetMode="External" /><Relationship Type="http://schemas.openxmlformats.org/officeDocument/2006/relationships/hyperlink" Id="rId111" Target="https://doi.org/10.1093/jssam/smab057" TargetMode="External" /><Relationship Type="http://schemas.openxmlformats.org/officeDocument/2006/relationships/hyperlink" Id="rId99"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6"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1"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2026-06-29T16:56:57Z</dcterms:created>
  <dcterms:modified xsi:type="dcterms:W3CDTF">2026-06-29T16:56:57Z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prevelance of different forms of laour exploitation are robust across a number of paramters.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26 June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